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eastAsia="宋体"/>
          <w:b/>
          <w:color w:val="auto"/>
          <w:sz w:val="44"/>
          <w:szCs w:val="44"/>
          <w:highlight w:val="none"/>
          <w:lang w:val="en-US" w:eastAsia="zh-CN"/>
        </w:rPr>
      </w:pPr>
      <w:bookmarkStart w:id="0" w:name="_Toc287620665"/>
      <w:r>
        <w:rPr>
          <w:rFonts w:hint="eastAsia" w:ascii="宋体" w:hAnsi="宋体"/>
          <w:b/>
          <w:color w:val="auto"/>
          <w:sz w:val="44"/>
          <w:szCs w:val="44"/>
          <w:highlight w:val="none"/>
          <w:lang w:val="en-US" w:eastAsia="zh-CN"/>
        </w:rPr>
        <w:t xml:space="preserve"> </w:t>
      </w:r>
    </w:p>
    <w:p>
      <w:pPr>
        <w:spacing w:line="360" w:lineRule="auto"/>
        <w:jc w:val="center"/>
        <w:rPr>
          <w:rFonts w:ascii="宋体" w:hAnsi="宋体"/>
          <w:color w:val="auto"/>
          <w:kern w:val="0"/>
          <w:sz w:val="32"/>
          <w:szCs w:val="32"/>
          <w:highlight w:val="none"/>
        </w:rPr>
      </w:pPr>
      <w:r>
        <w:rPr>
          <w:rFonts w:hint="eastAsia" w:ascii="宋体" w:hAnsi="宋体"/>
          <w:color w:val="auto"/>
          <w:kern w:val="0"/>
          <w:sz w:val="32"/>
          <w:szCs w:val="32"/>
          <w:highlight w:val="none"/>
          <w:u w:val="single"/>
          <w:lang w:eastAsia="zh-CN"/>
        </w:rPr>
        <w:t xml:space="preserve">江南春城-阳光水岸、江南春城-水木兰亭、广滨壹号-江枫苑项目土石方工程 </w:t>
      </w:r>
      <w:r>
        <w:rPr>
          <w:rFonts w:hint="eastAsia" w:ascii="宋体" w:hAnsi="宋体"/>
          <w:color w:val="auto"/>
          <w:kern w:val="0"/>
          <w:sz w:val="32"/>
          <w:szCs w:val="32"/>
          <w:highlight w:val="none"/>
          <w:u w:val="single"/>
        </w:rPr>
        <w:t>（项目名称）</w:t>
      </w: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jc w:val="center"/>
        <w:rPr>
          <w:rFonts w:ascii="宋体" w:hAnsi="宋体"/>
          <w:color w:val="auto"/>
          <w:kern w:val="0"/>
          <w:sz w:val="72"/>
          <w:szCs w:val="72"/>
          <w:highlight w:val="none"/>
        </w:rPr>
      </w:pPr>
      <w:r>
        <w:rPr>
          <w:rFonts w:hint="eastAsia" w:ascii="宋体" w:hAnsi="宋体"/>
          <w:color w:val="auto"/>
          <w:kern w:val="0"/>
          <w:sz w:val="72"/>
          <w:szCs w:val="72"/>
          <w:highlight w:val="none"/>
          <w:lang w:val="en-US" w:eastAsia="zh-CN"/>
        </w:rPr>
        <w:t>竞争性比选</w:t>
      </w:r>
      <w:r>
        <w:rPr>
          <w:rFonts w:ascii="宋体" w:hAnsi="宋体"/>
          <w:color w:val="auto"/>
          <w:kern w:val="0"/>
          <w:sz w:val="72"/>
          <w:szCs w:val="72"/>
          <w:highlight w:val="none"/>
        </w:rPr>
        <w:t>文件</w:t>
      </w:r>
    </w:p>
    <w:p>
      <w:pPr>
        <w:autoSpaceDE w:val="0"/>
        <w:autoSpaceDN w:val="0"/>
        <w:adjustRightInd w:val="0"/>
        <w:snapToGrid w:val="0"/>
        <w:spacing w:line="360" w:lineRule="auto"/>
        <w:jc w:val="left"/>
        <w:rPr>
          <w:rFonts w:ascii="宋体" w:hAnsi="宋体"/>
          <w:color w:val="auto"/>
          <w:kern w:val="0"/>
          <w:sz w:val="10"/>
          <w:szCs w:val="10"/>
          <w:highlight w:val="none"/>
        </w:rPr>
      </w:pP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rPr>
          <w:rFonts w:ascii="宋体" w:hAnsi="宋体"/>
          <w:color w:val="auto"/>
          <w:kern w:val="0"/>
          <w:sz w:val="20"/>
          <w:szCs w:val="20"/>
          <w:highlight w:val="none"/>
        </w:rPr>
      </w:pPr>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rPr>
          <w:rFonts w:ascii="宋体" w:hAnsi="宋体"/>
          <w:color w:val="auto"/>
          <w:kern w:val="0"/>
          <w:sz w:val="20"/>
          <w:szCs w:val="20"/>
          <w:highlight w:val="none"/>
        </w:rPr>
      </w:pPr>
    </w:p>
    <w:p>
      <w:pPr>
        <w:autoSpaceDE w:val="0"/>
        <w:autoSpaceDN w:val="0"/>
        <w:adjustRightInd w:val="0"/>
        <w:snapToGrid w:val="0"/>
        <w:spacing w:line="360" w:lineRule="auto"/>
        <w:rPr>
          <w:rFonts w:ascii="宋体" w:hAnsi="宋体"/>
          <w:color w:val="auto"/>
          <w:kern w:val="0"/>
          <w:sz w:val="20"/>
          <w:szCs w:val="20"/>
          <w:highlight w:val="none"/>
        </w:rPr>
      </w:pPr>
    </w:p>
    <w:p>
      <w:pPr>
        <w:autoSpaceDE w:val="0"/>
        <w:autoSpaceDN w:val="0"/>
        <w:adjustRightInd w:val="0"/>
        <w:snapToGrid w:val="0"/>
        <w:spacing w:line="360" w:lineRule="auto"/>
        <w:rPr>
          <w:rFonts w:ascii="宋体" w:hAnsi="宋体"/>
          <w:color w:val="auto"/>
          <w:kern w:val="0"/>
          <w:sz w:val="20"/>
          <w:szCs w:val="20"/>
          <w:highlight w:val="none"/>
        </w:rPr>
      </w:pPr>
    </w:p>
    <w:p>
      <w:pPr>
        <w:tabs>
          <w:tab w:val="left" w:pos="6219"/>
        </w:tabs>
        <w:autoSpaceDE w:val="0"/>
        <w:autoSpaceDN w:val="0"/>
        <w:adjustRightInd w:val="0"/>
        <w:snapToGrid w:val="0"/>
        <w:spacing w:line="360" w:lineRule="auto"/>
        <w:jc w:val="center"/>
        <w:rPr>
          <w:rFonts w:ascii="宋体" w:hAnsi="宋体"/>
          <w:b/>
          <w:color w:val="auto"/>
          <w:w w:val="99"/>
          <w:kern w:val="0"/>
          <w:sz w:val="28"/>
          <w:szCs w:val="28"/>
          <w:highlight w:val="none"/>
        </w:rPr>
      </w:pPr>
      <w:r>
        <w:rPr>
          <w:rFonts w:hint="eastAsia" w:ascii="宋体" w:hAnsi="宋体"/>
          <w:b/>
          <w:color w:val="auto"/>
          <w:w w:val="99"/>
          <w:kern w:val="0"/>
          <w:sz w:val="28"/>
          <w:szCs w:val="28"/>
          <w:highlight w:val="none"/>
          <w:lang w:val="en-US" w:eastAsia="zh-CN"/>
        </w:rPr>
        <w:t>比选</w:t>
      </w:r>
      <w:r>
        <w:rPr>
          <w:rFonts w:ascii="宋体" w:hAnsi="宋体"/>
          <w:b/>
          <w:color w:val="auto"/>
          <w:w w:val="99"/>
          <w:kern w:val="0"/>
          <w:sz w:val="28"/>
          <w:szCs w:val="28"/>
          <w:highlight w:val="none"/>
        </w:rPr>
        <w:t>人：</w:t>
      </w:r>
      <w:r>
        <w:rPr>
          <w:rFonts w:hint="eastAsia" w:ascii="宋体" w:hAnsi="宋体"/>
          <w:b/>
          <w:color w:val="auto"/>
          <w:w w:val="99"/>
          <w:kern w:val="0"/>
          <w:sz w:val="28"/>
          <w:szCs w:val="28"/>
          <w:highlight w:val="none"/>
          <w:u w:val="single"/>
          <w:lang w:eastAsia="zh-CN"/>
        </w:rPr>
        <w:t>重庆广阳岛生态城置地有限公司</w:t>
      </w:r>
      <w:r>
        <w:rPr>
          <w:rFonts w:ascii="宋体" w:hAnsi="宋体"/>
          <w:color w:val="auto"/>
          <w:kern w:val="0"/>
          <w:sz w:val="28"/>
          <w:szCs w:val="28"/>
          <w:highlight w:val="none"/>
          <w:u w:val="single"/>
        </w:rPr>
        <w:t xml:space="preserve"> </w:t>
      </w:r>
      <w:r>
        <w:rPr>
          <w:rFonts w:ascii="宋体" w:hAnsi="宋体"/>
          <w:b/>
          <w:color w:val="auto"/>
          <w:w w:val="99"/>
          <w:kern w:val="0"/>
          <w:sz w:val="28"/>
          <w:szCs w:val="28"/>
          <w:highlight w:val="none"/>
        </w:rPr>
        <w:t>（盖单位法人章）</w:t>
      </w:r>
    </w:p>
    <w:p>
      <w:pPr>
        <w:tabs>
          <w:tab w:val="left" w:pos="6252"/>
        </w:tabs>
        <w:autoSpaceDE w:val="0"/>
        <w:autoSpaceDN w:val="0"/>
        <w:adjustRightInd w:val="0"/>
        <w:snapToGrid w:val="0"/>
        <w:spacing w:line="360" w:lineRule="auto"/>
        <w:jc w:val="center"/>
        <w:rPr>
          <w:rFonts w:ascii="宋体" w:hAnsi="宋体"/>
          <w:b/>
          <w:color w:val="auto"/>
          <w:w w:val="99"/>
          <w:kern w:val="0"/>
          <w:sz w:val="28"/>
          <w:szCs w:val="28"/>
          <w:highlight w:val="none"/>
        </w:rPr>
      </w:pPr>
      <w:r>
        <w:rPr>
          <w:rFonts w:hint="eastAsia" w:ascii="宋体" w:hAnsi="宋体"/>
          <w:b/>
          <w:color w:val="auto"/>
          <w:spacing w:val="8"/>
          <w:kern w:val="0"/>
          <w:sz w:val="28"/>
          <w:szCs w:val="28"/>
          <w:highlight w:val="none"/>
          <w:lang w:eastAsia="zh-CN"/>
        </w:rPr>
        <w:t>比选代理机构</w:t>
      </w:r>
      <w:r>
        <w:rPr>
          <w:rFonts w:ascii="宋体" w:hAnsi="宋体"/>
          <w:b/>
          <w:color w:val="auto"/>
          <w:spacing w:val="8"/>
          <w:kern w:val="0"/>
          <w:sz w:val="28"/>
          <w:szCs w:val="28"/>
          <w:highlight w:val="none"/>
        </w:rPr>
        <w:t>：</w:t>
      </w:r>
      <w:r>
        <w:rPr>
          <w:rFonts w:hint="eastAsia" w:ascii="宋体" w:hAnsi="宋体"/>
          <w:b/>
          <w:bCs/>
          <w:color w:val="auto"/>
          <w:kern w:val="0"/>
          <w:sz w:val="28"/>
          <w:szCs w:val="28"/>
          <w:highlight w:val="none"/>
          <w:u w:val="single"/>
          <w:lang w:val="en-US" w:eastAsia="zh-CN"/>
        </w:rPr>
        <w:t>重庆得皓工程项目管理咨询有限公司</w:t>
      </w:r>
      <w:r>
        <w:rPr>
          <w:rFonts w:ascii="宋体" w:hAnsi="宋体"/>
          <w:b/>
          <w:color w:val="auto"/>
          <w:w w:val="99"/>
          <w:kern w:val="0"/>
          <w:sz w:val="28"/>
          <w:szCs w:val="28"/>
          <w:highlight w:val="none"/>
        </w:rPr>
        <w:t>（盖单位法人章）</w:t>
      </w:r>
    </w:p>
    <w:p>
      <w:pPr>
        <w:autoSpaceDE w:val="0"/>
        <w:autoSpaceDN w:val="0"/>
        <w:adjustRightInd w:val="0"/>
        <w:snapToGrid w:val="0"/>
        <w:spacing w:line="360" w:lineRule="auto"/>
        <w:jc w:val="center"/>
        <w:rPr>
          <w:rFonts w:ascii="宋体" w:hAnsi="宋体"/>
          <w:b/>
          <w:color w:val="auto"/>
          <w:kern w:val="0"/>
          <w:sz w:val="20"/>
          <w:szCs w:val="20"/>
          <w:highlight w:val="none"/>
        </w:rPr>
      </w:pPr>
    </w:p>
    <w:p>
      <w:pPr>
        <w:autoSpaceDE w:val="0"/>
        <w:autoSpaceDN w:val="0"/>
        <w:adjustRightInd w:val="0"/>
        <w:snapToGrid w:val="0"/>
        <w:spacing w:line="360" w:lineRule="auto"/>
        <w:jc w:val="center"/>
        <w:rPr>
          <w:rFonts w:ascii="宋体" w:hAnsi="宋体"/>
          <w:b/>
          <w:color w:val="auto"/>
          <w:kern w:val="0"/>
          <w:sz w:val="28"/>
          <w:szCs w:val="28"/>
          <w:highlight w:val="none"/>
        </w:rPr>
      </w:pPr>
    </w:p>
    <w:p>
      <w:pPr>
        <w:autoSpaceDE w:val="0"/>
        <w:autoSpaceDN w:val="0"/>
        <w:adjustRightInd w:val="0"/>
        <w:snapToGrid w:val="0"/>
        <w:spacing w:line="360" w:lineRule="auto"/>
        <w:jc w:val="center"/>
        <w:rPr>
          <w:rFonts w:ascii="宋体" w:hAnsi="宋体"/>
          <w:b/>
          <w:color w:val="auto"/>
          <w:kern w:val="0"/>
          <w:sz w:val="28"/>
          <w:szCs w:val="28"/>
          <w:highlight w:val="none"/>
        </w:rPr>
      </w:pPr>
    </w:p>
    <w:p>
      <w:pPr>
        <w:autoSpaceDE w:val="0"/>
        <w:autoSpaceDN w:val="0"/>
        <w:adjustRightInd w:val="0"/>
        <w:snapToGrid w:val="0"/>
        <w:spacing w:line="360" w:lineRule="auto"/>
        <w:rPr>
          <w:rFonts w:ascii="宋体" w:hAnsi="宋体"/>
          <w:b/>
          <w:color w:val="auto"/>
          <w:kern w:val="0"/>
          <w:sz w:val="20"/>
          <w:szCs w:val="20"/>
          <w:highlight w:val="none"/>
        </w:rPr>
      </w:pPr>
    </w:p>
    <w:p>
      <w:pPr>
        <w:tabs>
          <w:tab w:val="left" w:pos="6252"/>
        </w:tabs>
        <w:autoSpaceDE w:val="0"/>
        <w:autoSpaceDN w:val="0"/>
        <w:adjustRightInd w:val="0"/>
        <w:snapToGrid w:val="0"/>
        <w:spacing w:line="360" w:lineRule="auto"/>
        <w:jc w:val="center"/>
        <w:rPr>
          <w:rFonts w:ascii="宋体" w:hAnsi="宋体"/>
          <w:bCs/>
          <w:color w:val="auto"/>
          <w:spacing w:val="8"/>
          <w:kern w:val="0"/>
          <w:sz w:val="28"/>
          <w:szCs w:val="28"/>
          <w:highlight w:val="none"/>
        </w:rPr>
      </w:pPr>
      <w:bookmarkStart w:id="1" w:name="_Toc509218549"/>
      <w:bookmarkStart w:id="2" w:name="_Toc13210649"/>
      <w:bookmarkStart w:id="3" w:name="_Toc536797277"/>
      <w:bookmarkStart w:id="4" w:name="_Toc536621766"/>
      <w:bookmarkStart w:id="5" w:name="_Toc536796736"/>
      <w:r>
        <w:rPr>
          <w:rFonts w:hint="eastAsia" w:ascii="宋体" w:hAnsi="宋体"/>
          <w:b/>
          <w:color w:val="auto"/>
          <w:spacing w:val="8"/>
          <w:kern w:val="0"/>
          <w:sz w:val="28"/>
          <w:szCs w:val="28"/>
          <w:highlight w:val="none"/>
          <w:u w:val="single"/>
          <w:lang w:val="en-US" w:eastAsia="zh-CN"/>
        </w:rPr>
        <w:t>2023</w:t>
      </w:r>
      <w:r>
        <w:rPr>
          <w:rFonts w:ascii="宋体" w:hAnsi="宋体"/>
          <w:b/>
          <w:color w:val="auto"/>
          <w:spacing w:val="8"/>
          <w:kern w:val="0"/>
          <w:sz w:val="28"/>
          <w:szCs w:val="28"/>
          <w:highlight w:val="none"/>
        </w:rPr>
        <w:t>年</w:t>
      </w:r>
      <w:r>
        <w:rPr>
          <w:rFonts w:hint="eastAsia" w:ascii="宋体" w:hAnsi="宋体"/>
          <w:b/>
          <w:color w:val="auto"/>
          <w:spacing w:val="8"/>
          <w:kern w:val="0"/>
          <w:sz w:val="28"/>
          <w:szCs w:val="28"/>
          <w:highlight w:val="none"/>
          <w:u w:val="single"/>
          <w:lang w:val="en-US" w:eastAsia="zh-CN"/>
        </w:rPr>
        <w:t>5</w:t>
      </w:r>
      <w:r>
        <w:rPr>
          <w:rFonts w:ascii="宋体" w:hAnsi="宋体"/>
          <w:b/>
          <w:color w:val="auto"/>
          <w:spacing w:val="8"/>
          <w:kern w:val="0"/>
          <w:sz w:val="28"/>
          <w:szCs w:val="28"/>
          <w:highlight w:val="none"/>
        </w:rPr>
        <w:t>月</w:t>
      </w:r>
      <w:bookmarkEnd w:id="1"/>
      <w:bookmarkEnd w:id="2"/>
      <w:bookmarkEnd w:id="3"/>
      <w:bookmarkEnd w:id="4"/>
      <w:bookmarkEnd w:id="5"/>
    </w:p>
    <w:p>
      <w:pPr>
        <w:pStyle w:val="3"/>
        <w:spacing w:line="360" w:lineRule="auto"/>
        <w:jc w:val="center"/>
        <w:rPr>
          <w:rFonts w:ascii="宋体" w:hAnsi="宋体"/>
          <w:color w:val="auto"/>
          <w:w w:val="99"/>
          <w:kern w:val="0"/>
          <w:sz w:val="24"/>
          <w:highlight w:val="none"/>
        </w:rPr>
        <w:sectPr>
          <w:headerReference r:id="rId4" w:type="default"/>
          <w:footerReference r:id="rId5" w:type="default"/>
          <w:pgSz w:w="11907" w:h="16840"/>
          <w:pgMar w:top="1304" w:right="1134" w:bottom="1304" w:left="1304" w:header="851" w:footer="992" w:gutter="0"/>
          <w:pgNumType w:fmt="numberInDash" w:start="1"/>
          <w:cols w:space="720" w:num="1"/>
          <w:docGrid w:linePitch="312" w:charSpace="0"/>
        </w:sectPr>
      </w:pPr>
    </w:p>
    <w:p>
      <w:pPr>
        <w:pStyle w:val="119"/>
        <w:jc w:val="center"/>
        <w:rPr>
          <w:rFonts w:ascii="宋体" w:hAnsi="宋体"/>
          <w:color w:val="auto"/>
          <w:sz w:val="44"/>
          <w:szCs w:val="44"/>
          <w:highlight w:val="none"/>
        </w:rPr>
      </w:pPr>
      <w:bookmarkStart w:id="6" w:name="_Toc28843"/>
      <w:bookmarkStart w:id="7" w:name="_Toc5767"/>
      <w:r>
        <w:rPr>
          <w:rFonts w:ascii="宋体" w:hAnsi="宋体"/>
          <w:color w:val="auto"/>
          <w:sz w:val="44"/>
          <w:szCs w:val="44"/>
          <w:highlight w:val="none"/>
          <w:lang w:val="zh-CN"/>
        </w:rPr>
        <w:t>目</w:t>
      </w:r>
      <w:r>
        <w:rPr>
          <w:rFonts w:hint="eastAsia" w:ascii="宋体" w:hAnsi="宋体"/>
          <w:color w:val="auto"/>
          <w:sz w:val="44"/>
          <w:szCs w:val="44"/>
          <w:highlight w:val="none"/>
          <w:lang w:val="zh-CN"/>
        </w:rPr>
        <w:t xml:space="preserve"> </w:t>
      </w:r>
      <w:r>
        <w:rPr>
          <w:rFonts w:ascii="宋体" w:hAnsi="宋体"/>
          <w:color w:val="auto"/>
          <w:sz w:val="44"/>
          <w:szCs w:val="44"/>
          <w:highlight w:val="none"/>
          <w:lang w:val="zh-CN"/>
        </w:rPr>
        <w:t>录</w:t>
      </w:r>
      <w:bookmarkEnd w:id="6"/>
      <w:bookmarkEnd w:id="7"/>
    </w:p>
    <w:p>
      <w:pPr>
        <w:pStyle w:val="31"/>
        <w:tabs>
          <w:tab w:val="right" w:leader="dot" w:pos="9469"/>
        </w:tabs>
        <w:rPr>
          <w:color w:val="auto"/>
          <w:highlight w:val="none"/>
        </w:rPr>
      </w:pPr>
      <w:r>
        <w:rPr>
          <w:rFonts w:ascii="宋体" w:hAnsi="宋体"/>
          <w:color w:val="auto"/>
          <w:highlight w:val="none"/>
        </w:rPr>
        <w:fldChar w:fldCharType="begin"/>
      </w:r>
      <w:r>
        <w:rPr>
          <w:rFonts w:ascii="宋体" w:hAnsi="宋体"/>
          <w:color w:val="auto"/>
          <w:highlight w:val="none"/>
        </w:rPr>
        <w:instrText xml:space="preserve"> TOC \o "1-3" \h \z \u </w:instrText>
      </w:r>
      <w:r>
        <w:rPr>
          <w:rFonts w:ascii="宋体" w:hAnsi="宋体"/>
          <w:color w:val="auto"/>
          <w:highlight w:val="none"/>
        </w:rPr>
        <w:fldChar w:fldCharType="separate"/>
      </w:r>
      <w:r>
        <w:rPr>
          <w:rFonts w:ascii="宋体" w:hAnsi="宋体"/>
          <w:color w:val="auto"/>
          <w:highlight w:val="none"/>
        </w:rPr>
        <w:fldChar w:fldCharType="begin"/>
      </w:r>
      <w:r>
        <w:rPr>
          <w:rFonts w:ascii="宋体" w:hAnsi="宋体"/>
          <w:color w:val="auto"/>
          <w:highlight w:val="none"/>
        </w:rPr>
        <w:instrText xml:space="preserve"> HYPERLINK \l _Toc594 </w:instrText>
      </w:r>
      <w:r>
        <w:rPr>
          <w:rFonts w:ascii="宋体" w:hAnsi="宋体"/>
          <w:color w:val="auto"/>
          <w:highlight w:val="none"/>
        </w:rPr>
        <w:fldChar w:fldCharType="separate"/>
      </w:r>
      <w:r>
        <w:rPr>
          <w:rFonts w:hint="eastAsia" w:ascii="宋体" w:hAnsi="宋体"/>
          <w:color w:val="auto"/>
          <w:szCs w:val="52"/>
          <w:highlight w:val="none"/>
        </w:rPr>
        <w:t>第 一 卷</w:t>
      </w:r>
      <w:r>
        <w:rPr>
          <w:color w:val="auto"/>
          <w:highlight w:val="none"/>
        </w:rPr>
        <w:tab/>
      </w:r>
      <w:r>
        <w:rPr>
          <w:color w:val="auto"/>
          <w:highlight w:val="none"/>
        </w:rPr>
        <w:fldChar w:fldCharType="begin"/>
      </w:r>
      <w:r>
        <w:rPr>
          <w:color w:val="auto"/>
          <w:highlight w:val="none"/>
        </w:rPr>
        <w:instrText xml:space="preserve"> PAGEREF _Toc594 \h </w:instrText>
      </w:r>
      <w:r>
        <w:rPr>
          <w:color w:val="auto"/>
          <w:highlight w:val="none"/>
        </w:rPr>
        <w:fldChar w:fldCharType="separate"/>
      </w:r>
      <w:r>
        <w:rPr>
          <w:color w:val="auto"/>
          <w:highlight w:val="none"/>
        </w:rPr>
        <w:t>4</w:t>
      </w:r>
      <w:r>
        <w:rPr>
          <w:color w:val="auto"/>
          <w:highlight w:val="none"/>
        </w:rPr>
        <w:fldChar w:fldCharType="end"/>
      </w:r>
      <w:r>
        <w:rPr>
          <w:rFonts w:ascii="宋体" w:hAnsi="宋体"/>
          <w:color w:val="auto"/>
          <w:highlight w:val="none"/>
        </w:rPr>
        <w:fldChar w:fldCharType="end"/>
      </w:r>
    </w:p>
    <w:p>
      <w:pPr>
        <w:pStyle w:val="31"/>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_Toc12816 </w:instrText>
      </w:r>
      <w:r>
        <w:rPr>
          <w:rFonts w:ascii="宋体" w:hAnsi="宋体"/>
          <w:bCs/>
          <w:color w:val="auto"/>
          <w:szCs w:val="20"/>
          <w:highlight w:val="none"/>
          <w:lang w:val="zh-CN"/>
        </w:rPr>
        <w:fldChar w:fldCharType="separate"/>
      </w:r>
      <w:r>
        <w:rPr>
          <w:rFonts w:ascii="宋体" w:hAnsi="宋体"/>
          <w:snapToGrid w:val="0"/>
          <w:color w:val="auto"/>
          <w:kern w:val="0"/>
          <w:highlight w:val="none"/>
        </w:rPr>
        <w:t xml:space="preserve">第一章  </w:t>
      </w:r>
      <w:r>
        <w:rPr>
          <w:rFonts w:hint="eastAsia" w:ascii="宋体" w:hAnsi="宋体"/>
          <w:snapToGrid w:val="0"/>
          <w:color w:val="auto"/>
          <w:kern w:val="0"/>
          <w:highlight w:val="none"/>
          <w:lang w:eastAsia="zh-CN"/>
        </w:rPr>
        <w:t>比选公告</w:t>
      </w:r>
      <w:r>
        <w:rPr>
          <w:color w:val="auto"/>
          <w:highlight w:val="none"/>
        </w:rPr>
        <w:tab/>
      </w:r>
      <w:r>
        <w:rPr>
          <w:color w:val="auto"/>
          <w:highlight w:val="none"/>
        </w:rPr>
        <w:fldChar w:fldCharType="begin"/>
      </w:r>
      <w:r>
        <w:rPr>
          <w:color w:val="auto"/>
          <w:highlight w:val="none"/>
        </w:rPr>
        <w:instrText xml:space="preserve"> PAGEREF _Toc12816 \h </w:instrText>
      </w:r>
      <w:r>
        <w:rPr>
          <w:color w:val="auto"/>
          <w:highlight w:val="none"/>
        </w:rPr>
        <w:fldChar w:fldCharType="separate"/>
      </w:r>
      <w:r>
        <w:rPr>
          <w:color w:val="auto"/>
          <w:highlight w:val="none"/>
        </w:rPr>
        <w:t>5</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_Toc30711 </w:instrText>
      </w:r>
      <w:r>
        <w:rPr>
          <w:rFonts w:ascii="宋体" w:hAnsi="宋体"/>
          <w:bCs/>
          <w:color w:val="auto"/>
          <w:szCs w:val="20"/>
          <w:highlight w:val="none"/>
          <w:lang w:val="zh-CN"/>
        </w:rPr>
        <w:fldChar w:fldCharType="separate"/>
      </w:r>
      <w:r>
        <w:rPr>
          <w:rFonts w:ascii="宋体" w:hAnsi="宋体"/>
          <w:snapToGrid w:val="0"/>
          <w:color w:val="auto"/>
          <w:szCs w:val="28"/>
          <w:highlight w:val="none"/>
        </w:rPr>
        <w:t xml:space="preserve">1. </w:t>
      </w:r>
      <w:r>
        <w:rPr>
          <w:rFonts w:hint="eastAsia" w:ascii="宋体" w:hAnsi="宋体"/>
          <w:snapToGrid w:val="0"/>
          <w:color w:val="auto"/>
          <w:szCs w:val="28"/>
          <w:highlight w:val="none"/>
        </w:rPr>
        <w:t xml:space="preserve"> </w:t>
      </w:r>
      <w:r>
        <w:rPr>
          <w:rFonts w:ascii="宋体" w:hAnsi="宋体"/>
          <w:snapToGrid w:val="0"/>
          <w:color w:val="auto"/>
          <w:szCs w:val="28"/>
          <w:highlight w:val="none"/>
        </w:rPr>
        <w:t>招标条件</w:t>
      </w:r>
      <w:r>
        <w:rPr>
          <w:color w:val="auto"/>
          <w:highlight w:val="none"/>
        </w:rPr>
        <w:tab/>
      </w:r>
      <w:r>
        <w:rPr>
          <w:color w:val="auto"/>
          <w:highlight w:val="none"/>
        </w:rPr>
        <w:fldChar w:fldCharType="begin"/>
      </w:r>
      <w:r>
        <w:rPr>
          <w:color w:val="auto"/>
          <w:highlight w:val="none"/>
        </w:rPr>
        <w:instrText xml:space="preserve"> PAGEREF _Toc30711 \h </w:instrText>
      </w:r>
      <w:r>
        <w:rPr>
          <w:color w:val="auto"/>
          <w:highlight w:val="none"/>
        </w:rPr>
        <w:fldChar w:fldCharType="separate"/>
      </w:r>
      <w:r>
        <w:rPr>
          <w:color w:val="auto"/>
          <w:highlight w:val="none"/>
        </w:rPr>
        <w:t>5</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_Toc26702 </w:instrText>
      </w:r>
      <w:r>
        <w:rPr>
          <w:rFonts w:ascii="宋体" w:hAnsi="宋体"/>
          <w:bCs/>
          <w:color w:val="auto"/>
          <w:szCs w:val="20"/>
          <w:highlight w:val="none"/>
          <w:lang w:val="zh-CN"/>
        </w:rPr>
        <w:fldChar w:fldCharType="separate"/>
      </w:r>
      <w:r>
        <w:rPr>
          <w:rFonts w:ascii="宋体" w:hAnsi="宋体"/>
          <w:snapToGrid w:val="0"/>
          <w:color w:val="auto"/>
          <w:szCs w:val="28"/>
          <w:highlight w:val="none"/>
        </w:rPr>
        <w:t>2.</w:t>
      </w:r>
      <w:r>
        <w:rPr>
          <w:rFonts w:hint="eastAsia" w:ascii="宋体" w:hAnsi="宋体"/>
          <w:snapToGrid w:val="0"/>
          <w:color w:val="auto"/>
          <w:szCs w:val="28"/>
          <w:highlight w:val="none"/>
        </w:rPr>
        <w:t xml:space="preserve"> </w:t>
      </w:r>
      <w:r>
        <w:rPr>
          <w:rFonts w:ascii="宋体" w:hAnsi="宋体"/>
          <w:snapToGrid w:val="0"/>
          <w:color w:val="auto"/>
          <w:szCs w:val="28"/>
          <w:highlight w:val="none"/>
        </w:rPr>
        <w:t xml:space="preserve"> 项目概况与招标范围</w:t>
      </w:r>
      <w:r>
        <w:rPr>
          <w:color w:val="auto"/>
          <w:highlight w:val="none"/>
        </w:rPr>
        <w:tab/>
      </w:r>
      <w:r>
        <w:rPr>
          <w:color w:val="auto"/>
          <w:highlight w:val="none"/>
        </w:rPr>
        <w:fldChar w:fldCharType="begin"/>
      </w:r>
      <w:r>
        <w:rPr>
          <w:color w:val="auto"/>
          <w:highlight w:val="none"/>
        </w:rPr>
        <w:instrText xml:space="preserve"> PAGEREF _Toc26702 \h </w:instrText>
      </w:r>
      <w:r>
        <w:rPr>
          <w:color w:val="auto"/>
          <w:highlight w:val="none"/>
        </w:rPr>
        <w:fldChar w:fldCharType="separate"/>
      </w:r>
      <w:r>
        <w:rPr>
          <w:color w:val="auto"/>
          <w:highlight w:val="none"/>
        </w:rPr>
        <w:t>5</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_Toc19672 </w:instrText>
      </w:r>
      <w:r>
        <w:rPr>
          <w:rFonts w:ascii="宋体" w:hAnsi="宋体"/>
          <w:bCs/>
          <w:color w:val="auto"/>
          <w:szCs w:val="20"/>
          <w:highlight w:val="none"/>
          <w:lang w:val="zh-CN"/>
        </w:rPr>
        <w:fldChar w:fldCharType="separate"/>
      </w:r>
      <w:r>
        <w:rPr>
          <w:rFonts w:ascii="宋体" w:hAnsi="宋体"/>
          <w:snapToGrid w:val="0"/>
          <w:color w:val="auto"/>
          <w:szCs w:val="28"/>
          <w:highlight w:val="none"/>
        </w:rPr>
        <w:t xml:space="preserve">3. </w:t>
      </w:r>
      <w:r>
        <w:rPr>
          <w:rFonts w:hint="eastAsia" w:ascii="宋体" w:hAnsi="宋体"/>
          <w:snapToGrid w:val="0"/>
          <w:color w:val="auto"/>
          <w:szCs w:val="28"/>
          <w:highlight w:val="none"/>
        </w:rPr>
        <w:t xml:space="preserve"> </w:t>
      </w:r>
      <w:r>
        <w:rPr>
          <w:rFonts w:hint="eastAsia" w:ascii="宋体" w:hAnsi="宋体"/>
          <w:snapToGrid w:val="0"/>
          <w:color w:val="auto"/>
          <w:szCs w:val="28"/>
          <w:highlight w:val="none"/>
          <w:lang w:eastAsia="zh-CN"/>
        </w:rPr>
        <w:t>竞选人</w:t>
      </w:r>
      <w:r>
        <w:rPr>
          <w:rFonts w:ascii="宋体" w:hAnsi="宋体"/>
          <w:snapToGrid w:val="0"/>
          <w:color w:val="auto"/>
          <w:szCs w:val="28"/>
          <w:highlight w:val="none"/>
        </w:rPr>
        <w:t>资格要求</w:t>
      </w:r>
      <w:r>
        <w:rPr>
          <w:color w:val="auto"/>
          <w:highlight w:val="none"/>
        </w:rPr>
        <w:tab/>
      </w:r>
      <w:r>
        <w:rPr>
          <w:color w:val="auto"/>
          <w:highlight w:val="none"/>
        </w:rPr>
        <w:fldChar w:fldCharType="begin"/>
      </w:r>
      <w:r>
        <w:rPr>
          <w:color w:val="auto"/>
          <w:highlight w:val="none"/>
        </w:rPr>
        <w:instrText xml:space="preserve"> PAGEREF _Toc19672 \h </w:instrText>
      </w:r>
      <w:r>
        <w:rPr>
          <w:color w:val="auto"/>
          <w:highlight w:val="none"/>
        </w:rPr>
        <w:fldChar w:fldCharType="separate"/>
      </w:r>
      <w:r>
        <w:rPr>
          <w:color w:val="auto"/>
          <w:highlight w:val="none"/>
        </w:rPr>
        <w:t>6</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_Toc19326 </w:instrText>
      </w:r>
      <w:r>
        <w:rPr>
          <w:rFonts w:ascii="宋体" w:hAnsi="宋体"/>
          <w:bCs/>
          <w:color w:val="auto"/>
          <w:szCs w:val="20"/>
          <w:highlight w:val="none"/>
          <w:lang w:val="zh-CN"/>
        </w:rPr>
        <w:fldChar w:fldCharType="separate"/>
      </w:r>
      <w:r>
        <w:rPr>
          <w:rFonts w:ascii="宋体" w:hAnsi="宋体"/>
          <w:snapToGrid w:val="0"/>
          <w:color w:val="auto"/>
          <w:szCs w:val="28"/>
          <w:highlight w:val="none"/>
        </w:rPr>
        <w:t xml:space="preserve">4. </w:t>
      </w:r>
      <w:r>
        <w:rPr>
          <w:rFonts w:hint="eastAsia" w:ascii="宋体" w:hAnsi="宋体"/>
          <w:snapToGrid w:val="0"/>
          <w:color w:val="auto"/>
          <w:szCs w:val="28"/>
          <w:highlight w:val="none"/>
        </w:rPr>
        <w:t xml:space="preserve"> </w:t>
      </w:r>
      <w:r>
        <w:rPr>
          <w:rFonts w:ascii="宋体" w:hAnsi="宋体"/>
          <w:snapToGrid w:val="0"/>
          <w:color w:val="auto"/>
          <w:szCs w:val="28"/>
          <w:highlight w:val="none"/>
        </w:rPr>
        <w:t>招标文件的获取</w:t>
      </w:r>
      <w:r>
        <w:rPr>
          <w:color w:val="auto"/>
          <w:highlight w:val="none"/>
        </w:rPr>
        <w:tab/>
      </w:r>
      <w:r>
        <w:rPr>
          <w:color w:val="auto"/>
          <w:highlight w:val="none"/>
        </w:rPr>
        <w:fldChar w:fldCharType="begin"/>
      </w:r>
      <w:r>
        <w:rPr>
          <w:color w:val="auto"/>
          <w:highlight w:val="none"/>
        </w:rPr>
        <w:instrText xml:space="preserve"> PAGEREF _Toc19326 \h </w:instrText>
      </w:r>
      <w:r>
        <w:rPr>
          <w:color w:val="auto"/>
          <w:highlight w:val="none"/>
        </w:rPr>
        <w:fldChar w:fldCharType="separate"/>
      </w:r>
      <w:r>
        <w:rPr>
          <w:color w:val="auto"/>
          <w:highlight w:val="none"/>
        </w:rPr>
        <w:t>6</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_Toc9199 </w:instrText>
      </w:r>
      <w:r>
        <w:rPr>
          <w:rFonts w:ascii="宋体" w:hAnsi="宋体"/>
          <w:bCs/>
          <w:color w:val="auto"/>
          <w:szCs w:val="20"/>
          <w:highlight w:val="none"/>
          <w:lang w:val="zh-CN"/>
        </w:rPr>
        <w:fldChar w:fldCharType="separate"/>
      </w:r>
      <w:r>
        <w:rPr>
          <w:rFonts w:ascii="宋体" w:hAnsi="宋体"/>
          <w:snapToGrid w:val="0"/>
          <w:color w:val="auto"/>
          <w:szCs w:val="28"/>
          <w:highlight w:val="none"/>
        </w:rPr>
        <w:t xml:space="preserve">5. </w:t>
      </w:r>
      <w:r>
        <w:rPr>
          <w:rFonts w:hint="eastAsia" w:ascii="宋体" w:hAnsi="宋体"/>
          <w:snapToGrid w:val="0"/>
          <w:color w:val="auto"/>
          <w:szCs w:val="28"/>
          <w:highlight w:val="none"/>
        </w:rPr>
        <w:t xml:space="preserve"> </w:t>
      </w:r>
      <w:r>
        <w:rPr>
          <w:rFonts w:hint="eastAsia" w:ascii="宋体" w:hAnsi="宋体"/>
          <w:snapToGrid w:val="0"/>
          <w:color w:val="auto"/>
          <w:szCs w:val="28"/>
          <w:highlight w:val="none"/>
          <w:lang w:eastAsia="zh-CN"/>
        </w:rPr>
        <w:t>竞选文件</w:t>
      </w:r>
      <w:r>
        <w:rPr>
          <w:rFonts w:ascii="宋体" w:hAnsi="宋体"/>
          <w:snapToGrid w:val="0"/>
          <w:color w:val="auto"/>
          <w:szCs w:val="28"/>
          <w:highlight w:val="none"/>
        </w:rPr>
        <w:t>的递交</w:t>
      </w:r>
      <w:r>
        <w:rPr>
          <w:color w:val="auto"/>
          <w:highlight w:val="none"/>
        </w:rPr>
        <w:tab/>
      </w:r>
      <w:r>
        <w:rPr>
          <w:color w:val="auto"/>
          <w:highlight w:val="none"/>
        </w:rPr>
        <w:fldChar w:fldCharType="begin"/>
      </w:r>
      <w:r>
        <w:rPr>
          <w:color w:val="auto"/>
          <w:highlight w:val="none"/>
        </w:rPr>
        <w:instrText xml:space="preserve"> PAGEREF _Toc9199 \h </w:instrText>
      </w:r>
      <w:r>
        <w:rPr>
          <w:color w:val="auto"/>
          <w:highlight w:val="none"/>
        </w:rPr>
        <w:fldChar w:fldCharType="separate"/>
      </w:r>
      <w:r>
        <w:rPr>
          <w:color w:val="auto"/>
          <w:highlight w:val="none"/>
        </w:rPr>
        <w:t>6</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_Toc20963 </w:instrText>
      </w:r>
      <w:r>
        <w:rPr>
          <w:rFonts w:ascii="宋体" w:hAnsi="宋体"/>
          <w:bCs/>
          <w:color w:val="auto"/>
          <w:szCs w:val="20"/>
          <w:highlight w:val="none"/>
          <w:lang w:val="zh-CN"/>
        </w:rPr>
        <w:fldChar w:fldCharType="separate"/>
      </w:r>
      <w:r>
        <w:rPr>
          <w:rFonts w:ascii="宋体" w:hAnsi="宋体"/>
          <w:snapToGrid w:val="0"/>
          <w:color w:val="auto"/>
          <w:szCs w:val="28"/>
          <w:highlight w:val="none"/>
        </w:rPr>
        <w:t xml:space="preserve">6. </w:t>
      </w:r>
      <w:r>
        <w:rPr>
          <w:rFonts w:hint="eastAsia" w:ascii="宋体" w:hAnsi="宋体"/>
          <w:snapToGrid w:val="0"/>
          <w:color w:val="auto"/>
          <w:szCs w:val="28"/>
          <w:highlight w:val="none"/>
        </w:rPr>
        <w:t xml:space="preserve"> </w:t>
      </w:r>
      <w:r>
        <w:rPr>
          <w:rFonts w:ascii="宋体" w:hAnsi="宋体"/>
          <w:snapToGrid w:val="0"/>
          <w:color w:val="auto"/>
          <w:szCs w:val="28"/>
          <w:highlight w:val="none"/>
        </w:rPr>
        <w:t>发布公告的媒介</w:t>
      </w:r>
      <w:r>
        <w:rPr>
          <w:color w:val="auto"/>
          <w:highlight w:val="none"/>
        </w:rPr>
        <w:tab/>
      </w:r>
      <w:r>
        <w:rPr>
          <w:color w:val="auto"/>
          <w:highlight w:val="none"/>
        </w:rPr>
        <w:fldChar w:fldCharType="begin"/>
      </w:r>
      <w:r>
        <w:rPr>
          <w:color w:val="auto"/>
          <w:highlight w:val="none"/>
        </w:rPr>
        <w:instrText xml:space="preserve"> PAGEREF _Toc20963 \h </w:instrText>
      </w:r>
      <w:r>
        <w:rPr>
          <w:color w:val="auto"/>
          <w:highlight w:val="none"/>
        </w:rPr>
        <w:fldChar w:fldCharType="separate"/>
      </w:r>
      <w:r>
        <w:rPr>
          <w:color w:val="auto"/>
          <w:highlight w:val="none"/>
        </w:rPr>
        <w:t>6</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_Toc17628 </w:instrText>
      </w:r>
      <w:r>
        <w:rPr>
          <w:rFonts w:ascii="宋体" w:hAnsi="宋体"/>
          <w:bCs/>
          <w:color w:val="auto"/>
          <w:szCs w:val="20"/>
          <w:highlight w:val="none"/>
          <w:lang w:val="zh-CN"/>
        </w:rPr>
        <w:fldChar w:fldCharType="separate"/>
      </w:r>
      <w:r>
        <w:rPr>
          <w:rFonts w:hint="eastAsia" w:ascii="宋体" w:hAnsi="宋体"/>
          <w:snapToGrid w:val="0"/>
          <w:color w:val="auto"/>
          <w:szCs w:val="28"/>
          <w:highlight w:val="none"/>
        </w:rPr>
        <w:t>7</w:t>
      </w:r>
      <w:r>
        <w:rPr>
          <w:rFonts w:ascii="宋体" w:hAnsi="宋体"/>
          <w:snapToGrid w:val="0"/>
          <w:color w:val="auto"/>
          <w:szCs w:val="28"/>
          <w:highlight w:val="none"/>
        </w:rPr>
        <w:t xml:space="preserve">. </w:t>
      </w:r>
      <w:r>
        <w:rPr>
          <w:rFonts w:hint="eastAsia" w:ascii="宋体" w:hAnsi="宋体"/>
          <w:snapToGrid w:val="0"/>
          <w:color w:val="auto"/>
          <w:szCs w:val="28"/>
          <w:highlight w:val="none"/>
        </w:rPr>
        <w:t xml:space="preserve"> </w:t>
      </w:r>
      <w:r>
        <w:rPr>
          <w:rFonts w:ascii="宋体" w:hAnsi="宋体"/>
          <w:snapToGrid w:val="0"/>
          <w:color w:val="auto"/>
          <w:szCs w:val="28"/>
          <w:highlight w:val="none"/>
        </w:rPr>
        <w:t>联系方式</w:t>
      </w:r>
      <w:r>
        <w:rPr>
          <w:color w:val="auto"/>
          <w:highlight w:val="none"/>
        </w:rPr>
        <w:tab/>
      </w:r>
      <w:r>
        <w:rPr>
          <w:color w:val="auto"/>
          <w:highlight w:val="none"/>
        </w:rPr>
        <w:fldChar w:fldCharType="begin"/>
      </w:r>
      <w:r>
        <w:rPr>
          <w:color w:val="auto"/>
          <w:highlight w:val="none"/>
        </w:rPr>
        <w:instrText xml:space="preserve"> PAGEREF _Toc17628 \h </w:instrText>
      </w:r>
      <w:r>
        <w:rPr>
          <w:color w:val="auto"/>
          <w:highlight w:val="none"/>
        </w:rPr>
        <w:fldChar w:fldCharType="separate"/>
      </w:r>
      <w:r>
        <w:rPr>
          <w:color w:val="auto"/>
          <w:highlight w:val="none"/>
        </w:rPr>
        <w:t>6</w:t>
      </w:r>
      <w:r>
        <w:rPr>
          <w:color w:val="auto"/>
          <w:highlight w:val="none"/>
        </w:rPr>
        <w:fldChar w:fldCharType="end"/>
      </w:r>
      <w:r>
        <w:rPr>
          <w:rFonts w:ascii="宋体" w:hAnsi="宋体"/>
          <w:bCs/>
          <w:color w:val="auto"/>
          <w:szCs w:val="20"/>
          <w:highlight w:val="none"/>
          <w:lang w:val="zh-CN"/>
        </w:rPr>
        <w:fldChar w:fldCharType="end"/>
      </w:r>
    </w:p>
    <w:p>
      <w:pPr>
        <w:pStyle w:val="31"/>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_Toc19811 </w:instrText>
      </w:r>
      <w:r>
        <w:rPr>
          <w:rFonts w:ascii="宋体" w:hAnsi="宋体"/>
          <w:bCs/>
          <w:color w:val="auto"/>
          <w:szCs w:val="20"/>
          <w:highlight w:val="none"/>
          <w:lang w:val="zh-CN"/>
        </w:rPr>
        <w:fldChar w:fldCharType="separate"/>
      </w:r>
      <w:r>
        <w:rPr>
          <w:rFonts w:ascii="宋体" w:hAnsi="宋体"/>
          <w:snapToGrid w:val="0"/>
          <w:color w:val="auto"/>
          <w:kern w:val="0"/>
          <w:highlight w:val="none"/>
        </w:rPr>
        <w:t xml:space="preserve">第二章  </w:t>
      </w:r>
      <w:r>
        <w:rPr>
          <w:rFonts w:hint="eastAsia" w:ascii="宋体" w:hAnsi="宋体"/>
          <w:snapToGrid w:val="0"/>
          <w:color w:val="auto"/>
          <w:kern w:val="0"/>
          <w:highlight w:val="none"/>
          <w:lang w:eastAsia="zh-CN"/>
        </w:rPr>
        <w:t>竞选人</w:t>
      </w:r>
      <w:r>
        <w:rPr>
          <w:rFonts w:ascii="宋体" w:hAnsi="宋体"/>
          <w:snapToGrid w:val="0"/>
          <w:color w:val="auto"/>
          <w:kern w:val="0"/>
          <w:highlight w:val="none"/>
        </w:rPr>
        <w:t>须知</w:t>
      </w:r>
      <w:r>
        <w:rPr>
          <w:color w:val="auto"/>
          <w:highlight w:val="none"/>
        </w:rPr>
        <w:tab/>
      </w:r>
      <w:r>
        <w:rPr>
          <w:color w:val="auto"/>
          <w:highlight w:val="none"/>
        </w:rPr>
        <w:fldChar w:fldCharType="begin"/>
      </w:r>
      <w:r>
        <w:rPr>
          <w:color w:val="auto"/>
          <w:highlight w:val="none"/>
        </w:rPr>
        <w:instrText xml:space="preserve"> PAGEREF _Toc19811 \h </w:instrText>
      </w:r>
      <w:r>
        <w:rPr>
          <w:color w:val="auto"/>
          <w:highlight w:val="none"/>
        </w:rPr>
        <w:fldChar w:fldCharType="separate"/>
      </w:r>
      <w:r>
        <w:rPr>
          <w:color w:val="auto"/>
          <w:highlight w:val="none"/>
        </w:rPr>
        <w:t>8</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_Toc18347 </w:instrText>
      </w:r>
      <w:r>
        <w:rPr>
          <w:rFonts w:ascii="宋体" w:hAnsi="宋体"/>
          <w:bCs/>
          <w:color w:val="auto"/>
          <w:szCs w:val="20"/>
          <w:highlight w:val="none"/>
          <w:lang w:val="zh-CN"/>
        </w:rPr>
        <w:fldChar w:fldCharType="separate"/>
      </w:r>
      <w:r>
        <w:rPr>
          <w:rFonts w:hint="eastAsia" w:ascii="宋体" w:hAnsi="宋体"/>
          <w:color w:val="auto"/>
          <w:highlight w:val="none"/>
          <w:lang w:eastAsia="zh-CN"/>
        </w:rPr>
        <w:t>竞选人</w:t>
      </w:r>
      <w:r>
        <w:rPr>
          <w:rFonts w:hint="eastAsia" w:ascii="宋体" w:hAnsi="宋体"/>
          <w:color w:val="auto"/>
          <w:highlight w:val="none"/>
        </w:rPr>
        <w:t>须知前附表</w:t>
      </w:r>
      <w:r>
        <w:rPr>
          <w:color w:val="auto"/>
          <w:highlight w:val="none"/>
        </w:rPr>
        <w:tab/>
      </w:r>
      <w:r>
        <w:rPr>
          <w:color w:val="auto"/>
          <w:highlight w:val="none"/>
        </w:rPr>
        <w:fldChar w:fldCharType="begin"/>
      </w:r>
      <w:r>
        <w:rPr>
          <w:color w:val="auto"/>
          <w:highlight w:val="none"/>
        </w:rPr>
        <w:instrText xml:space="preserve"> PAGEREF _Toc18347 \h </w:instrText>
      </w:r>
      <w:r>
        <w:rPr>
          <w:color w:val="auto"/>
          <w:highlight w:val="none"/>
        </w:rPr>
        <w:fldChar w:fldCharType="separate"/>
      </w:r>
      <w:r>
        <w:rPr>
          <w:color w:val="auto"/>
          <w:highlight w:val="none"/>
        </w:rPr>
        <w:t>8</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_Toc13479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1.总则</w:t>
      </w:r>
      <w:r>
        <w:rPr>
          <w:color w:val="auto"/>
          <w:highlight w:val="none"/>
        </w:rPr>
        <w:tab/>
      </w:r>
      <w:r>
        <w:rPr>
          <w:color w:val="auto"/>
          <w:highlight w:val="none"/>
        </w:rPr>
        <w:fldChar w:fldCharType="begin"/>
      </w:r>
      <w:r>
        <w:rPr>
          <w:color w:val="auto"/>
          <w:highlight w:val="none"/>
        </w:rPr>
        <w:instrText xml:space="preserve"> PAGEREF _Toc13479 \h </w:instrText>
      </w:r>
      <w:r>
        <w:rPr>
          <w:color w:val="auto"/>
          <w:highlight w:val="none"/>
        </w:rPr>
        <w:fldChar w:fldCharType="separate"/>
      </w:r>
      <w:r>
        <w:rPr>
          <w:color w:val="auto"/>
          <w:highlight w:val="none"/>
        </w:rPr>
        <w:t>27</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_Toc21483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1.1 项目概况</w:t>
      </w:r>
      <w:r>
        <w:rPr>
          <w:color w:val="auto"/>
          <w:highlight w:val="none"/>
        </w:rPr>
        <w:tab/>
      </w:r>
      <w:r>
        <w:rPr>
          <w:color w:val="auto"/>
          <w:highlight w:val="none"/>
        </w:rPr>
        <w:fldChar w:fldCharType="begin"/>
      </w:r>
      <w:r>
        <w:rPr>
          <w:color w:val="auto"/>
          <w:highlight w:val="none"/>
        </w:rPr>
        <w:instrText xml:space="preserve"> PAGEREF _Toc21483 \h </w:instrText>
      </w:r>
      <w:r>
        <w:rPr>
          <w:color w:val="auto"/>
          <w:highlight w:val="none"/>
        </w:rPr>
        <w:fldChar w:fldCharType="separate"/>
      </w:r>
      <w:r>
        <w:rPr>
          <w:color w:val="auto"/>
          <w:highlight w:val="none"/>
        </w:rPr>
        <w:t>27</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_Toc5734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1.2 资金来源和落实情况</w:t>
      </w:r>
      <w:r>
        <w:rPr>
          <w:color w:val="auto"/>
          <w:highlight w:val="none"/>
        </w:rPr>
        <w:tab/>
      </w:r>
      <w:r>
        <w:rPr>
          <w:color w:val="auto"/>
          <w:highlight w:val="none"/>
        </w:rPr>
        <w:fldChar w:fldCharType="begin"/>
      </w:r>
      <w:r>
        <w:rPr>
          <w:color w:val="auto"/>
          <w:highlight w:val="none"/>
        </w:rPr>
        <w:instrText xml:space="preserve"> PAGEREF _Toc5734 \h </w:instrText>
      </w:r>
      <w:r>
        <w:rPr>
          <w:color w:val="auto"/>
          <w:highlight w:val="none"/>
        </w:rPr>
        <w:fldChar w:fldCharType="separate"/>
      </w:r>
      <w:r>
        <w:rPr>
          <w:color w:val="auto"/>
          <w:highlight w:val="none"/>
        </w:rPr>
        <w:t>27</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_Toc13646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1.3 比选范围、计划工期和质量要求</w:t>
      </w:r>
      <w:r>
        <w:rPr>
          <w:color w:val="auto"/>
          <w:highlight w:val="none"/>
        </w:rPr>
        <w:tab/>
      </w:r>
      <w:r>
        <w:rPr>
          <w:color w:val="auto"/>
          <w:highlight w:val="none"/>
        </w:rPr>
        <w:fldChar w:fldCharType="begin"/>
      </w:r>
      <w:r>
        <w:rPr>
          <w:color w:val="auto"/>
          <w:highlight w:val="none"/>
        </w:rPr>
        <w:instrText xml:space="preserve"> PAGEREF _Toc13646 \h </w:instrText>
      </w:r>
      <w:r>
        <w:rPr>
          <w:color w:val="auto"/>
          <w:highlight w:val="none"/>
        </w:rPr>
        <w:fldChar w:fldCharType="separate"/>
      </w:r>
      <w:r>
        <w:rPr>
          <w:color w:val="auto"/>
          <w:highlight w:val="none"/>
        </w:rPr>
        <w:t>27</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_Toc4094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 xml:space="preserve">1.4 </w:t>
      </w:r>
      <w:r>
        <w:rPr>
          <w:rFonts w:hint="eastAsia" w:ascii="宋体" w:hAnsi="宋体" w:eastAsia="宋体" w:cs="宋体"/>
          <w:color w:val="auto"/>
          <w:szCs w:val="21"/>
          <w:highlight w:val="none"/>
          <w:lang w:eastAsia="zh-CN"/>
        </w:rPr>
        <w:t>投标人资格要求</w:t>
      </w:r>
      <w:r>
        <w:rPr>
          <w:color w:val="auto"/>
          <w:highlight w:val="none"/>
        </w:rPr>
        <w:tab/>
      </w:r>
      <w:r>
        <w:rPr>
          <w:color w:val="auto"/>
          <w:highlight w:val="none"/>
        </w:rPr>
        <w:fldChar w:fldCharType="begin"/>
      </w:r>
      <w:r>
        <w:rPr>
          <w:color w:val="auto"/>
          <w:highlight w:val="none"/>
        </w:rPr>
        <w:instrText xml:space="preserve"> PAGEREF _Toc4094 \h </w:instrText>
      </w:r>
      <w:r>
        <w:rPr>
          <w:color w:val="auto"/>
          <w:highlight w:val="none"/>
        </w:rPr>
        <w:fldChar w:fldCharType="separate"/>
      </w:r>
      <w:r>
        <w:rPr>
          <w:color w:val="auto"/>
          <w:highlight w:val="none"/>
        </w:rPr>
        <w:t>27</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_Toc23140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1.5 费用承担</w:t>
      </w:r>
      <w:r>
        <w:rPr>
          <w:color w:val="auto"/>
          <w:highlight w:val="none"/>
        </w:rPr>
        <w:tab/>
      </w:r>
      <w:r>
        <w:rPr>
          <w:color w:val="auto"/>
          <w:highlight w:val="none"/>
        </w:rPr>
        <w:fldChar w:fldCharType="begin"/>
      </w:r>
      <w:r>
        <w:rPr>
          <w:color w:val="auto"/>
          <w:highlight w:val="none"/>
        </w:rPr>
        <w:instrText xml:space="preserve"> PAGEREF _Toc23140 \h </w:instrText>
      </w:r>
      <w:r>
        <w:rPr>
          <w:color w:val="auto"/>
          <w:highlight w:val="none"/>
        </w:rPr>
        <w:fldChar w:fldCharType="separate"/>
      </w:r>
      <w:r>
        <w:rPr>
          <w:color w:val="auto"/>
          <w:highlight w:val="none"/>
        </w:rPr>
        <w:t>28</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_Toc10687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1.6 保密</w:t>
      </w:r>
      <w:r>
        <w:rPr>
          <w:color w:val="auto"/>
          <w:highlight w:val="none"/>
        </w:rPr>
        <w:tab/>
      </w:r>
      <w:r>
        <w:rPr>
          <w:color w:val="auto"/>
          <w:highlight w:val="none"/>
        </w:rPr>
        <w:fldChar w:fldCharType="begin"/>
      </w:r>
      <w:r>
        <w:rPr>
          <w:color w:val="auto"/>
          <w:highlight w:val="none"/>
        </w:rPr>
        <w:instrText xml:space="preserve"> PAGEREF _Toc10687 \h </w:instrText>
      </w:r>
      <w:r>
        <w:rPr>
          <w:color w:val="auto"/>
          <w:highlight w:val="none"/>
        </w:rPr>
        <w:fldChar w:fldCharType="separate"/>
      </w:r>
      <w:r>
        <w:rPr>
          <w:color w:val="auto"/>
          <w:highlight w:val="none"/>
        </w:rPr>
        <w:t>28</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_Toc13883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1.7 语言文字</w:t>
      </w:r>
      <w:r>
        <w:rPr>
          <w:color w:val="auto"/>
          <w:highlight w:val="none"/>
        </w:rPr>
        <w:tab/>
      </w:r>
      <w:r>
        <w:rPr>
          <w:color w:val="auto"/>
          <w:highlight w:val="none"/>
        </w:rPr>
        <w:fldChar w:fldCharType="begin"/>
      </w:r>
      <w:r>
        <w:rPr>
          <w:color w:val="auto"/>
          <w:highlight w:val="none"/>
        </w:rPr>
        <w:instrText xml:space="preserve"> PAGEREF _Toc13883 \h </w:instrText>
      </w:r>
      <w:r>
        <w:rPr>
          <w:color w:val="auto"/>
          <w:highlight w:val="none"/>
        </w:rPr>
        <w:fldChar w:fldCharType="separate"/>
      </w:r>
      <w:r>
        <w:rPr>
          <w:color w:val="auto"/>
          <w:highlight w:val="none"/>
        </w:rPr>
        <w:t>28</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_Toc20111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1.8 计量单位</w:t>
      </w:r>
      <w:r>
        <w:rPr>
          <w:color w:val="auto"/>
          <w:highlight w:val="none"/>
        </w:rPr>
        <w:tab/>
      </w:r>
      <w:r>
        <w:rPr>
          <w:color w:val="auto"/>
          <w:highlight w:val="none"/>
        </w:rPr>
        <w:fldChar w:fldCharType="begin"/>
      </w:r>
      <w:r>
        <w:rPr>
          <w:color w:val="auto"/>
          <w:highlight w:val="none"/>
        </w:rPr>
        <w:instrText xml:space="preserve"> PAGEREF _Toc20111 \h </w:instrText>
      </w:r>
      <w:r>
        <w:rPr>
          <w:color w:val="auto"/>
          <w:highlight w:val="none"/>
        </w:rPr>
        <w:fldChar w:fldCharType="separate"/>
      </w:r>
      <w:r>
        <w:rPr>
          <w:color w:val="auto"/>
          <w:highlight w:val="none"/>
        </w:rPr>
        <w:t>28</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_Toc997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1.9 踏勘现场</w:t>
      </w:r>
      <w:r>
        <w:rPr>
          <w:color w:val="auto"/>
          <w:highlight w:val="none"/>
        </w:rPr>
        <w:tab/>
      </w:r>
      <w:r>
        <w:rPr>
          <w:color w:val="auto"/>
          <w:highlight w:val="none"/>
        </w:rPr>
        <w:fldChar w:fldCharType="begin"/>
      </w:r>
      <w:r>
        <w:rPr>
          <w:color w:val="auto"/>
          <w:highlight w:val="none"/>
        </w:rPr>
        <w:instrText xml:space="preserve"> PAGEREF _Toc997 \h </w:instrText>
      </w:r>
      <w:r>
        <w:rPr>
          <w:color w:val="auto"/>
          <w:highlight w:val="none"/>
        </w:rPr>
        <w:fldChar w:fldCharType="separate"/>
      </w:r>
      <w:r>
        <w:rPr>
          <w:color w:val="auto"/>
          <w:highlight w:val="none"/>
        </w:rPr>
        <w:t>28</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_Toc480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1.10 比选预备会</w:t>
      </w:r>
      <w:r>
        <w:rPr>
          <w:color w:val="auto"/>
          <w:highlight w:val="none"/>
        </w:rPr>
        <w:tab/>
      </w:r>
      <w:r>
        <w:rPr>
          <w:color w:val="auto"/>
          <w:highlight w:val="none"/>
        </w:rPr>
        <w:fldChar w:fldCharType="begin"/>
      </w:r>
      <w:r>
        <w:rPr>
          <w:color w:val="auto"/>
          <w:highlight w:val="none"/>
        </w:rPr>
        <w:instrText xml:space="preserve"> PAGEREF _Toc480 \h </w:instrText>
      </w:r>
      <w:r>
        <w:rPr>
          <w:color w:val="auto"/>
          <w:highlight w:val="none"/>
        </w:rPr>
        <w:fldChar w:fldCharType="separate"/>
      </w:r>
      <w:r>
        <w:rPr>
          <w:color w:val="auto"/>
          <w:highlight w:val="none"/>
        </w:rPr>
        <w:t>28</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_Toc9003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1.11 分包</w:t>
      </w:r>
      <w:r>
        <w:rPr>
          <w:color w:val="auto"/>
          <w:highlight w:val="none"/>
        </w:rPr>
        <w:tab/>
      </w:r>
      <w:r>
        <w:rPr>
          <w:color w:val="auto"/>
          <w:highlight w:val="none"/>
        </w:rPr>
        <w:fldChar w:fldCharType="begin"/>
      </w:r>
      <w:r>
        <w:rPr>
          <w:color w:val="auto"/>
          <w:highlight w:val="none"/>
        </w:rPr>
        <w:instrText xml:space="preserve"> PAGEREF _Toc9003 \h </w:instrText>
      </w:r>
      <w:r>
        <w:rPr>
          <w:color w:val="auto"/>
          <w:highlight w:val="none"/>
        </w:rPr>
        <w:fldChar w:fldCharType="separate"/>
      </w:r>
      <w:r>
        <w:rPr>
          <w:color w:val="auto"/>
          <w:highlight w:val="none"/>
        </w:rPr>
        <w:t>29</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_Toc19971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2.比选文件</w:t>
      </w:r>
      <w:r>
        <w:rPr>
          <w:color w:val="auto"/>
          <w:highlight w:val="none"/>
        </w:rPr>
        <w:tab/>
      </w:r>
      <w:r>
        <w:rPr>
          <w:color w:val="auto"/>
          <w:highlight w:val="none"/>
        </w:rPr>
        <w:fldChar w:fldCharType="begin"/>
      </w:r>
      <w:r>
        <w:rPr>
          <w:color w:val="auto"/>
          <w:highlight w:val="none"/>
        </w:rPr>
        <w:instrText xml:space="preserve"> PAGEREF _Toc19971 \h </w:instrText>
      </w:r>
      <w:r>
        <w:rPr>
          <w:color w:val="auto"/>
          <w:highlight w:val="none"/>
        </w:rPr>
        <w:fldChar w:fldCharType="separate"/>
      </w:r>
      <w:r>
        <w:rPr>
          <w:color w:val="auto"/>
          <w:highlight w:val="none"/>
        </w:rPr>
        <w:t>29</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_Toc16387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2.1比选文件的组成</w:t>
      </w:r>
      <w:r>
        <w:rPr>
          <w:color w:val="auto"/>
          <w:highlight w:val="none"/>
        </w:rPr>
        <w:tab/>
      </w:r>
      <w:r>
        <w:rPr>
          <w:color w:val="auto"/>
          <w:highlight w:val="none"/>
        </w:rPr>
        <w:fldChar w:fldCharType="begin"/>
      </w:r>
      <w:r>
        <w:rPr>
          <w:color w:val="auto"/>
          <w:highlight w:val="none"/>
        </w:rPr>
        <w:instrText xml:space="preserve"> PAGEREF _Toc16387 \h </w:instrText>
      </w:r>
      <w:r>
        <w:rPr>
          <w:color w:val="auto"/>
          <w:highlight w:val="none"/>
        </w:rPr>
        <w:fldChar w:fldCharType="separate"/>
      </w:r>
      <w:r>
        <w:rPr>
          <w:color w:val="auto"/>
          <w:highlight w:val="none"/>
        </w:rPr>
        <w:t>29</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_Toc30299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2.2比选文件的澄清</w:t>
      </w:r>
      <w:r>
        <w:rPr>
          <w:color w:val="auto"/>
          <w:highlight w:val="none"/>
        </w:rPr>
        <w:tab/>
      </w:r>
      <w:r>
        <w:rPr>
          <w:color w:val="auto"/>
          <w:highlight w:val="none"/>
        </w:rPr>
        <w:fldChar w:fldCharType="begin"/>
      </w:r>
      <w:r>
        <w:rPr>
          <w:color w:val="auto"/>
          <w:highlight w:val="none"/>
        </w:rPr>
        <w:instrText xml:space="preserve"> PAGEREF _Toc30299 \h </w:instrText>
      </w:r>
      <w:r>
        <w:rPr>
          <w:color w:val="auto"/>
          <w:highlight w:val="none"/>
        </w:rPr>
        <w:fldChar w:fldCharType="separate"/>
      </w:r>
      <w:r>
        <w:rPr>
          <w:color w:val="auto"/>
          <w:highlight w:val="none"/>
        </w:rPr>
        <w:t>29</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_Toc17021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2.3比选文件的修改</w:t>
      </w:r>
      <w:r>
        <w:rPr>
          <w:color w:val="auto"/>
          <w:highlight w:val="none"/>
        </w:rPr>
        <w:tab/>
      </w:r>
      <w:r>
        <w:rPr>
          <w:color w:val="auto"/>
          <w:highlight w:val="none"/>
        </w:rPr>
        <w:fldChar w:fldCharType="begin"/>
      </w:r>
      <w:r>
        <w:rPr>
          <w:color w:val="auto"/>
          <w:highlight w:val="none"/>
        </w:rPr>
        <w:instrText xml:space="preserve"> PAGEREF _Toc17021 \h </w:instrText>
      </w:r>
      <w:r>
        <w:rPr>
          <w:color w:val="auto"/>
          <w:highlight w:val="none"/>
        </w:rPr>
        <w:fldChar w:fldCharType="separate"/>
      </w:r>
      <w:r>
        <w:rPr>
          <w:color w:val="auto"/>
          <w:highlight w:val="none"/>
        </w:rPr>
        <w:t>30</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_Toc5129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 xml:space="preserve">3. </w:t>
      </w:r>
      <w:r>
        <w:rPr>
          <w:rFonts w:hint="eastAsia" w:ascii="宋体" w:hAnsi="宋体" w:eastAsia="宋体" w:cs="宋体"/>
          <w:color w:val="auto"/>
          <w:szCs w:val="21"/>
          <w:highlight w:val="none"/>
          <w:lang w:val="en-US" w:eastAsia="zh-CN"/>
        </w:rPr>
        <w:t>投标</w:t>
      </w:r>
      <w:r>
        <w:rPr>
          <w:rFonts w:hint="eastAsia" w:ascii="宋体" w:hAnsi="宋体" w:eastAsia="宋体" w:cs="宋体"/>
          <w:color w:val="auto"/>
          <w:szCs w:val="21"/>
          <w:highlight w:val="none"/>
        </w:rPr>
        <w:t>文件</w:t>
      </w:r>
      <w:r>
        <w:rPr>
          <w:color w:val="auto"/>
          <w:highlight w:val="none"/>
        </w:rPr>
        <w:tab/>
      </w:r>
      <w:r>
        <w:rPr>
          <w:color w:val="auto"/>
          <w:highlight w:val="none"/>
        </w:rPr>
        <w:fldChar w:fldCharType="begin"/>
      </w:r>
      <w:r>
        <w:rPr>
          <w:color w:val="auto"/>
          <w:highlight w:val="none"/>
        </w:rPr>
        <w:instrText xml:space="preserve"> PAGEREF _Toc5129 \h </w:instrText>
      </w:r>
      <w:r>
        <w:rPr>
          <w:color w:val="auto"/>
          <w:highlight w:val="none"/>
        </w:rPr>
        <w:fldChar w:fldCharType="separate"/>
      </w:r>
      <w:r>
        <w:rPr>
          <w:color w:val="auto"/>
          <w:highlight w:val="none"/>
        </w:rPr>
        <w:t>30</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_Toc13118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 xml:space="preserve">3.1 </w:t>
      </w:r>
      <w:r>
        <w:rPr>
          <w:rFonts w:hint="eastAsia" w:ascii="宋体" w:hAnsi="宋体" w:eastAsia="宋体" w:cs="宋体"/>
          <w:color w:val="auto"/>
          <w:szCs w:val="21"/>
          <w:highlight w:val="none"/>
          <w:lang w:val="en-US" w:eastAsia="zh-CN"/>
        </w:rPr>
        <w:t>投标</w:t>
      </w:r>
      <w:r>
        <w:rPr>
          <w:rFonts w:hint="eastAsia" w:ascii="宋体" w:hAnsi="宋体" w:eastAsia="宋体" w:cs="宋体"/>
          <w:color w:val="auto"/>
          <w:szCs w:val="21"/>
          <w:highlight w:val="none"/>
        </w:rPr>
        <w:t>文件的组成</w:t>
      </w:r>
      <w:r>
        <w:rPr>
          <w:color w:val="auto"/>
          <w:highlight w:val="none"/>
        </w:rPr>
        <w:tab/>
      </w:r>
      <w:r>
        <w:rPr>
          <w:color w:val="auto"/>
          <w:highlight w:val="none"/>
        </w:rPr>
        <w:fldChar w:fldCharType="begin"/>
      </w:r>
      <w:r>
        <w:rPr>
          <w:color w:val="auto"/>
          <w:highlight w:val="none"/>
        </w:rPr>
        <w:instrText xml:space="preserve"> PAGEREF _Toc13118 \h </w:instrText>
      </w:r>
      <w:r>
        <w:rPr>
          <w:color w:val="auto"/>
          <w:highlight w:val="none"/>
        </w:rPr>
        <w:fldChar w:fldCharType="separate"/>
      </w:r>
      <w:r>
        <w:rPr>
          <w:color w:val="auto"/>
          <w:highlight w:val="none"/>
        </w:rPr>
        <w:t>30</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_Toc14592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3.2</w:t>
      </w:r>
      <w:r>
        <w:rPr>
          <w:rFonts w:hint="eastAsia" w:ascii="宋体" w:hAnsi="宋体" w:eastAsia="宋体" w:cs="宋体"/>
          <w:color w:val="auto"/>
          <w:szCs w:val="21"/>
          <w:highlight w:val="none"/>
          <w:lang w:val="en-US" w:eastAsia="zh-CN"/>
        </w:rPr>
        <w:t xml:space="preserve"> 比选</w:t>
      </w:r>
      <w:r>
        <w:rPr>
          <w:rFonts w:hint="eastAsia" w:ascii="宋体" w:hAnsi="宋体" w:eastAsia="宋体" w:cs="宋体"/>
          <w:color w:val="auto"/>
          <w:szCs w:val="21"/>
          <w:highlight w:val="none"/>
        </w:rPr>
        <w:t>报价</w:t>
      </w:r>
      <w:r>
        <w:rPr>
          <w:color w:val="auto"/>
          <w:highlight w:val="none"/>
        </w:rPr>
        <w:tab/>
      </w:r>
      <w:r>
        <w:rPr>
          <w:color w:val="auto"/>
          <w:highlight w:val="none"/>
        </w:rPr>
        <w:fldChar w:fldCharType="begin"/>
      </w:r>
      <w:r>
        <w:rPr>
          <w:color w:val="auto"/>
          <w:highlight w:val="none"/>
        </w:rPr>
        <w:instrText xml:space="preserve"> PAGEREF _Toc14592 \h </w:instrText>
      </w:r>
      <w:r>
        <w:rPr>
          <w:color w:val="auto"/>
          <w:highlight w:val="none"/>
        </w:rPr>
        <w:fldChar w:fldCharType="separate"/>
      </w:r>
      <w:r>
        <w:rPr>
          <w:color w:val="auto"/>
          <w:highlight w:val="none"/>
        </w:rPr>
        <w:t>30</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_Toc24781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lang w:val="en-US" w:eastAsia="zh-CN"/>
        </w:rPr>
        <w:t>3.3  投标有效期</w:t>
      </w:r>
      <w:r>
        <w:rPr>
          <w:color w:val="auto"/>
          <w:highlight w:val="none"/>
        </w:rPr>
        <w:tab/>
      </w:r>
      <w:r>
        <w:rPr>
          <w:color w:val="auto"/>
          <w:highlight w:val="none"/>
        </w:rPr>
        <w:fldChar w:fldCharType="begin"/>
      </w:r>
      <w:r>
        <w:rPr>
          <w:color w:val="auto"/>
          <w:highlight w:val="none"/>
        </w:rPr>
        <w:instrText xml:space="preserve"> PAGEREF _Toc24781 \h </w:instrText>
      </w:r>
      <w:r>
        <w:rPr>
          <w:color w:val="auto"/>
          <w:highlight w:val="none"/>
        </w:rPr>
        <w:fldChar w:fldCharType="separate"/>
      </w:r>
      <w:r>
        <w:rPr>
          <w:color w:val="auto"/>
          <w:highlight w:val="none"/>
        </w:rPr>
        <w:t>30</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_Toc21662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3.4 比选保证金</w:t>
      </w:r>
      <w:r>
        <w:rPr>
          <w:color w:val="auto"/>
          <w:highlight w:val="none"/>
        </w:rPr>
        <w:tab/>
      </w:r>
      <w:r>
        <w:rPr>
          <w:color w:val="auto"/>
          <w:highlight w:val="none"/>
        </w:rPr>
        <w:fldChar w:fldCharType="begin"/>
      </w:r>
      <w:r>
        <w:rPr>
          <w:color w:val="auto"/>
          <w:highlight w:val="none"/>
        </w:rPr>
        <w:instrText xml:space="preserve"> PAGEREF _Toc21662 \h </w:instrText>
      </w:r>
      <w:r>
        <w:rPr>
          <w:color w:val="auto"/>
          <w:highlight w:val="none"/>
        </w:rPr>
        <w:fldChar w:fldCharType="separate"/>
      </w:r>
      <w:r>
        <w:rPr>
          <w:color w:val="auto"/>
          <w:highlight w:val="none"/>
        </w:rPr>
        <w:t>30</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_Toc13363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3.5 资格审查资料</w:t>
      </w:r>
      <w:r>
        <w:rPr>
          <w:color w:val="auto"/>
          <w:highlight w:val="none"/>
        </w:rPr>
        <w:tab/>
      </w:r>
      <w:r>
        <w:rPr>
          <w:color w:val="auto"/>
          <w:highlight w:val="none"/>
        </w:rPr>
        <w:fldChar w:fldCharType="begin"/>
      </w:r>
      <w:r>
        <w:rPr>
          <w:color w:val="auto"/>
          <w:highlight w:val="none"/>
        </w:rPr>
        <w:instrText xml:space="preserve"> PAGEREF _Toc13363 \h </w:instrText>
      </w:r>
      <w:r>
        <w:rPr>
          <w:color w:val="auto"/>
          <w:highlight w:val="none"/>
        </w:rPr>
        <w:fldChar w:fldCharType="separate"/>
      </w:r>
      <w:r>
        <w:rPr>
          <w:color w:val="auto"/>
          <w:highlight w:val="none"/>
        </w:rPr>
        <w:t>31</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_Toc11845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 xml:space="preserve">4. </w:t>
      </w:r>
      <w:r>
        <w:rPr>
          <w:rFonts w:hint="eastAsia" w:ascii="宋体" w:hAnsi="宋体" w:eastAsia="宋体" w:cs="宋体"/>
          <w:color w:val="auto"/>
          <w:szCs w:val="21"/>
          <w:highlight w:val="none"/>
          <w:lang w:eastAsia="zh-CN"/>
        </w:rPr>
        <w:t>投标</w:t>
      </w:r>
      <w:r>
        <w:rPr>
          <w:rFonts w:hint="eastAsia" w:ascii="宋体" w:hAnsi="宋体" w:eastAsia="宋体" w:cs="宋体"/>
          <w:color w:val="auto"/>
          <w:szCs w:val="21"/>
          <w:highlight w:val="none"/>
        </w:rPr>
        <w:t>文件的递交等</w:t>
      </w:r>
      <w:r>
        <w:rPr>
          <w:color w:val="auto"/>
          <w:highlight w:val="none"/>
        </w:rPr>
        <w:tab/>
      </w:r>
      <w:r>
        <w:rPr>
          <w:color w:val="auto"/>
          <w:highlight w:val="none"/>
        </w:rPr>
        <w:fldChar w:fldCharType="begin"/>
      </w:r>
      <w:r>
        <w:rPr>
          <w:color w:val="auto"/>
          <w:highlight w:val="none"/>
        </w:rPr>
        <w:instrText xml:space="preserve"> PAGEREF _Toc11845 \h </w:instrText>
      </w:r>
      <w:r>
        <w:rPr>
          <w:color w:val="auto"/>
          <w:highlight w:val="none"/>
        </w:rPr>
        <w:fldChar w:fldCharType="separate"/>
      </w:r>
      <w:r>
        <w:rPr>
          <w:color w:val="auto"/>
          <w:highlight w:val="none"/>
        </w:rPr>
        <w:t>32</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_Toc22471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 xml:space="preserve">4.1 </w:t>
      </w:r>
      <w:r>
        <w:rPr>
          <w:rFonts w:hint="eastAsia" w:ascii="宋体" w:hAnsi="宋体" w:eastAsia="宋体" w:cs="宋体"/>
          <w:color w:val="auto"/>
          <w:szCs w:val="21"/>
          <w:highlight w:val="none"/>
          <w:lang w:eastAsia="zh-CN"/>
        </w:rPr>
        <w:t>投标</w:t>
      </w:r>
      <w:r>
        <w:rPr>
          <w:rFonts w:hint="eastAsia" w:ascii="宋体" w:hAnsi="宋体" w:eastAsia="宋体" w:cs="宋体"/>
          <w:color w:val="auto"/>
          <w:szCs w:val="21"/>
          <w:highlight w:val="none"/>
        </w:rPr>
        <w:t>文件的密封和标记</w:t>
      </w:r>
      <w:r>
        <w:rPr>
          <w:color w:val="auto"/>
          <w:highlight w:val="none"/>
        </w:rPr>
        <w:tab/>
      </w:r>
      <w:r>
        <w:rPr>
          <w:color w:val="auto"/>
          <w:highlight w:val="none"/>
        </w:rPr>
        <w:fldChar w:fldCharType="begin"/>
      </w:r>
      <w:r>
        <w:rPr>
          <w:color w:val="auto"/>
          <w:highlight w:val="none"/>
        </w:rPr>
        <w:instrText xml:space="preserve"> PAGEREF _Toc22471 \h </w:instrText>
      </w:r>
      <w:r>
        <w:rPr>
          <w:color w:val="auto"/>
          <w:highlight w:val="none"/>
        </w:rPr>
        <w:fldChar w:fldCharType="separate"/>
      </w:r>
      <w:r>
        <w:rPr>
          <w:color w:val="auto"/>
          <w:highlight w:val="none"/>
        </w:rPr>
        <w:t>32</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_Toc11659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 xml:space="preserve">4.2 </w:t>
      </w:r>
      <w:r>
        <w:rPr>
          <w:rFonts w:hint="eastAsia" w:ascii="宋体" w:hAnsi="宋体" w:eastAsia="宋体" w:cs="宋体"/>
          <w:color w:val="auto"/>
          <w:szCs w:val="21"/>
          <w:highlight w:val="none"/>
          <w:lang w:eastAsia="zh-CN"/>
        </w:rPr>
        <w:t>投标</w:t>
      </w:r>
      <w:r>
        <w:rPr>
          <w:rFonts w:hint="eastAsia" w:ascii="宋体" w:hAnsi="宋体" w:eastAsia="宋体" w:cs="宋体"/>
          <w:color w:val="auto"/>
          <w:szCs w:val="21"/>
          <w:highlight w:val="none"/>
        </w:rPr>
        <w:t>文件的递交</w:t>
      </w:r>
      <w:r>
        <w:rPr>
          <w:color w:val="auto"/>
          <w:highlight w:val="none"/>
        </w:rPr>
        <w:tab/>
      </w:r>
      <w:r>
        <w:rPr>
          <w:color w:val="auto"/>
          <w:highlight w:val="none"/>
        </w:rPr>
        <w:fldChar w:fldCharType="begin"/>
      </w:r>
      <w:r>
        <w:rPr>
          <w:color w:val="auto"/>
          <w:highlight w:val="none"/>
        </w:rPr>
        <w:instrText xml:space="preserve"> PAGEREF _Toc11659 \h </w:instrText>
      </w:r>
      <w:r>
        <w:rPr>
          <w:color w:val="auto"/>
          <w:highlight w:val="none"/>
        </w:rPr>
        <w:fldChar w:fldCharType="separate"/>
      </w:r>
      <w:r>
        <w:rPr>
          <w:color w:val="auto"/>
          <w:highlight w:val="none"/>
        </w:rPr>
        <w:t>32</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_Toc10516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 xml:space="preserve">4.3 </w:t>
      </w:r>
      <w:r>
        <w:rPr>
          <w:rFonts w:hint="eastAsia" w:ascii="宋体" w:hAnsi="宋体" w:eastAsia="宋体" w:cs="宋体"/>
          <w:color w:val="auto"/>
          <w:szCs w:val="21"/>
          <w:highlight w:val="none"/>
          <w:lang w:eastAsia="zh-CN"/>
        </w:rPr>
        <w:t>投标</w:t>
      </w:r>
      <w:r>
        <w:rPr>
          <w:rFonts w:hint="eastAsia" w:ascii="宋体" w:hAnsi="宋体" w:eastAsia="宋体" w:cs="宋体"/>
          <w:color w:val="auto"/>
          <w:szCs w:val="21"/>
          <w:highlight w:val="none"/>
        </w:rPr>
        <w:t>文件的修改与撤回</w:t>
      </w:r>
      <w:r>
        <w:rPr>
          <w:color w:val="auto"/>
          <w:highlight w:val="none"/>
        </w:rPr>
        <w:tab/>
      </w:r>
      <w:r>
        <w:rPr>
          <w:color w:val="auto"/>
          <w:highlight w:val="none"/>
        </w:rPr>
        <w:fldChar w:fldCharType="begin"/>
      </w:r>
      <w:r>
        <w:rPr>
          <w:color w:val="auto"/>
          <w:highlight w:val="none"/>
        </w:rPr>
        <w:instrText xml:space="preserve"> PAGEREF _Toc10516 \h </w:instrText>
      </w:r>
      <w:r>
        <w:rPr>
          <w:color w:val="auto"/>
          <w:highlight w:val="none"/>
        </w:rPr>
        <w:fldChar w:fldCharType="separate"/>
      </w:r>
      <w:r>
        <w:rPr>
          <w:color w:val="auto"/>
          <w:highlight w:val="none"/>
        </w:rPr>
        <w:t>32</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_Toc9452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5. 比选</w:t>
      </w:r>
      <w:r>
        <w:rPr>
          <w:color w:val="auto"/>
          <w:highlight w:val="none"/>
        </w:rPr>
        <w:tab/>
      </w:r>
      <w:r>
        <w:rPr>
          <w:color w:val="auto"/>
          <w:highlight w:val="none"/>
        </w:rPr>
        <w:fldChar w:fldCharType="begin"/>
      </w:r>
      <w:r>
        <w:rPr>
          <w:color w:val="auto"/>
          <w:highlight w:val="none"/>
        </w:rPr>
        <w:instrText xml:space="preserve"> PAGEREF _Toc9452 \h </w:instrText>
      </w:r>
      <w:r>
        <w:rPr>
          <w:color w:val="auto"/>
          <w:highlight w:val="none"/>
        </w:rPr>
        <w:fldChar w:fldCharType="separate"/>
      </w:r>
      <w:r>
        <w:rPr>
          <w:color w:val="auto"/>
          <w:highlight w:val="none"/>
        </w:rPr>
        <w:t>32</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_Toc30525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5.1 比选时间和地点</w:t>
      </w:r>
      <w:r>
        <w:rPr>
          <w:color w:val="auto"/>
          <w:highlight w:val="none"/>
        </w:rPr>
        <w:tab/>
      </w:r>
      <w:r>
        <w:rPr>
          <w:color w:val="auto"/>
          <w:highlight w:val="none"/>
        </w:rPr>
        <w:fldChar w:fldCharType="begin"/>
      </w:r>
      <w:r>
        <w:rPr>
          <w:color w:val="auto"/>
          <w:highlight w:val="none"/>
        </w:rPr>
        <w:instrText xml:space="preserve"> PAGEREF _Toc30525 \h </w:instrText>
      </w:r>
      <w:r>
        <w:rPr>
          <w:color w:val="auto"/>
          <w:highlight w:val="none"/>
        </w:rPr>
        <w:fldChar w:fldCharType="separate"/>
      </w:r>
      <w:r>
        <w:rPr>
          <w:color w:val="auto"/>
          <w:highlight w:val="none"/>
        </w:rPr>
        <w:t>32</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_Toc15151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5.2 比选程序</w:t>
      </w:r>
      <w:r>
        <w:rPr>
          <w:color w:val="auto"/>
          <w:highlight w:val="none"/>
        </w:rPr>
        <w:tab/>
      </w:r>
      <w:r>
        <w:rPr>
          <w:color w:val="auto"/>
          <w:highlight w:val="none"/>
        </w:rPr>
        <w:fldChar w:fldCharType="begin"/>
      </w:r>
      <w:r>
        <w:rPr>
          <w:color w:val="auto"/>
          <w:highlight w:val="none"/>
        </w:rPr>
        <w:instrText xml:space="preserve"> PAGEREF _Toc15151 \h </w:instrText>
      </w:r>
      <w:r>
        <w:rPr>
          <w:color w:val="auto"/>
          <w:highlight w:val="none"/>
        </w:rPr>
        <w:fldChar w:fldCharType="separate"/>
      </w:r>
      <w:r>
        <w:rPr>
          <w:color w:val="auto"/>
          <w:highlight w:val="none"/>
        </w:rPr>
        <w:t>32</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_Toc22870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6. 评审</w:t>
      </w:r>
      <w:r>
        <w:rPr>
          <w:color w:val="auto"/>
          <w:highlight w:val="none"/>
        </w:rPr>
        <w:tab/>
      </w:r>
      <w:r>
        <w:rPr>
          <w:color w:val="auto"/>
          <w:highlight w:val="none"/>
        </w:rPr>
        <w:fldChar w:fldCharType="begin"/>
      </w:r>
      <w:r>
        <w:rPr>
          <w:color w:val="auto"/>
          <w:highlight w:val="none"/>
        </w:rPr>
        <w:instrText xml:space="preserve"> PAGEREF _Toc22870 \h </w:instrText>
      </w:r>
      <w:r>
        <w:rPr>
          <w:color w:val="auto"/>
          <w:highlight w:val="none"/>
        </w:rPr>
        <w:fldChar w:fldCharType="separate"/>
      </w:r>
      <w:r>
        <w:rPr>
          <w:color w:val="auto"/>
          <w:highlight w:val="none"/>
        </w:rPr>
        <w:t>32</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_Toc12511 </w:instrText>
      </w:r>
      <w:r>
        <w:rPr>
          <w:rFonts w:ascii="宋体" w:hAnsi="宋体"/>
          <w:bCs/>
          <w:color w:val="auto"/>
          <w:szCs w:val="20"/>
          <w:highlight w:val="none"/>
          <w:lang w:val="zh-CN"/>
        </w:rPr>
        <w:fldChar w:fldCharType="separate"/>
      </w:r>
      <w:r>
        <w:rPr>
          <w:rFonts w:hint="eastAsia" w:ascii="宋体" w:hAnsi="宋体" w:eastAsia="宋体" w:cs="宋体"/>
          <w:bCs/>
          <w:snapToGrid w:val="0"/>
          <w:color w:val="auto"/>
          <w:kern w:val="2"/>
          <w:szCs w:val="21"/>
          <w:highlight w:val="none"/>
          <w:lang w:val="en-US" w:eastAsia="zh-CN" w:bidi="ar-SA"/>
        </w:rPr>
        <w:t>6.1  评标委员会</w:t>
      </w:r>
      <w:r>
        <w:rPr>
          <w:color w:val="auto"/>
          <w:highlight w:val="none"/>
        </w:rPr>
        <w:tab/>
      </w:r>
      <w:r>
        <w:rPr>
          <w:color w:val="auto"/>
          <w:highlight w:val="none"/>
        </w:rPr>
        <w:fldChar w:fldCharType="begin"/>
      </w:r>
      <w:r>
        <w:rPr>
          <w:color w:val="auto"/>
          <w:highlight w:val="none"/>
        </w:rPr>
        <w:instrText xml:space="preserve"> PAGEREF _Toc12511 \h </w:instrText>
      </w:r>
      <w:r>
        <w:rPr>
          <w:color w:val="auto"/>
          <w:highlight w:val="none"/>
        </w:rPr>
        <w:fldChar w:fldCharType="separate"/>
      </w:r>
      <w:r>
        <w:rPr>
          <w:color w:val="auto"/>
          <w:highlight w:val="none"/>
        </w:rPr>
        <w:t>32</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_Toc1144 </w:instrText>
      </w:r>
      <w:r>
        <w:rPr>
          <w:rFonts w:ascii="宋体" w:hAnsi="宋体"/>
          <w:bCs/>
          <w:color w:val="auto"/>
          <w:szCs w:val="20"/>
          <w:highlight w:val="none"/>
          <w:lang w:val="zh-CN"/>
        </w:rPr>
        <w:fldChar w:fldCharType="separate"/>
      </w:r>
      <w:r>
        <w:rPr>
          <w:rFonts w:hint="eastAsia" w:ascii="宋体" w:hAnsi="宋体" w:eastAsia="宋体" w:cs="宋体"/>
          <w:snapToGrid w:val="0"/>
          <w:color w:val="auto"/>
          <w:kern w:val="0"/>
          <w:szCs w:val="21"/>
          <w:highlight w:val="none"/>
        </w:rPr>
        <w:t>（1）投标人或投标人的主要负责人的近亲属；</w:t>
      </w:r>
      <w:r>
        <w:rPr>
          <w:color w:val="auto"/>
          <w:highlight w:val="none"/>
        </w:rPr>
        <w:tab/>
      </w:r>
      <w:r>
        <w:rPr>
          <w:color w:val="auto"/>
          <w:highlight w:val="none"/>
        </w:rPr>
        <w:fldChar w:fldCharType="begin"/>
      </w:r>
      <w:r>
        <w:rPr>
          <w:color w:val="auto"/>
          <w:highlight w:val="none"/>
        </w:rPr>
        <w:instrText xml:space="preserve"> PAGEREF _Toc1144 \h </w:instrText>
      </w:r>
      <w:r>
        <w:rPr>
          <w:color w:val="auto"/>
          <w:highlight w:val="none"/>
        </w:rPr>
        <w:fldChar w:fldCharType="separate"/>
      </w:r>
      <w:r>
        <w:rPr>
          <w:color w:val="auto"/>
          <w:highlight w:val="none"/>
        </w:rPr>
        <w:t>33</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_Toc27262 </w:instrText>
      </w:r>
      <w:r>
        <w:rPr>
          <w:rFonts w:ascii="宋体" w:hAnsi="宋体"/>
          <w:bCs/>
          <w:color w:val="auto"/>
          <w:szCs w:val="20"/>
          <w:highlight w:val="none"/>
          <w:lang w:val="zh-CN"/>
        </w:rPr>
        <w:fldChar w:fldCharType="separate"/>
      </w:r>
      <w:r>
        <w:rPr>
          <w:rFonts w:hint="eastAsia" w:ascii="宋体" w:hAnsi="宋体" w:eastAsia="宋体" w:cs="宋体"/>
          <w:snapToGrid w:val="0"/>
          <w:color w:val="auto"/>
          <w:kern w:val="0"/>
          <w:szCs w:val="21"/>
          <w:highlight w:val="none"/>
        </w:rPr>
        <w:t>（2）项目主管部门或者项目行政监督部门的人员；</w:t>
      </w:r>
      <w:r>
        <w:rPr>
          <w:color w:val="auto"/>
          <w:highlight w:val="none"/>
        </w:rPr>
        <w:tab/>
      </w:r>
      <w:r>
        <w:rPr>
          <w:color w:val="auto"/>
          <w:highlight w:val="none"/>
        </w:rPr>
        <w:fldChar w:fldCharType="begin"/>
      </w:r>
      <w:r>
        <w:rPr>
          <w:color w:val="auto"/>
          <w:highlight w:val="none"/>
        </w:rPr>
        <w:instrText xml:space="preserve"> PAGEREF _Toc27262 \h </w:instrText>
      </w:r>
      <w:r>
        <w:rPr>
          <w:color w:val="auto"/>
          <w:highlight w:val="none"/>
        </w:rPr>
        <w:fldChar w:fldCharType="separate"/>
      </w:r>
      <w:r>
        <w:rPr>
          <w:color w:val="auto"/>
          <w:highlight w:val="none"/>
        </w:rPr>
        <w:t>33</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_Toc1961 </w:instrText>
      </w:r>
      <w:r>
        <w:rPr>
          <w:rFonts w:ascii="宋体" w:hAnsi="宋体"/>
          <w:bCs/>
          <w:color w:val="auto"/>
          <w:szCs w:val="20"/>
          <w:highlight w:val="none"/>
          <w:lang w:val="zh-CN"/>
        </w:rPr>
        <w:fldChar w:fldCharType="separate"/>
      </w:r>
      <w:r>
        <w:rPr>
          <w:rFonts w:hint="eastAsia" w:ascii="宋体" w:hAnsi="宋体" w:eastAsia="宋体" w:cs="宋体"/>
          <w:snapToGrid w:val="0"/>
          <w:color w:val="auto"/>
          <w:kern w:val="0"/>
          <w:szCs w:val="21"/>
          <w:highlight w:val="none"/>
        </w:rPr>
        <w:t>（3）与投标人有利害关系，可能影响对投标公正评审的；</w:t>
      </w:r>
      <w:r>
        <w:rPr>
          <w:color w:val="auto"/>
          <w:highlight w:val="none"/>
        </w:rPr>
        <w:tab/>
      </w:r>
      <w:r>
        <w:rPr>
          <w:color w:val="auto"/>
          <w:highlight w:val="none"/>
        </w:rPr>
        <w:fldChar w:fldCharType="begin"/>
      </w:r>
      <w:r>
        <w:rPr>
          <w:color w:val="auto"/>
          <w:highlight w:val="none"/>
        </w:rPr>
        <w:instrText xml:space="preserve"> PAGEREF _Toc1961 \h </w:instrText>
      </w:r>
      <w:r>
        <w:rPr>
          <w:color w:val="auto"/>
          <w:highlight w:val="none"/>
        </w:rPr>
        <w:fldChar w:fldCharType="separate"/>
      </w:r>
      <w:r>
        <w:rPr>
          <w:color w:val="auto"/>
          <w:highlight w:val="none"/>
        </w:rPr>
        <w:t>33</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_Toc11615 </w:instrText>
      </w:r>
      <w:r>
        <w:rPr>
          <w:rFonts w:ascii="宋体" w:hAnsi="宋体"/>
          <w:bCs/>
          <w:color w:val="auto"/>
          <w:szCs w:val="20"/>
          <w:highlight w:val="none"/>
          <w:lang w:val="zh-CN"/>
        </w:rPr>
        <w:fldChar w:fldCharType="separate"/>
      </w:r>
      <w:r>
        <w:rPr>
          <w:rFonts w:hint="eastAsia" w:ascii="宋体" w:hAnsi="宋体" w:eastAsia="宋体" w:cs="宋体"/>
          <w:snapToGrid w:val="0"/>
          <w:color w:val="auto"/>
          <w:kern w:val="0"/>
          <w:szCs w:val="21"/>
          <w:highlight w:val="none"/>
        </w:rPr>
        <w:t>（4）曾因在招标、评标以及其他与招标投标有关活动中从事违法行为而受过行政处罚或刑事处罚的；</w:t>
      </w:r>
      <w:r>
        <w:rPr>
          <w:color w:val="auto"/>
          <w:highlight w:val="none"/>
        </w:rPr>
        <w:tab/>
      </w:r>
      <w:r>
        <w:rPr>
          <w:color w:val="auto"/>
          <w:highlight w:val="none"/>
        </w:rPr>
        <w:fldChar w:fldCharType="begin"/>
      </w:r>
      <w:r>
        <w:rPr>
          <w:color w:val="auto"/>
          <w:highlight w:val="none"/>
        </w:rPr>
        <w:instrText xml:space="preserve"> PAGEREF _Toc11615 \h </w:instrText>
      </w:r>
      <w:r>
        <w:rPr>
          <w:color w:val="auto"/>
          <w:highlight w:val="none"/>
        </w:rPr>
        <w:fldChar w:fldCharType="separate"/>
      </w:r>
      <w:r>
        <w:rPr>
          <w:color w:val="auto"/>
          <w:highlight w:val="none"/>
        </w:rPr>
        <w:t>33</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_Toc17356 </w:instrText>
      </w:r>
      <w:r>
        <w:rPr>
          <w:rFonts w:ascii="宋体" w:hAnsi="宋体"/>
          <w:bCs/>
          <w:color w:val="auto"/>
          <w:szCs w:val="20"/>
          <w:highlight w:val="none"/>
          <w:lang w:val="zh-CN"/>
        </w:rPr>
        <w:fldChar w:fldCharType="separate"/>
      </w:r>
      <w:r>
        <w:rPr>
          <w:rFonts w:hint="eastAsia" w:ascii="宋体" w:hAnsi="宋体" w:eastAsia="宋体" w:cs="宋体"/>
          <w:snapToGrid w:val="0"/>
          <w:color w:val="auto"/>
          <w:kern w:val="0"/>
          <w:szCs w:val="21"/>
          <w:highlight w:val="none"/>
        </w:rPr>
        <w:t>（5）法律法规规定的其他情形。</w:t>
      </w:r>
      <w:r>
        <w:rPr>
          <w:color w:val="auto"/>
          <w:highlight w:val="none"/>
        </w:rPr>
        <w:tab/>
      </w:r>
      <w:r>
        <w:rPr>
          <w:color w:val="auto"/>
          <w:highlight w:val="none"/>
        </w:rPr>
        <w:fldChar w:fldCharType="begin"/>
      </w:r>
      <w:r>
        <w:rPr>
          <w:color w:val="auto"/>
          <w:highlight w:val="none"/>
        </w:rPr>
        <w:instrText xml:space="preserve"> PAGEREF _Toc17356 \h </w:instrText>
      </w:r>
      <w:r>
        <w:rPr>
          <w:color w:val="auto"/>
          <w:highlight w:val="none"/>
        </w:rPr>
        <w:fldChar w:fldCharType="separate"/>
      </w:r>
      <w:r>
        <w:rPr>
          <w:color w:val="auto"/>
          <w:highlight w:val="none"/>
        </w:rPr>
        <w:t>33</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_Toc11338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lang w:val="en-US" w:eastAsia="zh-CN"/>
        </w:rPr>
        <w:t>6.2  评标原则</w:t>
      </w:r>
      <w:r>
        <w:rPr>
          <w:color w:val="auto"/>
          <w:highlight w:val="none"/>
        </w:rPr>
        <w:tab/>
      </w:r>
      <w:r>
        <w:rPr>
          <w:color w:val="auto"/>
          <w:highlight w:val="none"/>
        </w:rPr>
        <w:fldChar w:fldCharType="begin"/>
      </w:r>
      <w:r>
        <w:rPr>
          <w:color w:val="auto"/>
          <w:highlight w:val="none"/>
        </w:rPr>
        <w:instrText xml:space="preserve"> PAGEREF _Toc11338 \h </w:instrText>
      </w:r>
      <w:r>
        <w:rPr>
          <w:color w:val="auto"/>
          <w:highlight w:val="none"/>
        </w:rPr>
        <w:fldChar w:fldCharType="separate"/>
      </w:r>
      <w:r>
        <w:rPr>
          <w:color w:val="auto"/>
          <w:highlight w:val="none"/>
        </w:rPr>
        <w:t>33</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_Toc26669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lang w:val="en-US" w:eastAsia="zh-CN"/>
        </w:rPr>
        <w:t>6.3  评标</w:t>
      </w:r>
      <w:r>
        <w:rPr>
          <w:color w:val="auto"/>
          <w:highlight w:val="none"/>
        </w:rPr>
        <w:tab/>
      </w:r>
      <w:r>
        <w:rPr>
          <w:color w:val="auto"/>
          <w:highlight w:val="none"/>
        </w:rPr>
        <w:fldChar w:fldCharType="begin"/>
      </w:r>
      <w:r>
        <w:rPr>
          <w:color w:val="auto"/>
          <w:highlight w:val="none"/>
        </w:rPr>
        <w:instrText xml:space="preserve"> PAGEREF _Toc26669 \h </w:instrText>
      </w:r>
      <w:r>
        <w:rPr>
          <w:color w:val="auto"/>
          <w:highlight w:val="none"/>
        </w:rPr>
        <w:fldChar w:fldCharType="separate"/>
      </w:r>
      <w:r>
        <w:rPr>
          <w:color w:val="auto"/>
          <w:highlight w:val="none"/>
        </w:rPr>
        <w:t>33</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_Toc10845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7. 合同授予</w:t>
      </w:r>
      <w:r>
        <w:rPr>
          <w:color w:val="auto"/>
          <w:highlight w:val="none"/>
        </w:rPr>
        <w:tab/>
      </w:r>
      <w:r>
        <w:rPr>
          <w:color w:val="auto"/>
          <w:highlight w:val="none"/>
        </w:rPr>
        <w:fldChar w:fldCharType="begin"/>
      </w:r>
      <w:r>
        <w:rPr>
          <w:color w:val="auto"/>
          <w:highlight w:val="none"/>
        </w:rPr>
        <w:instrText xml:space="preserve"> PAGEREF _Toc10845 \h </w:instrText>
      </w:r>
      <w:r>
        <w:rPr>
          <w:color w:val="auto"/>
          <w:highlight w:val="none"/>
        </w:rPr>
        <w:fldChar w:fldCharType="separate"/>
      </w:r>
      <w:r>
        <w:rPr>
          <w:color w:val="auto"/>
          <w:highlight w:val="none"/>
        </w:rPr>
        <w:t>33</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_Toc16495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7.1 定选方式</w:t>
      </w:r>
      <w:r>
        <w:rPr>
          <w:color w:val="auto"/>
          <w:highlight w:val="none"/>
        </w:rPr>
        <w:tab/>
      </w:r>
      <w:r>
        <w:rPr>
          <w:color w:val="auto"/>
          <w:highlight w:val="none"/>
        </w:rPr>
        <w:fldChar w:fldCharType="begin"/>
      </w:r>
      <w:r>
        <w:rPr>
          <w:color w:val="auto"/>
          <w:highlight w:val="none"/>
        </w:rPr>
        <w:instrText xml:space="preserve"> PAGEREF _Toc16495 \h </w:instrText>
      </w:r>
      <w:r>
        <w:rPr>
          <w:color w:val="auto"/>
          <w:highlight w:val="none"/>
        </w:rPr>
        <w:fldChar w:fldCharType="separate"/>
      </w:r>
      <w:r>
        <w:rPr>
          <w:color w:val="auto"/>
          <w:highlight w:val="none"/>
        </w:rPr>
        <w:t>33</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_Toc28098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7.2 中</w:t>
      </w:r>
      <w:r>
        <w:rPr>
          <w:rFonts w:hint="eastAsia" w:ascii="宋体" w:hAnsi="宋体" w:eastAsia="宋体" w:cs="宋体"/>
          <w:color w:val="auto"/>
          <w:szCs w:val="21"/>
          <w:highlight w:val="none"/>
          <w:lang w:val="en-US" w:eastAsia="zh-CN"/>
        </w:rPr>
        <w:t>标</w:t>
      </w:r>
      <w:r>
        <w:rPr>
          <w:rFonts w:hint="eastAsia" w:ascii="宋体" w:hAnsi="宋体" w:eastAsia="宋体" w:cs="宋体"/>
          <w:color w:val="auto"/>
          <w:szCs w:val="21"/>
          <w:highlight w:val="none"/>
        </w:rPr>
        <w:t>通知</w:t>
      </w:r>
      <w:r>
        <w:rPr>
          <w:color w:val="auto"/>
          <w:highlight w:val="none"/>
        </w:rPr>
        <w:tab/>
      </w:r>
      <w:r>
        <w:rPr>
          <w:color w:val="auto"/>
          <w:highlight w:val="none"/>
        </w:rPr>
        <w:fldChar w:fldCharType="begin"/>
      </w:r>
      <w:r>
        <w:rPr>
          <w:color w:val="auto"/>
          <w:highlight w:val="none"/>
        </w:rPr>
        <w:instrText xml:space="preserve"> PAGEREF _Toc28098 \h </w:instrText>
      </w:r>
      <w:r>
        <w:rPr>
          <w:color w:val="auto"/>
          <w:highlight w:val="none"/>
        </w:rPr>
        <w:fldChar w:fldCharType="separate"/>
      </w:r>
      <w:r>
        <w:rPr>
          <w:color w:val="auto"/>
          <w:highlight w:val="none"/>
        </w:rPr>
        <w:t>33</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_Toc18147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7.4 签订合同</w:t>
      </w:r>
      <w:r>
        <w:rPr>
          <w:color w:val="auto"/>
          <w:highlight w:val="none"/>
        </w:rPr>
        <w:tab/>
      </w:r>
      <w:r>
        <w:rPr>
          <w:color w:val="auto"/>
          <w:highlight w:val="none"/>
        </w:rPr>
        <w:fldChar w:fldCharType="begin"/>
      </w:r>
      <w:r>
        <w:rPr>
          <w:color w:val="auto"/>
          <w:highlight w:val="none"/>
        </w:rPr>
        <w:instrText xml:space="preserve"> PAGEREF _Toc18147 \h </w:instrText>
      </w:r>
      <w:r>
        <w:rPr>
          <w:color w:val="auto"/>
          <w:highlight w:val="none"/>
        </w:rPr>
        <w:fldChar w:fldCharType="separate"/>
      </w:r>
      <w:r>
        <w:rPr>
          <w:color w:val="auto"/>
          <w:highlight w:val="none"/>
        </w:rPr>
        <w:t>33</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_Toc18728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8. 重新比选和不再比选</w:t>
      </w:r>
      <w:r>
        <w:rPr>
          <w:color w:val="auto"/>
          <w:highlight w:val="none"/>
        </w:rPr>
        <w:tab/>
      </w:r>
      <w:r>
        <w:rPr>
          <w:color w:val="auto"/>
          <w:highlight w:val="none"/>
        </w:rPr>
        <w:fldChar w:fldCharType="begin"/>
      </w:r>
      <w:r>
        <w:rPr>
          <w:color w:val="auto"/>
          <w:highlight w:val="none"/>
        </w:rPr>
        <w:instrText xml:space="preserve"> PAGEREF _Toc18728 \h </w:instrText>
      </w:r>
      <w:r>
        <w:rPr>
          <w:color w:val="auto"/>
          <w:highlight w:val="none"/>
        </w:rPr>
        <w:fldChar w:fldCharType="separate"/>
      </w:r>
      <w:r>
        <w:rPr>
          <w:color w:val="auto"/>
          <w:highlight w:val="none"/>
        </w:rPr>
        <w:t>34</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_Toc18060 </w:instrText>
      </w:r>
      <w:r>
        <w:rPr>
          <w:rFonts w:ascii="宋体" w:hAnsi="宋体"/>
          <w:bCs/>
          <w:color w:val="auto"/>
          <w:szCs w:val="20"/>
          <w:highlight w:val="none"/>
          <w:lang w:val="zh-CN"/>
        </w:rPr>
        <w:fldChar w:fldCharType="separate"/>
      </w:r>
      <w:r>
        <w:rPr>
          <w:rFonts w:hint="eastAsia" w:ascii="宋体" w:hAnsi="宋体" w:eastAsia="宋体" w:cs="宋体"/>
          <w:bCs/>
          <w:snapToGrid w:val="0"/>
          <w:color w:val="auto"/>
          <w:kern w:val="2"/>
          <w:szCs w:val="21"/>
          <w:highlight w:val="none"/>
          <w:lang w:val="en-US" w:eastAsia="zh-CN" w:bidi="ar-SA"/>
        </w:rPr>
        <w:t>8.1  重新比选</w:t>
      </w:r>
      <w:r>
        <w:rPr>
          <w:color w:val="auto"/>
          <w:highlight w:val="none"/>
        </w:rPr>
        <w:tab/>
      </w:r>
      <w:r>
        <w:rPr>
          <w:color w:val="auto"/>
          <w:highlight w:val="none"/>
        </w:rPr>
        <w:fldChar w:fldCharType="begin"/>
      </w:r>
      <w:r>
        <w:rPr>
          <w:color w:val="auto"/>
          <w:highlight w:val="none"/>
        </w:rPr>
        <w:instrText xml:space="preserve"> PAGEREF _Toc18060 \h </w:instrText>
      </w:r>
      <w:r>
        <w:rPr>
          <w:color w:val="auto"/>
          <w:highlight w:val="none"/>
        </w:rPr>
        <w:fldChar w:fldCharType="separate"/>
      </w:r>
      <w:r>
        <w:rPr>
          <w:color w:val="auto"/>
          <w:highlight w:val="none"/>
        </w:rPr>
        <w:t>34</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_Toc31288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8.2 不再比选</w:t>
      </w:r>
      <w:r>
        <w:rPr>
          <w:color w:val="auto"/>
          <w:highlight w:val="none"/>
        </w:rPr>
        <w:tab/>
      </w:r>
      <w:r>
        <w:rPr>
          <w:color w:val="auto"/>
          <w:highlight w:val="none"/>
        </w:rPr>
        <w:fldChar w:fldCharType="begin"/>
      </w:r>
      <w:r>
        <w:rPr>
          <w:color w:val="auto"/>
          <w:highlight w:val="none"/>
        </w:rPr>
        <w:instrText xml:space="preserve"> PAGEREF _Toc31288 \h </w:instrText>
      </w:r>
      <w:r>
        <w:rPr>
          <w:color w:val="auto"/>
          <w:highlight w:val="none"/>
        </w:rPr>
        <w:fldChar w:fldCharType="separate"/>
      </w:r>
      <w:r>
        <w:rPr>
          <w:color w:val="auto"/>
          <w:highlight w:val="none"/>
        </w:rPr>
        <w:t>34</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_Toc29282 </w:instrText>
      </w:r>
      <w:r>
        <w:rPr>
          <w:rFonts w:ascii="宋体" w:hAnsi="宋体"/>
          <w:bCs/>
          <w:color w:val="auto"/>
          <w:szCs w:val="20"/>
          <w:highlight w:val="none"/>
          <w:lang w:val="zh-CN"/>
        </w:rPr>
        <w:fldChar w:fldCharType="separate"/>
      </w:r>
      <w:r>
        <w:rPr>
          <w:rFonts w:hint="eastAsia" w:ascii="宋体" w:hAnsi="宋体" w:eastAsia="宋体" w:cs="宋体"/>
          <w:color w:val="auto"/>
          <w:szCs w:val="21"/>
          <w:highlight w:val="none"/>
        </w:rPr>
        <w:t>9.  纪律和监督</w:t>
      </w:r>
      <w:r>
        <w:rPr>
          <w:color w:val="auto"/>
          <w:highlight w:val="none"/>
        </w:rPr>
        <w:tab/>
      </w:r>
      <w:r>
        <w:rPr>
          <w:color w:val="auto"/>
          <w:highlight w:val="none"/>
        </w:rPr>
        <w:fldChar w:fldCharType="begin"/>
      </w:r>
      <w:r>
        <w:rPr>
          <w:color w:val="auto"/>
          <w:highlight w:val="none"/>
        </w:rPr>
        <w:instrText xml:space="preserve"> PAGEREF _Toc29282 \h </w:instrText>
      </w:r>
      <w:r>
        <w:rPr>
          <w:color w:val="auto"/>
          <w:highlight w:val="none"/>
        </w:rPr>
        <w:fldChar w:fldCharType="separate"/>
      </w:r>
      <w:r>
        <w:rPr>
          <w:color w:val="auto"/>
          <w:highlight w:val="none"/>
        </w:rPr>
        <w:t>34</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_Toc19529 </w:instrText>
      </w:r>
      <w:r>
        <w:rPr>
          <w:rFonts w:ascii="宋体" w:hAnsi="宋体"/>
          <w:bCs/>
          <w:color w:val="auto"/>
          <w:szCs w:val="20"/>
          <w:highlight w:val="none"/>
          <w:lang w:val="zh-CN"/>
        </w:rPr>
        <w:fldChar w:fldCharType="separate"/>
      </w:r>
      <w:r>
        <w:rPr>
          <w:rFonts w:hint="eastAsia" w:ascii="宋体" w:hAnsi="宋体" w:eastAsia="宋体" w:cs="宋体"/>
          <w:bCs/>
          <w:snapToGrid w:val="0"/>
          <w:color w:val="auto"/>
          <w:kern w:val="2"/>
          <w:szCs w:val="21"/>
          <w:highlight w:val="none"/>
          <w:lang w:val="en-US" w:eastAsia="zh-CN" w:bidi="ar-SA"/>
        </w:rPr>
        <w:t>9.1  对比选人的纪律要求</w:t>
      </w:r>
      <w:r>
        <w:rPr>
          <w:color w:val="auto"/>
          <w:highlight w:val="none"/>
        </w:rPr>
        <w:tab/>
      </w:r>
      <w:r>
        <w:rPr>
          <w:color w:val="auto"/>
          <w:highlight w:val="none"/>
        </w:rPr>
        <w:fldChar w:fldCharType="begin"/>
      </w:r>
      <w:r>
        <w:rPr>
          <w:color w:val="auto"/>
          <w:highlight w:val="none"/>
        </w:rPr>
        <w:instrText xml:space="preserve"> PAGEREF _Toc19529 \h </w:instrText>
      </w:r>
      <w:r>
        <w:rPr>
          <w:color w:val="auto"/>
          <w:highlight w:val="none"/>
        </w:rPr>
        <w:fldChar w:fldCharType="separate"/>
      </w:r>
      <w:r>
        <w:rPr>
          <w:color w:val="auto"/>
          <w:highlight w:val="none"/>
        </w:rPr>
        <w:t>34</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_Toc17298 </w:instrText>
      </w:r>
      <w:r>
        <w:rPr>
          <w:rFonts w:ascii="宋体" w:hAnsi="宋体"/>
          <w:bCs/>
          <w:color w:val="auto"/>
          <w:szCs w:val="20"/>
          <w:highlight w:val="none"/>
          <w:lang w:val="zh-CN"/>
        </w:rPr>
        <w:fldChar w:fldCharType="separate"/>
      </w:r>
      <w:r>
        <w:rPr>
          <w:rFonts w:hint="eastAsia" w:ascii="宋体" w:hAnsi="宋体" w:eastAsia="宋体" w:cs="宋体"/>
          <w:bCs/>
          <w:snapToGrid w:val="0"/>
          <w:color w:val="auto"/>
          <w:kern w:val="2"/>
          <w:szCs w:val="21"/>
          <w:highlight w:val="none"/>
          <w:lang w:val="en-US" w:eastAsia="zh-CN" w:bidi="ar-SA"/>
        </w:rPr>
        <w:t>9.2  对投标人的纪律要求</w:t>
      </w:r>
      <w:r>
        <w:rPr>
          <w:color w:val="auto"/>
          <w:highlight w:val="none"/>
        </w:rPr>
        <w:tab/>
      </w:r>
      <w:r>
        <w:rPr>
          <w:color w:val="auto"/>
          <w:highlight w:val="none"/>
        </w:rPr>
        <w:fldChar w:fldCharType="begin"/>
      </w:r>
      <w:r>
        <w:rPr>
          <w:color w:val="auto"/>
          <w:highlight w:val="none"/>
        </w:rPr>
        <w:instrText xml:space="preserve"> PAGEREF _Toc17298 \h </w:instrText>
      </w:r>
      <w:r>
        <w:rPr>
          <w:color w:val="auto"/>
          <w:highlight w:val="none"/>
        </w:rPr>
        <w:fldChar w:fldCharType="separate"/>
      </w:r>
      <w:r>
        <w:rPr>
          <w:color w:val="auto"/>
          <w:highlight w:val="none"/>
        </w:rPr>
        <w:t>34</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_Toc10791 </w:instrText>
      </w:r>
      <w:r>
        <w:rPr>
          <w:rFonts w:ascii="宋体" w:hAnsi="宋体"/>
          <w:bCs/>
          <w:color w:val="auto"/>
          <w:szCs w:val="20"/>
          <w:highlight w:val="none"/>
          <w:lang w:val="zh-CN"/>
        </w:rPr>
        <w:fldChar w:fldCharType="separate"/>
      </w:r>
      <w:r>
        <w:rPr>
          <w:rFonts w:hint="eastAsia" w:ascii="宋体" w:hAnsi="宋体" w:eastAsia="宋体" w:cs="宋体"/>
          <w:bCs/>
          <w:snapToGrid w:val="0"/>
          <w:color w:val="auto"/>
          <w:kern w:val="2"/>
          <w:szCs w:val="21"/>
          <w:highlight w:val="none"/>
          <w:lang w:val="en-US" w:eastAsia="zh-CN" w:bidi="ar-SA"/>
        </w:rPr>
        <w:t>9.3  对评标委员会成员的纪律要求</w:t>
      </w:r>
      <w:r>
        <w:rPr>
          <w:color w:val="auto"/>
          <w:highlight w:val="none"/>
        </w:rPr>
        <w:tab/>
      </w:r>
      <w:r>
        <w:rPr>
          <w:color w:val="auto"/>
          <w:highlight w:val="none"/>
        </w:rPr>
        <w:fldChar w:fldCharType="begin"/>
      </w:r>
      <w:r>
        <w:rPr>
          <w:color w:val="auto"/>
          <w:highlight w:val="none"/>
        </w:rPr>
        <w:instrText xml:space="preserve"> PAGEREF _Toc10791 \h </w:instrText>
      </w:r>
      <w:r>
        <w:rPr>
          <w:color w:val="auto"/>
          <w:highlight w:val="none"/>
        </w:rPr>
        <w:fldChar w:fldCharType="separate"/>
      </w:r>
      <w:r>
        <w:rPr>
          <w:color w:val="auto"/>
          <w:highlight w:val="none"/>
        </w:rPr>
        <w:t>35</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_Toc16075 </w:instrText>
      </w:r>
      <w:r>
        <w:rPr>
          <w:rFonts w:ascii="宋体" w:hAnsi="宋体"/>
          <w:bCs/>
          <w:color w:val="auto"/>
          <w:szCs w:val="20"/>
          <w:highlight w:val="none"/>
          <w:lang w:val="zh-CN"/>
        </w:rPr>
        <w:fldChar w:fldCharType="separate"/>
      </w:r>
      <w:r>
        <w:rPr>
          <w:rFonts w:hint="eastAsia" w:ascii="宋体" w:hAnsi="宋体" w:eastAsia="宋体" w:cs="宋体"/>
          <w:bCs/>
          <w:snapToGrid w:val="0"/>
          <w:color w:val="auto"/>
          <w:kern w:val="2"/>
          <w:szCs w:val="21"/>
          <w:highlight w:val="none"/>
          <w:lang w:val="en-US" w:eastAsia="zh-CN" w:bidi="ar-SA"/>
        </w:rPr>
        <w:t>9.4  对与评标活动有关的工作人员的纪律要求</w:t>
      </w:r>
      <w:r>
        <w:rPr>
          <w:color w:val="auto"/>
          <w:highlight w:val="none"/>
        </w:rPr>
        <w:tab/>
      </w:r>
      <w:r>
        <w:rPr>
          <w:color w:val="auto"/>
          <w:highlight w:val="none"/>
        </w:rPr>
        <w:fldChar w:fldCharType="begin"/>
      </w:r>
      <w:r>
        <w:rPr>
          <w:color w:val="auto"/>
          <w:highlight w:val="none"/>
        </w:rPr>
        <w:instrText xml:space="preserve"> PAGEREF _Toc16075 \h </w:instrText>
      </w:r>
      <w:r>
        <w:rPr>
          <w:color w:val="auto"/>
          <w:highlight w:val="none"/>
        </w:rPr>
        <w:fldChar w:fldCharType="separate"/>
      </w:r>
      <w:r>
        <w:rPr>
          <w:color w:val="auto"/>
          <w:highlight w:val="none"/>
        </w:rPr>
        <w:t>35</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_Toc24235 </w:instrText>
      </w:r>
      <w:r>
        <w:rPr>
          <w:rFonts w:ascii="宋体" w:hAnsi="宋体"/>
          <w:bCs/>
          <w:color w:val="auto"/>
          <w:szCs w:val="20"/>
          <w:highlight w:val="none"/>
          <w:lang w:val="zh-CN"/>
        </w:rPr>
        <w:fldChar w:fldCharType="separate"/>
      </w:r>
      <w:r>
        <w:rPr>
          <w:rFonts w:hint="eastAsia" w:ascii="宋体" w:hAnsi="宋体" w:eastAsia="宋体" w:cs="宋体"/>
          <w:bCs/>
          <w:snapToGrid w:val="0"/>
          <w:color w:val="auto"/>
          <w:kern w:val="2"/>
          <w:szCs w:val="21"/>
          <w:highlight w:val="none"/>
          <w:lang w:val="en-US" w:eastAsia="zh-CN" w:bidi="ar-SA"/>
        </w:rPr>
        <w:t>9.5  投诉</w:t>
      </w:r>
      <w:r>
        <w:rPr>
          <w:color w:val="auto"/>
          <w:highlight w:val="none"/>
        </w:rPr>
        <w:tab/>
      </w:r>
      <w:r>
        <w:rPr>
          <w:color w:val="auto"/>
          <w:highlight w:val="none"/>
        </w:rPr>
        <w:fldChar w:fldCharType="begin"/>
      </w:r>
      <w:r>
        <w:rPr>
          <w:color w:val="auto"/>
          <w:highlight w:val="none"/>
        </w:rPr>
        <w:instrText xml:space="preserve"> PAGEREF _Toc24235 \h </w:instrText>
      </w:r>
      <w:r>
        <w:rPr>
          <w:color w:val="auto"/>
          <w:highlight w:val="none"/>
        </w:rPr>
        <w:fldChar w:fldCharType="separate"/>
      </w:r>
      <w:r>
        <w:rPr>
          <w:color w:val="auto"/>
          <w:highlight w:val="none"/>
        </w:rPr>
        <w:t>35</w:t>
      </w:r>
      <w:r>
        <w:rPr>
          <w:color w:val="auto"/>
          <w:highlight w:val="none"/>
        </w:rPr>
        <w:fldChar w:fldCharType="end"/>
      </w:r>
      <w:r>
        <w:rPr>
          <w:rFonts w:ascii="宋体" w:hAnsi="宋体"/>
          <w:bCs/>
          <w:color w:val="auto"/>
          <w:szCs w:val="20"/>
          <w:highlight w:val="none"/>
          <w:lang w:val="zh-CN"/>
        </w:rPr>
        <w:fldChar w:fldCharType="end"/>
      </w:r>
    </w:p>
    <w:p>
      <w:pPr>
        <w:pStyle w:val="31"/>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_Toc210 </w:instrText>
      </w:r>
      <w:r>
        <w:rPr>
          <w:rFonts w:ascii="宋体" w:hAnsi="宋体"/>
          <w:bCs/>
          <w:color w:val="auto"/>
          <w:szCs w:val="20"/>
          <w:highlight w:val="none"/>
          <w:lang w:val="zh-CN"/>
        </w:rPr>
        <w:fldChar w:fldCharType="separate"/>
      </w:r>
      <w:r>
        <w:rPr>
          <w:rFonts w:ascii="宋体" w:hAnsi="宋体"/>
          <w:snapToGrid w:val="0"/>
          <w:color w:val="auto"/>
          <w:kern w:val="0"/>
          <w:highlight w:val="none"/>
        </w:rPr>
        <w:t xml:space="preserve">第三章 </w:t>
      </w:r>
      <w:r>
        <w:rPr>
          <w:rFonts w:hint="eastAsia" w:ascii="宋体" w:hAnsi="宋体"/>
          <w:snapToGrid w:val="0"/>
          <w:color w:val="auto"/>
          <w:kern w:val="0"/>
          <w:highlight w:val="none"/>
        </w:rPr>
        <w:t xml:space="preserve"> </w:t>
      </w:r>
      <w:r>
        <w:rPr>
          <w:rFonts w:ascii="宋体" w:hAnsi="宋体"/>
          <w:snapToGrid w:val="0"/>
          <w:color w:val="auto"/>
          <w:kern w:val="0"/>
          <w:highlight w:val="none"/>
        </w:rPr>
        <w:t>评标办法（</w:t>
      </w:r>
      <w:r>
        <w:rPr>
          <w:rFonts w:hint="eastAsia" w:ascii="宋体" w:hAnsi="宋体"/>
          <w:snapToGrid w:val="0"/>
          <w:color w:val="auto"/>
          <w:kern w:val="0"/>
          <w:highlight w:val="none"/>
        </w:rPr>
        <w:t>经评审的最低投标价法</w:t>
      </w:r>
      <w:r>
        <w:rPr>
          <w:rFonts w:ascii="宋体" w:hAnsi="宋体"/>
          <w:snapToGrid w:val="0"/>
          <w:color w:val="auto"/>
          <w:kern w:val="0"/>
          <w:highlight w:val="none"/>
        </w:rPr>
        <w:t>）</w:t>
      </w:r>
      <w:r>
        <w:rPr>
          <w:color w:val="auto"/>
          <w:highlight w:val="none"/>
        </w:rPr>
        <w:tab/>
      </w:r>
      <w:r>
        <w:rPr>
          <w:color w:val="auto"/>
          <w:highlight w:val="none"/>
        </w:rPr>
        <w:fldChar w:fldCharType="begin"/>
      </w:r>
      <w:r>
        <w:rPr>
          <w:color w:val="auto"/>
          <w:highlight w:val="none"/>
        </w:rPr>
        <w:instrText xml:space="preserve"> PAGEREF _Toc210 \h </w:instrText>
      </w:r>
      <w:r>
        <w:rPr>
          <w:color w:val="auto"/>
          <w:highlight w:val="none"/>
        </w:rPr>
        <w:fldChar w:fldCharType="separate"/>
      </w:r>
      <w:r>
        <w:rPr>
          <w:color w:val="auto"/>
          <w:highlight w:val="none"/>
        </w:rPr>
        <w:t>36</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_Toc884 </w:instrText>
      </w:r>
      <w:r>
        <w:rPr>
          <w:rFonts w:ascii="宋体" w:hAnsi="宋体"/>
          <w:bCs/>
          <w:color w:val="auto"/>
          <w:szCs w:val="20"/>
          <w:highlight w:val="none"/>
          <w:lang w:val="zh-CN"/>
        </w:rPr>
        <w:fldChar w:fldCharType="separate"/>
      </w:r>
      <w:r>
        <w:rPr>
          <w:rFonts w:hint="eastAsia" w:ascii="宋体" w:hAnsi="宋体"/>
          <w:color w:val="auto"/>
          <w:szCs w:val="32"/>
          <w:highlight w:val="none"/>
        </w:rPr>
        <w:t>评标办法前附表</w:t>
      </w:r>
      <w:r>
        <w:rPr>
          <w:color w:val="auto"/>
          <w:highlight w:val="none"/>
        </w:rPr>
        <w:tab/>
      </w:r>
      <w:r>
        <w:rPr>
          <w:color w:val="auto"/>
          <w:highlight w:val="none"/>
        </w:rPr>
        <w:fldChar w:fldCharType="begin"/>
      </w:r>
      <w:r>
        <w:rPr>
          <w:color w:val="auto"/>
          <w:highlight w:val="none"/>
        </w:rPr>
        <w:instrText xml:space="preserve"> PAGEREF _Toc884 \h </w:instrText>
      </w:r>
      <w:r>
        <w:rPr>
          <w:color w:val="auto"/>
          <w:highlight w:val="none"/>
        </w:rPr>
        <w:fldChar w:fldCharType="separate"/>
      </w:r>
      <w:r>
        <w:rPr>
          <w:color w:val="auto"/>
          <w:highlight w:val="none"/>
        </w:rPr>
        <w:t>36</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_Toc13566 </w:instrText>
      </w:r>
      <w:r>
        <w:rPr>
          <w:rFonts w:ascii="宋体" w:hAnsi="宋体"/>
          <w:bCs/>
          <w:color w:val="auto"/>
          <w:szCs w:val="20"/>
          <w:highlight w:val="none"/>
          <w:lang w:val="zh-CN"/>
        </w:rPr>
        <w:fldChar w:fldCharType="separate"/>
      </w:r>
      <w:r>
        <w:rPr>
          <w:rFonts w:ascii="宋体" w:hAnsi="宋体"/>
          <w:snapToGrid w:val="0"/>
          <w:color w:val="auto"/>
          <w:highlight w:val="none"/>
        </w:rPr>
        <w:t>1.  评标方法</w:t>
      </w:r>
      <w:r>
        <w:rPr>
          <w:color w:val="auto"/>
          <w:highlight w:val="none"/>
        </w:rPr>
        <w:tab/>
      </w:r>
      <w:r>
        <w:rPr>
          <w:color w:val="auto"/>
          <w:highlight w:val="none"/>
        </w:rPr>
        <w:fldChar w:fldCharType="begin"/>
      </w:r>
      <w:r>
        <w:rPr>
          <w:color w:val="auto"/>
          <w:highlight w:val="none"/>
        </w:rPr>
        <w:instrText xml:space="preserve"> PAGEREF _Toc13566 \h </w:instrText>
      </w:r>
      <w:r>
        <w:rPr>
          <w:color w:val="auto"/>
          <w:highlight w:val="none"/>
        </w:rPr>
        <w:fldChar w:fldCharType="separate"/>
      </w:r>
      <w:r>
        <w:rPr>
          <w:color w:val="auto"/>
          <w:highlight w:val="none"/>
        </w:rPr>
        <w:t>41</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_Toc22016 </w:instrText>
      </w:r>
      <w:r>
        <w:rPr>
          <w:rFonts w:ascii="宋体" w:hAnsi="宋体"/>
          <w:bCs/>
          <w:color w:val="auto"/>
          <w:szCs w:val="20"/>
          <w:highlight w:val="none"/>
          <w:lang w:val="zh-CN"/>
        </w:rPr>
        <w:fldChar w:fldCharType="separate"/>
      </w:r>
      <w:r>
        <w:rPr>
          <w:rFonts w:ascii="宋体" w:hAnsi="宋体"/>
          <w:snapToGrid w:val="0"/>
          <w:color w:val="auto"/>
          <w:highlight w:val="none"/>
        </w:rPr>
        <w:t>2.  评审标准</w:t>
      </w:r>
      <w:r>
        <w:rPr>
          <w:color w:val="auto"/>
          <w:highlight w:val="none"/>
        </w:rPr>
        <w:tab/>
      </w:r>
      <w:r>
        <w:rPr>
          <w:color w:val="auto"/>
          <w:highlight w:val="none"/>
        </w:rPr>
        <w:fldChar w:fldCharType="begin"/>
      </w:r>
      <w:r>
        <w:rPr>
          <w:color w:val="auto"/>
          <w:highlight w:val="none"/>
        </w:rPr>
        <w:instrText xml:space="preserve"> PAGEREF _Toc22016 \h </w:instrText>
      </w:r>
      <w:r>
        <w:rPr>
          <w:color w:val="auto"/>
          <w:highlight w:val="none"/>
        </w:rPr>
        <w:fldChar w:fldCharType="separate"/>
      </w:r>
      <w:r>
        <w:rPr>
          <w:color w:val="auto"/>
          <w:highlight w:val="none"/>
        </w:rPr>
        <w:t>41</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_Toc27721 </w:instrText>
      </w:r>
      <w:r>
        <w:rPr>
          <w:rFonts w:ascii="宋体" w:hAnsi="宋体"/>
          <w:bCs/>
          <w:color w:val="auto"/>
          <w:szCs w:val="20"/>
          <w:highlight w:val="none"/>
          <w:lang w:val="zh-CN"/>
        </w:rPr>
        <w:fldChar w:fldCharType="separate"/>
      </w:r>
      <w:r>
        <w:rPr>
          <w:rFonts w:ascii="宋体" w:hAnsi="宋体" w:cs="宋体"/>
          <w:color w:val="auto"/>
          <w:szCs w:val="21"/>
          <w:highlight w:val="none"/>
        </w:rPr>
        <w:t>2.1</w:t>
      </w:r>
      <w:r>
        <w:rPr>
          <w:rFonts w:hint="eastAsia" w:ascii="宋体" w:hAnsi="宋体" w:cs="宋体"/>
          <w:color w:val="auto"/>
          <w:szCs w:val="21"/>
          <w:highlight w:val="none"/>
        </w:rPr>
        <w:t>报价</w:t>
      </w:r>
      <w:r>
        <w:rPr>
          <w:rFonts w:ascii="宋体" w:hAnsi="宋体" w:cs="宋体"/>
          <w:color w:val="auto"/>
          <w:szCs w:val="21"/>
          <w:highlight w:val="none"/>
        </w:rPr>
        <w:t>排序</w:t>
      </w:r>
      <w:r>
        <w:rPr>
          <w:rFonts w:hint="eastAsia" w:ascii="宋体" w:hAnsi="宋体" w:cs="宋体"/>
          <w:color w:val="auto"/>
          <w:szCs w:val="21"/>
          <w:highlight w:val="none"/>
        </w:rPr>
        <w:t>标准</w:t>
      </w:r>
      <w:r>
        <w:rPr>
          <w:color w:val="auto"/>
          <w:highlight w:val="none"/>
        </w:rPr>
        <w:tab/>
      </w:r>
      <w:r>
        <w:rPr>
          <w:color w:val="auto"/>
          <w:highlight w:val="none"/>
        </w:rPr>
        <w:fldChar w:fldCharType="begin"/>
      </w:r>
      <w:r>
        <w:rPr>
          <w:color w:val="auto"/>
          <w:highlight w:val="none"/>
        </w:rPr>
        <w:instrText xml:space="preserve"> PAGEREF _Toc27721 \h </w:instrText>
      </w:r>
      <w:r>
        <w:rPr>
          <w:color w:val="auto"/>
          <w:highlight w:val="none"/>
        </w:rPr>
        <w:fldChar w:fldCharType="separate"/>
      </w:r>
      <w:r>
        <w:rPr>
          <w:color w:val="auto"/>
          <w:highlight w:val="none"/>
        </w:rPr>
        <w:t>41</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_Toc12020 </w:instrText>
      </w:r>
      <w:r>
        <w:rPr>
          <w:rFonts w:ascii="宋体" w:hAnsi="宋体"/>
          <w:bCs/>
          <w:color w:val="auto"/>
          <w:szCs w:val="20"/>
          <w:highlight w:val="none"/>
          <w:lang w:val="zh-CN"/>
        </w:rPr>
        <w:fldChar w:fldCharType="separate"/>
      </w:r>
      <w:r>
        <w:rPr>
          <w:rFonts w:ascii="宋体" w:hAnsi="宋体" w:cs="宋体"/>
          <w:color w:val="auto"/>
          <w:szCs w:val="21"/>
          <w:highlight w:val="none"/>
        </w:rPr>
        <w:t>2.</w:t>
      </w:r>
      <w:r>
        <w:rPr>
          <w:rFonts w:hint="eastAsia" w:ascii="宋体" w:hAnsi="宋体" w:cs="宋体"/>
          <w:color w:val="auto"/>
          <w:szCs w:val="21"/>
          <w:highlight w:val="none"/>
        </w:rPr>
        <w:t>2符合性审查标准</w:t>
      </w:r>
      <w:r>
        <w:rPr>
          <w:color w:val="auto"/>
          <w:highlight w:val="none"/>
        </w:rPr>
        <w:tab/>
      </w:r>
      <w:r>
        <w:rPr>
          <w:color w:val="auto"/>
          <w:highlight w:val="none"/>
        </w:rPr>
        <w:fldChar w:fldCharType="begin"/>
      </w:r>
      <w:r>
        <w:rPr>
          <w:color w:val="auto"/>
          <w:highlight w:val="none"/>
        </w:rPr>
        <w:instrText xml:space="preserve"> PAGEREF _Toc12020 \h </w:instrText>
      </w:r>
      <w:r>
        <w:rPr>
          <w:color w:val="auto"/>
          <w:highlight w:val="none"/>
        </w:rPr>
        <w:fldChar w:fldCharType="separate"/>
      </w:r>
      <w:r>
        <w:rPr>
          <w:color w:val="auto"/>
          <w:highlight w:val="none"/>
        </w:rPr>
        <w:t>41</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_Toc16910 </w:instrText>
      </w:r>
      <w:r>
        <w:rPr>
          <w:rFonts w:ascii="宋体" w:hAnsi="宋体"/>
          <w:bCs/>
          <w:color w:val="auto"/>
          <w:szCs w:val="20"/>
          <w:highlight w:val="none"/>
          <w:lang w:val="zh-CN"/>
        </w:rPr>
        <w:fldChar w:fldCharType="separate"/>
      </w:r>
      <w:r>
        <w:rPr>
          <w:rFonts w:ascii="宋体" w:hAnsi="宋体"/>
          <w:snapToGrid w:val="0"/>
          <w:color w:val="auto"/>
          <w:highlight w:val="none"/>
        </w:rPr>
        <w:t>3.  评标程序</w:t>
      </w:r>
      <w:r>
        <w:rPr>
          <w:color w:val="auto"/>
          <w:highlight w:val="none"/>
        </w:rPr>
        <w:tab/>
      </w:r>
      <w:r>
        <w:rPr>
          <w:color w:val="auto"/>
          <w:highlight w:val="none"/>
        </w:rPr>
        <w:fldChar w:fldCharType="begin"/>
      </w:r>
      <w:r>
        <w:rPr>
          <w:color w:val="auto"/>
          <w:highlight w:val="none"/>
        </w:rPr>
        <w:instrText xml:space="preserve"> PAGEREF _Toc16910 \h </w:instrText>
      </w:r>
      <w:r>
        <w:rPr>
          <w:color w:val="auto"/>
          <w:highlight w:val="none"/>
        </w:rPr>
        <w:fldChar w:fldCharType="separate"/>
      </w:r>
      <w:r>
        <w:rPr>
          <w:color w:val="auto"/>
          <w:highlight w:val="none"/>
        </w:rPr>
        <w:t>41</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_Toc29791 </w:instrText>
      </w:r>
      <w:r>
        <w:rPr>
          <w:rFonts w:ascii="宋体" w:hAnsi="宋体"/>
          <w:bCs/>
          <w:color w:val="auto"/>
          <w:szCs w:val="20"/>
          <w:highlight w:val="none"/>
          <w:lang w:val="zh-CN"/>
        </w:rPr>
        <w:fldChar w:fldCharType="separate"/>
      </w:r>
      <w:r>
        <w:rPr>
          <w:rFonts w:ascii="宋体" w:hAnsi="宋体" w:cs="宋体"/>
          <w:color w:val="auto"/>
          <w:szCs w:val="21"/>
          <w:highlight w:val="none"/>
        </w:rPr>
        <w:t>3.1</w:t>
      </w:r>
      <w:r>
        <w:rPr>
          <w:rFonts w:hint="eastAsia" w:ascii="宋体" w:hAnsi="宋体" w:cs="宋体"/>
          <w:color w:val="auto"/>
          <w:szCs w:val="21"/>
          <w:highlight w:val="none"/>
        </w:rPr>
        <w:t>报价排序</w:t>
      </w:r>
      <w:r>
        <w:rPr>
          <w:color w:val="auto"/>
          <w:highlight w:val="none"/>
        </w:rPr>
        <w:tab/>
      </w:r>
      <w:r>
        <w:rPr>
          <w:color w:val="auto"/>
          <w:highlight w:val="none"/>
        </w:rPr>
        <w:fldChar w:fldCharType="begin"/>
      </w:r>
      <w:r>
        <w:rPr>
          <w:color w:val="auto"/>
          <w:highlight w:val="none"/>
        </w:rPr>
        <w:instrText xml:space="preserve"> PAGEREF _Toc29791 \h </w:instrText>
      </w:r>
      <w:r>
        <w:rPr>
          <w:color w:val="auto"/>
          <w:highlight w:val="none"/>
        </w:rPr>
        <w:fldChar w:fldCharType="separate"/>
      </w:r>
      <w:r>
        <w:rPr>
          <w:color w:val="auto"/>
          <w:highlight w:val="none"/>
        </w:rPr>
        <w:t>41</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_Toc25530 </w:instrText>
      </w:r>
      <w:r>
        <w:rPr>
          <w:rFonts w:ascii="宋体" w:hAnsi="宋体"/>
          <w:bCs/>
          <w:color w:val="auto"/>
          <w:szCs w:val="20"/>
          <w:highlight w:val="none"/>
          <w:lang w:val="zh-CN"/>
        </w:rPr>
        <w:fldChar w:fldCharType="separate"/>
      </w:r>
      <w:r>
        <w:rPr>
          <w:rFonts w:ascii="宋体" w:hAnsi="宋体" w:cs="宋体"/>
          <w:color w:val="auto"/>
          <w:szCs w:val="21"/>
          <w:highlight w:val="none"/>
        </w:rPr>
        <w:t>3.</w:t>
      </w:r>
      <w:r>
        <w:rPr>
          <w:rFonts w:hint="eastAsia" w:ascii="宋体" w:hAnsi="宋体" w:cs="宋体"/>
          <w:color w:val="auto"/>
          <w:szCs w:val="21"/>
          <w:highlight w:val="none"/>
        </w:rPr>
        <w:t>2符合性审查</w:t>
      </w:r>
      <w:r>
        <w:rPr>
          <w:color w:val="auto"/>
          <w:highlight w:val="none"/>
        </w:rPr>
        <w:tab/>
      </w:r>
      <w:r>
        <w:rPr>
          <w:color w:val="auto"/>
          <w:highlight w:val="none"/>
        </w:rPr>
        <w:fldChar w:fldCharType="begin"/>
      </w:r>
      <w:r>
        <w:rPr>
          <w:color w:val="auto"/>
          <w:highlight w:val="none"/>
        </w:rPr>
        <w:instrText xml:space="preserve"> PAGEREF _Toc25530 \h </w:instrText>
      </w:r>
      <w:r>
        <w:rPr>
          <w:color w:val="auto"/>
          <w:highlight w:val="none"/>
        </w:rPr>
        <w:fldChar w:fldCharType="separate"/>
      </w:r>
      <w:r>
        <w:rPr>
          <w:color w:val="auto"/>
          <w:highlight w:val="none"/>
        </w:rPr>
        <w:t>41</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_Toc26415 </w:instrText>
      </w:r>
      <w:r>
        <w:rPr>
          <w:rFonts w:ascii="宋体" w:hAnsi="宋体"/>
          <w:bCs/>
          <w:color w:val="auto"/>
          <w:szCs w:val="20"/>
          <w:highlight w:val="none"/>
          <w:lang w:val="zh-CN"/>
        </w:rPr>
        <w:fldChar w:fldCharType="separate"/>
      </w:r>
      <w:r>
        <w:rPr>
          <w:rFonts w:ascii="宋体" w:hAnsi="宋体" w:cs="宋体"/>
          <w:color w:val="auto"/>
          <w:szCs w:val="21"/>
          <w:highlight w:val="none"/>
        </w:rPr>
        <w:t>3.</w:t>
      </w:r>
      <w:r>
        <w:rPr>
          <w:rFonts w:hint="eastAsia" w:ascii="宋体" w:hAnsi="宋体" w:cs="宋体"/>
          <w:color w:val="auto"/>
          <w:szCs w:val="21"/>
          <w:highlight w:val="none"/>
        </w:rPr>
        <w:t>3</w:t>
      </w:r>
      <w:r>
        <w:rPr>
          <w:rFonts w:ascii="宋体" w:hAnsi="宋体" w:cs="宋体"/>
          <w:color w:val="auto"/>
          <w:szCs w:val="21"/>
          <w:highlight w:val="none"/>
        </w:rPr>
        <w:t xml:space="preserve"> </w:t>
      </w:r>
      <w:r>
        <w:rPr>
          <w:rFonts w:hint="eastAsia" w:ascii="宋体" w:hAnsi="宋体" w:cs="宋体"/>
          <w:color w:val="auto"/>
          <w:szCs w:val="21"/>
          <w:highlight w:val="none"/>
        </w:rPr>
        <w:t>投标文件的澄清和补正</w:t>
      </w:r>
      <w:r>
        <w:rPr>
          <w:color w:val="auto"/>
          <w:highlight w:val="none"/>
        </w:rPr>
        <w:tab/>
      </w:r>
      <w:r>
        <w:rPr>
          <w:color w:val="auto"/>
          <w:highlight w:val="none"/>
        </w:rPr>
        <w:fldChar w:fldCharType="begin"/>
      </w:r>
      <w:r>
        <w:rPr>
          <w:color w:val="auto"/>
          <w:highlight w:val="none"/>
        </w:rPr>
        <w:instrText xml:space="preserve"> PAGEREF _Toc26415 \h </w:instrText>
      </w:r>
      <w:r>
        <w:rPr>
          <w:color w:val="auto"/>
          <w:highlight w:val="none"/>
        </w:rPr>
        <w:fldChar w:fldCharType="separate"/>
      </w:r>
      <w:r>
        <w:rPr>
          <w:color w:val="auto"/>
          <w:highlight w:val="none"/>
        </w:rPr>
        <w:t>42</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_Toc31475 </w:instrText>
      </w:r>
      <w:r>
        <w:rPr>
          <w:rFonts w:ascii="宋体" w:hAnsi="宋体"/>
          <w:bCs/>
          <w:color w:val="auto"/>
          <w:szCs w:val="20"/>
          <w:highlight w:val="none"/>
          <w:lang w:val="zh-CN"/>
        </w:rPr>
        <w:fldChar w:fldCharType="separate"/>
      </w:r>
      <w:r>
        <w:rPr>
          <w:rFonts w:ascii="宋体" w:hAnsi="宋体" w:cs="宋体"/>
          <w:color w:val="auto"/>
          <w:szCs w:val="21"/>
          <w:highlight w:val="none"/>
        </w:rPr>
        <w:t>3.</w:t>
      </w:r>
      <w:r>
        <w:rPr>
          <w:rFonts w:hint="eastAsia" w:ascii="宋体" w:hAnsi="宋体" w:cs="宋体"/>
          <w:color w:val="auto"/>
          <w:szCs w:val="21"/>
          <w:highlight w:val="none"/>
        </w:rPr>
        <w:t>4</w:t>
      </w:r>
      <w:r>
        <w:rPr>
          <w:rFonts w:ascii="宋体" w:hAnsi="宋体" w:cs="宋体"/>
          <w:color w:val="auto"/>
          <w:szCs w:val="21"/>
          <w:highlight w:val="none"/>
        </w:rPr>
        <w:t xml:space="preserve"> </w:t>
      </w:r>
      <w:r>
        <w:rPr>
          <w:rFonts w:hint="eastAsia" w:ascii="宋体" w:hAnsi="宋体" w:cs="宋体"/>
          <w:color w:val="auto"/>
          <w:szCs w:val="21"/>
          <w:highlight w:val="none"/>
        </w:rPr>
        <w:t>评标结果</w:t>
      </w:r>
      <w:r>
        <w:rPr>
          <w:color w:val="auto"/>
          <w:highlight w:val="none"/>
        </w:rPr>
        <w:tab/>
      </w:r>
      <w:r>
        <w:rPr>
          <w:color w:val="auto"/>
          <w:highlight w:val="none"/>
        </w:rPr>
        <w:fldChar w:fldCharType="begin"/>
      </w:r>
      <w:r>
        <w:rPr>
          <w:color w:val="auto"/>
          <w:highlight w:val="none"/>
        </w:rPr>
        <w:instrText xml:space="preserve"> PAGEREF _Toc31475 \h </w:instrText>
      </w:r>
      <w:r>
        <w:rPr>
          <w:color w:val="auto"/>
          <w:highlight w:val="none"/>
        </w:rPr>
        <w:fldChar w:fldCharType="separate"/>
      </w:r>
      <w:r>
        <w:rPr>
          <w:color w:val="auto"/>
          <w:highlight w:val="none"/>
        </w:rPr>
        <w:t>42</w:t>
      </w:r>
      <w:r>
        <w:rPr>
          <w:color w:val="auto"/>
          <w:highlight w:val="none"/>
        </w:rPr>
        <w:fldChar w:fldCharType="end"/>
      </w:r>
      <w:r>
        <w:rPr>
          <w:rFonts w:ascii="宋体" w:hAnsi="宋体"/>
          <w:bCs/>
          <w:color w:val="auto"/>
          <w:szCs w:val="20"/>
          <w:highlight w:val="none"/>
          <w:lang w:val="zh-CN"/>
        </w:rPr>
        <w:fldChar w:fldCharType="end"/>
      </w:r>
    </w:p>
    <w:p>
      <w:pPr>
        <w:pStyle w:val="31"/>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_Toc27954 </w:instrText>
      </w:r>
      <w:r>
        <w:rPr>
          <w:rFonts w:ascii="宋体" w:hAnsi="宋体"/>
          <w:bCs/>
          <w:color w:val="auto"/>
          <w:szCs w:val="20"/>
          <w:highlight w:val="none"/>
          <w:lang w:val="zh-CN"/>
        </w:rPr>
        <w:fldChar w:fldCharType="separate"/>
      </w:r>
      <w:r>
        <w:rPr>
          <w:rFonts w:hint="eastAsia" w:ascii="宋体" w:hAnsi="宋体"/>
          <w:color w:val="auto"/>
          <w:kern w:val="0"/>
          <w:highlight w:val="none"/>
        </w:rPr>
        <w:t>第四章  合同条款及格式</w:t>
      </w:r>
      <w:r>
        <w:rPr>
          <w:color w:val="auto"/>
          <w:highlight w:val="none"/>
        </w:rPr>
        <w:tab/>
      </w:r>
      <w:r>
        <w:rPr>
          <w:color w:val="auto"/>
          <w:highlight w:val="none"/>
        </w:rPr>
        <w:fldChar w:fldCharType="begin"/>
      </w:r>
      <w:r>
        <w:rPr>
          <w:color w:val="auto"/>
          <w:highlight w:val="none"/>
        </w:rPr>
        <w:instrText xml:space="preserve"> PAGEREF _Toc27954 \h </w:instrText>
      </w:r>
      <w:r>
        <w:rPr>
          <w:color w:val="auto"/>
          <w:highlight w:val="none"/>
        </w:rPr>
        <w:fldChar w:fldCharType="separate"/>
      </w:r>
      <w:r>
        <w:rPr>
          <w:color w:val="auto"/>
          <w:highlight w:val="none"/>
        </w:rPr>
        <w:t>46</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_Toc13825 </w:instrText>
      </w:r>
      <w:r>
        <w:rPr>
          <w:rFonts w:ascii="宋体" w:hAnsi="宋体"/>
          <w:bCs/>
          <w:color w:val="auto"/>
          <w:szCs w:val="20"/>
          <w:highlight w:val="none"/>
          <w:lang w:val="zh-CN"/>
        </w:rPr>
        <w:fldChar w:fldCharType="separate"/>
      </w:r>
      <w:r>
        <w:rPr>
          <w:rFonts w:ascii="宋体" w:hAnsi="宋体"/>
          <w:color w:val="auto"/>
          <w:szCs w:val="44"/>
          <w:highlight w:val="none"/>
        </w:rPr>
        <w:t>第一部分 合同协议书</w:t>
      </w:r>
      <w:r>
        <w:rPr>
          <w:color w:val="auto"/>
          <w:highlight w:val="none"/>
        </w:rPr>
        <w:tab/>
      </w:r>
      <w:r>
        <w:rPr>
          <w:color w:val="auto"/>
          <w:highlight w:val="none"/>
        </w:rPr>
        <w:fldChar w:fldCharType="begin"/>
      </w:r>
      <w:r>
        <w:rPr>
          <w:color w:val="auto"/>
          <w:highlight w:val="none"/>
        </w:rPr>
        <w:instrText xml:space="preserve"> PAGEREF _Toc13825 \h </w:instrText>
      </w:r>
      <w:r>
        <w:rPr>
          <w:color w:val="auto"/>
          <w:highlight w:val="none"/>
        </w:rPr>
        <w:fldChar w:fldCharType="separate"/>
      </w:r>
      <w:r>
        <w:rPr>
          <w:color w:val="auto"/>
          <w:highlight w:val="none"/>
        </w:rPr>
        <w:t>48</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_Toc17507 </w:instrText>
      </w:r>
      <w:r>
        <w:rPr>
          <w:rFonts w:ascii="宋体" w:hAnsi="宋体"/>
          <w:bCs/>
          <w:color w:val="auto"/>
          <w:szCs w:val="20"/>
          <w:highlight w:val="none"/>
          <w:lang w:val="zh-CN"/>
        </w:rPr>
        <w:fldChar w:fldCharType="separate"/>
      </w:r>
      <w:r>
        <w:rPr>
          <w:rFonts w:hint="eastAsia" w:ascii="宋体" w:hAnsi="宋体"/>
          <w:color w:val="auto"/>
          <w:szCs w:val="44"/>
          <w:highlight w:val="none"/>
        </w:rPr>
        <w:t>第二部分 通用合同条款</w:t>
      </w:r>
      <w:r>
        <w:rPr>
          <w:color w:val="auto"/>
          <w:highlight w:val="none"/>
        </w:rPr>
        <w:tab/>
      </w:r>
      <w:r>
        <w:rPr>
          <w:color w:val="auto"/>
          <w:highlight w:val="none"/>
        </w:rPr>
        <w:fldChar w:fldCharType="begin"/>
      </w:r>
      <w:r>
        <w:rPr>
          <w:color w:val="auto"/>
          <w:highlight w:val="none"/>
        </w:rPr>
        <w:instrText xml:space="preserve"> PAGEREF _Toc17507 \h </w:instrText>
      </w:r>
      <w:r>
        <w:rPr>
          <w:color w:val="auto"/>
          <w:highlight w:val="none"/>
        </w:rPr>
        <w:fldChar w:fldCharType="separate"/>
      </w:r>
      <w:r>
        <w:rPr>
          <w:color w:val="auto"/>
          <w:highlight w:val="none"/>
        </w:rPr>
        <w:t>53</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_Toc18559 </w:instrText>
      </w:r>
      <w:r>
        <w:rPr>
          <w:rFonts w:ascii="宋体" w:hAnsi="宋体"/>
          <w:bCs/>
          <w:color w:val="auto"/>
          <w:szCs w:val="20"/>
          <w:highlight w:val="none"/>
          <w:lang w:val="zh-CN"/>
        </w:rPr>
        <w:fldChar w:fldCharType="separate"/>
      </w:r>
      <w:r>
        <w:rPr>
          <w:rFonts w:hint="eastAsia" w:ascii="宋体" w:hAnsi="宋体"/>
          <w:color w:val="auto"/>
          <w:szCs w:val="44"/>
          <w:highlight w:val="none"/>
        </w:rPr>
        <w:t>第三部分 专用合同条款</w:t>
      </w:r>
      <w:r>
        <w:rPr>
          <w:color w:val="auto"/>
          <w:highlight w:val="none"/>
        </w:rPr>
        <w:tab/>
      </w:r>
      <w:r>
        <w:rPr>
          <w:color w:val="auto"/>
          <w:highlight w:val="none"/>
        </w:rPr>
        <w:fldChar w:fldCharType="begin"/>
      </w:r>
      <w:r>
        <w:rPr>
          <w:color w:val="auto"/>
          <w:highlight w:val="none"/>
        </w:rPr>
        <w:instrText xml:space="preserve"> PAGEREF _Toc18559 \h </w:instrText>
      </w:r>
      <w:r>
        <w:rPr>
          <w:color w:val="auto"/>
          <w:highlight w:val="none"/>
        </w:rPr>
        <w:fldChar w:fldCharType="separate"/>
      </w:r>
      <w:r>
        <w:rPr>
          <w:color w:val="auto"/>
          <w:highlight w:val="none"/>
        </w:rPr>
        <w:t>106</w:t>
      </w:r>
      <w:r>
        <w:rPr>
          <w:color w:val="auto"/>
          <w:highlight w:val="none"/>
        </w:rPr>
        <w:fldChar w:fldCharType="end"/>
      </w:r>
      <w:r>
        <w:rPr>
          <w:rFonts w:ascii="宋体" w:hAnsi="宋体"/>
          <w:bCs/>
          <w:color w:val="auto"/>
          <w:szCs w:val="20"/>
          <w:highlight w:val="none"/>
          <w:lang w:val="zh-CN"/>
        </w:rPr>
        <w:fldChar w:fldCharType="end"/>
      </w:r>
    </w:p>
    <w:p>
      <w:pPr>
        <w:pStyle w:val="31"/>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_Toc12623 </w:instrText>
      </w:r>
      <w:r>
        <w:rPr>
          <w:rFonts w:ascii="宋体" w:hAnsi="宋体"/>
          <w:bCs/>
          <w:color w:val="auto"/>
          <w:szCs w:val="20"/>
          <w:highlight w:val="none"/>
          <w:lang w:val="zh-CN"/>
        </w:rPr>
        <w:fldChar w:fldCharType="separate"/>
      </w:r>
      <w:r>
        <w:rPr>
          <w:rFonts w:hint="eastAsia" w:ascii="宋体" w:hAnsi="宋体"/>
          <w:color w:val="auto"/>
          <w:highlight w:val="none"/>
        </w:rPr>
        <w:t>第五章  工程量清单</w:t>
      </w:r>
      <w:r>
        <w:rPr>
          <w:color w:val="auto"/>
          <w:highlight w:val="none"/>
        </w:rPr>
        <w:tab/>
      </w:r>
      <w:r>
        <w:rPr>
          <w:color w:val="auto"/>
          <w:highlight w:val="none"/>
        </w:rPr>
        <w:fldChar w:fldCharType="begin"/>
      </w:r>
      <w:r>
        <w:rPr>
          <w:color w:val="auto"/>
          <w:highlight w:val="none"/>
        </w:rPr>
        <w:instrText xml:space="preserve"> PAGEREF _Toc12623 \h </w:instrText>
      </w:r>
      <w:r>
        <w:rPr>
          <w:color w:val="auto"/>
          <w:highlight w:val="none"/>
        </w:rPr>
        <w:fldChar w:fldCharType="separate"/>
      </w:r>
      <w:r>
        <w:rPr>
          <w:color w:val="auto"/>
          <w:highlight w:val="none"/>
        </w:rPr>
        <w:t>186</w:t>
      </w:r>
      <w:r>
        <w:rPr>
          <w:color w:val="auto"/>
          <w:highlight w:val="none"/>
        </w:rPr>
        <w:fldChar w:fldCharType="end"/>
      </w:r>
      <w:r>
        <w:rPr>
          <w:rFonts w:ascii="宋体" w:hAnsi="宋体"/>
          <w:bCs/>
          <w:color w:val="auto"/>
          <w:szCs w:val="20"/>
          <w:highlight w:val="none"/>
          <w:lang w:val="zh-CN"/>
        </w:rPr>
        <w:fldChar w:fldCharType="end"/>
      </w:r>
    </w:p>
    <w:p>
      <w:pPr>
        <w:pStyle w:val="31"/>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_Toc20131 </w:instrText>
      </w:r>
      <w:r>
        <w:rPr>
          <w:rFonts w:ascii="宋体" w:hAnsi="宋体"/>
          <w:bCs/>
          <w:color w:val="auto"/>
          <w:szCs w:val="20"/>
          <w:highlight w:val="none"/>
          <w:lang w:val="zh-CN"/>
        </w:rPr>
        <w:fldChar w:fldCharType="separate"/>
      </w:r>
      <w:r>
        <w:rPr>
          <w:rFonts w:ascii="宋体" w:hAnsi="宋体"/>
          <w:color w:val="auto"/>
          <w:szCs w:val="52"/>
          <w:highlight w:val="none"/>
        </w:rPr>
        <w:t>第 二 卷</w:t>
      </w:r>
      <w:r>
        <w:rPr>
          <w:color w:val="auto"/>
          <w:highlight w:val="none"/>
        </w:rPr>
        <w:tab/>
      </w:r>
      <w:r>
        <w:rPr>
          <w:color w:val="auto"/>
          <w:highlight w:val="none"/>
        </w:rPr>
        <w:fldChar w:fldCharType="begin"/>
      </w:r>
      <w:r>
        <w:rPr>
          <w:color w:val="auto"/>
          <w:highlight w:val="none"/>
        </w:rPr>
        <w:instrText xml:space="preserve"> PAGEREF _Toc20131 \h </w:instrText>
      </w:r>
      <w:r>
        <w:rPr>
          <w:color w:val="auto"/>
          <w:highlight w:val="none"/>
        </w:rPr>
        <w:fldChar w:fldCharType="separate"/>
      </w:r>
      <w:r>
        <w:rPr>
          <w:color w:val="auto"/>
          <w:highlight w:val="none"/>
        </w:rPr>
        <w:t>187</w:t>
      </w:r>
      <w:r>
        <w:rPr>
          <w:color w:val="auto"/>
          <w:highlight w:val="none"/>
        </w:rPr>
        <w:fldChar w:fldCharType="end"/>
      </w:r>
      <w:r>
        <w:rPr>
          <w:rFonts w:ascii="宋体" w:hAnsi="宋体"/>
          <w:bCs/>
          <w:color w:val="auto"/>
          <w:szCs w:val="20"/>
          <w:highlight w:val="none"/>
          <w:lang w:val="zh-CN"/>
        </w:rPr>
        <w:fldChar w:fldCharType="end"/>
      </w:r>
    </w:p>
    <w:p>
      <w:pPr>
        <w:pStyle w:val="31"/>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_Toc2508 </w:instrText>
      </w:r>
      <w:r>
        <w:rPr>
          <w:rFonts w:ascii="宋体" w:hAnsi="宋体"/>
          <w:bCs/>
          <w:color w:val="auto"/>
          <w:szCs w:val="20"/>
          <w:highlight w:val="none"/>
          <w:lang w:val="zh-CN"/>
        </w:rPr>
        <w:fldChar w:fldCharType="separate"/>
      </w:r>
      <w:r>
        <w:rPr>
          <w:rFonts w:hint="eastAsia" w:ascii="宋体" w:hAnsi="宋体"/>
          <w:color w:val="auto"/>
          <w:highlight w:val="none"/>
        </w:rPr>
        <w:t>第六章  图纸</w:t>
      </w:r>
      <w:r>
        <w:rPr>
          <w:color w:val="auto"/>
          <w:highlight w:val="none"/>
        </w:rPr>
        <w:tab/>
      </w:r>
      <w:r>
        <w:rPr>
          <w:color w:val="auto"/>
          <w:highlight w:val="none"/>
        </w:rPr>
        <w:fldChar w:fldCharType="begin"/>
      </w:r>
      <w:r>
        <w:rPr>
          <w:color w:val="auto"/>
          <w:highlight w:val="none"/>
        </w:rPr>
        <w:instrText xml:space="preserve"> PAGEREF _Toc2508 \h </w:instrText>
      </w:r>
      <w:r>
        <w:rPr>
          <w:color w:val="auto"/>
          <w:highlight w:val="none"/>
        </w:rPr>
        <w:fldChar w:fldCharType="separate"/>
      </w:r>
      <w:r>
        <w:rPr>
          <w:color w:val="auto"/>
          <w:highlight w:val="none"/>
        </w:rPr>
        <w:t>188</w:t>
      </w:r>
      <w:r>
        <w:rPr>
          <w:color w:val="auto"/>
          <w:highlight w:val="none"/>
        </w:rPr>
        <w:fldChar w:fldCharType="end"/>
      </w:r>
      <w:r>
        <w:rPr>
          <w:rFonts w:ascii="宋体" w:hAnsi="宋体"/>
          <w:bCs/>
          <w:color w:val="auto"/>
          <w:szCs w:val="20"/>
          <w:highlight w:val="none"/>
          <w:lang w:val="zh-CN"/>
        </w:rPr>
        <w:fldChar w:fldCharType="end"/>
      </w:r>
    </w:p>
    <w:p>
      <w:pPr>
        <w:pStyle w:val="31"/>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_Toc3988 </w:instrText>
      </w:r>
      <w:r>
        <w:rPr>
          <w:rFonts w:ascii="宋体" w:hAnsi="宋体"/>
          <w:bCs/>
          <w:color w:val="auto"/>
          <w:szCs w:val="20"/>
          <w:highlight w:val="none"/>
          <w:lang w:val="zh-CN"/>
        </w:rPr>
        <w:fldChar w:fldCharType="separate"/>
      </w:r>
      <w:r>
        <w:rPr>
          <w:rFonts w:hint="eastAsia" w:ascii="宋体" w:hAnsi="宋体"/>
          <w:color w:val="auto"/>
          <w:szCs w:val="52"/>
          <w:highlight w:val="none"/>
        </w:rPr>
        <w:t>第 三 卷</w:t>
      </w:r>
      <w:r>
        <w:rPr>
          <w:color w:val="auto"/>
          <w:highlight w:val="none"/>
        </w:rPr>
        <w:tab/>
      </w:r>
      <w:r>
        <w:rPr>
          <w:color w:val="auto"/>
          <w:highlight w:val="none"/>
        </w:rPr>
        <w:fldChar w:fldCharType="begin"/>
      </w:r>
      <w:r>
        <w:rPr>
          <w:color w:val="auto"/>
          <w:highlight w:val="none"/>
        </w:rPr>
        <w:instrText xml:space="preserve"> PAGEREF _Toc3988 \h </w:instrText>
      </w:r>
      <w:r>
        <w:rPr>
          <w:color w:val="auto"/>
          <w:highlight w:val="none"/>
        </w:rPr>
        <w:fldChar w:fldCharType="separate"/>
      </w:r>
      <w:r>
        <w:rPr>
          <w:color w:val="auto"/>
          <w:highlight w:val="none"/>
        </w:rPr>
        <w:t>189</w:t>
      </w:r>
      <w:r>
        <w:rPr>
          <w:color w:val="auto"/>
          <w:highlight w:val="none"/>
        </w:rPr>
        <w:fldChar w:fldCharType="end"/>
      </w:r>
      <w:r>
        <w:rPr>
          <w:rFonts w:ascii="宋体" w:hAnsi="宋体"/>
          <w:bCs/>
          <w:color w:val="auto"/>
          <w:szCs w:val="20"/>
          <w:highlight w:val="none"/>
          <w:lang w:val="zh-CN"/>
        </w:rPr>
        <w:fldChar w:fldCharType="end"/>
      </w:r>
    </w:p>
    <w:p>
      <w:pPr>
        <w:pStyle w:val="31"/>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_Toc18021 </w:instrText>
      </w:r>
      <w:r>
        <w:rPr>
          <w:rFonts w:ascii="宋体" w:hAnsi="宋体"/>
          <w:bCs/>
          <w:color w:val="auto"/>
          <w:szCs w:val="20"/>
          <w:highlight w:val="none"/>
          <w:lang w:val="zh-CN"/>
        </w:rPr>
        <w:fldChar w:fldCharType="separate"/>
      </w:r>
      <w:r>
        <w:rPr>
          <w:rFonts w:ascii="宋体" w:hAnsi="宋体"/>
          <w:color w:val="auto"/>
          <w:highlight w:val="none"/>
        </w:rPr>
        <w:t>第七章</w:t>
      </w:r>
      <w:r>
        <w:rPr>
          <w:rFonts w:hint="eastAsia" w:ascii="宋体" w:hAnsi="宋体"/>
          <w:color w:val="auto"/>
          <w:highlight w:val="none"/>
        </w:rPr>
        <w:t xml:space="preserve">  </w:t>
      </w:r>
      <w:r>
        <w:rPr>
          <w:rFonts w:ascii="宋体" w:hAnsi="宋体"/>
          <w:color w:val="auto"/>
          <w:highlight w:val="none"/>
        </w:rPr>
        <w:t>技术标准和要求</w:t>
      </w:r>
      <w:r>
        <w:rPr>
          <w:color w:val="auto"/>
          <w:highlight w:val="none"/>
        </w:rPr>
        <w:tab/>
      </w:r>
      <w:r>
        <w:rPr>
          <w:color w:val="auto"/>
          <w:highlight w:val="none"/>
        </w:rPr>
        <w:fldChar w:fldCharType="begin"/>
      </w:r>
      <w:r>
        <w:rPr>
          <w:color w:val="auto"/>
          <w:highlight w:val="none"/>
        </w:rPr>
        <w:instrText xml:space="preserve"> PAGEREF _Toc18021 \h </w:instrText>
      </w:r>
      <w:r>
        <w:rPr>
          <w:color w:val="auto"/>
          <w:highlight w:val="none"/>
        </w:rPr>
        <w:fldChar w:fldCharType="separate"/>
      </w:r>
      <w:r>
        <w:rPr>
          <w:color w:val="auto"/>
          <w:highlight w:val="none"/>
        </w:rPr>
        <w:t>190</w:t>
      </w:r>
      <w:r>
        <w:rPr>
          <w:color w:val="auto"/>
          <w:highlight w:val="none"/>
        </w:rPr>
        <w:fldChar w:fldCharType="end"/>
      </w:r>
      <w:r>
        <w:rPr>
          <w:rFonts w:ascii="宋体" w:hAnsi="宋体"/>
          <w:bCs/>
          <w:color w:val="auto"/>
          <w:szCs w:val="20"/>
          <w:highlight w:val="none"/>
          <w:lang w:val="zh-CN"/>
        </w:rPr>
        <w:fldChar w:fldCharType="end"/>
      </w:r>
    </w:p>
    <w:p>
      <w:pPr>
        <w:pStyle w:val="31"/>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_Toc16297 </w:instrText>
      </w:r>
      <w:r>
        <w:rPr>
          <w:rFonts w:ascii="宋体" w:hAnsi="宋体"/>
          <w:bCs/>
          <w:color w:val="auto"/>
          <w:szCs w:val="20"/>
          <w:highlight w:val="none"/>
          <w:lang w:val="zh-CN"/>
        </w:rPr>
        <w:fldChar w:fldCharType="separate"/>
      </w:r>
      <w:r>
        <w:rPr>
          <w:rFonts w:ascii="宋体" w:hAnsi="宋体"/>
          <w:color w:val="auto"/>
          <w:szCs w:val="52"/>
          <w:highlight w:val="none"/>
        </w:rPr>
        <w:t>第 四 卷</w:t>
      </w:r>
      <w:r>
        <w:rPr>
          <w:color w:val="auto"/>
          <w:highlight w:val="none"/>
        </w:rPr>
        <w:tab/>
      </w:r>
      <w:r>
        <w:rPr>
          <w:color w:val="auto"/>
          <w:highlight w:val="none"/>
        </w:rPr>
        <w:fldChar w:fldCharType="begin"/>
      </w:r>
      <w:r>
        <w:rPr>
          <w:color w:val="auto"/>
          <w:highlight w:val="none"/>
        </w:rPr>
        <w:instrText xml:space="preserve"> PAGEREF _Toc16297 \h </w:instrText>
      </w:r>
      <w:r>
        <w:rPr>
          <w:color w:val="auto"/>
          <w:highlight w:val="none"/>
        </w:rPr>
        <w:fldChar w:fldCharType="separate"/>
      </w:r>
      <w:r>
        <w:rPr>
          <w:color w:val="auto"/>
          <w:highlight w:val="none"/>
        </w:rPr>
        <w:t>191</w:t>
      </w:r>
      <w:r>
        <w:rPr>
          <w:color w:val="auto"/>
          <w:highlight w:val="none"/>
        </w:rPr>
        <w:fldChar w:fldCharType="end"/>
      </w:r>
      <w:r>
        <w:rPr>
          <w:rFonts w:ascii="宋体" w:hAnsi="宋体"/>
          <w:bCs/>
          <w:color w:val="auto"/>
          <w:szCs w:val="20"/>
          <w:highlight w:val="none"/>
          <w:lang w:val="zh-CN"/>
        </w:rPr>
        <w:fldChar w:fldCharType="end"/>
      </w:r>
    </w:p>
    <w:p>
      <w:pPr>
        <w:pStyle w:val="31"/>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_Toc22563 </w:instrText>
      </w:r>
      <w:r>
        <w:rPr>
          <w:rFonts w:ascii="宋体" w:hAnsi="宋体"/>
          <w:bCs/>
          <w:color w:val="auto"/>
          <w:szCs w:val="20"/>
          <w:highlight w:val="none"/>
          <w:lang w:val="zh-CN"/>
        </w:rPr>
        <w:fldChar w:fldCharType="separate"/>
      </w:r>
      <w:r>
        <w:rPr>
          <w:rFonts w:hint="eastAsia" w:ascii="宋体" w:hAnsi="宋体"/>
          <w:color w:val="auto"/>
          <w:highlight w:val="none"/>
        </w:rPr>
        <w:t xml:space="preserve">第八章  </w:t>
      </w:r>
      <w:r>
        <w:rPr>
          <w:rFonts w:hint="eastAsia" w:ascii="宋体" w:hAnsi="宋体"/>
          <w:color w:val="auto"/>
          <w:highlight w:val="none"/>
          <w:lang w:eastAsia="zh-CN"/>
        </w:rPr>
        <w:t>竞选文件</w:t>
      </w:r>
      <w:r>
        <w:rPr>
          <w:rFonts w:hint="eastAsia" w:ascii="宋体" w:hAnsi="宋体"/>
          <w:color w:val="auto"/>
          <w:highlight w:val="none"/>
        </w:rPr>
        <w:t>格式</w:t>
      </w:r>
      <w:r>
        <w:rPr>
          <w:color w:val="auto"/>
          <w:highlight w:val="none"/>
        </w:rPr>
        <w:tab/>
      </w:r>
      <w:r>
        <w:rPr>
          <w:color w:val="auto"/>
          <w:highlight w:val="none"/>
        </w:rPr>
        <w:fldChar w:fldCharType="begin"/>
      </w:r>
      <w:r>
        <w:rPr>
          <w:color w:val="auto"/>
          <w:highlight w:val="none"/>
        </w:rPr>
        <w:instrText xml:space="preserve"> PAGEREF _Toc22563 \h </w:instrText>
      </w:r>
      <w:r>
        <w:rPr>
          <w:color w:val="auto"/>
          <w:highlight w:val="none"/>
        </w:rPr>
        <w:fldChar w:fldCharType="separate"/>
      </w:r>
      <w:r>
        <w:rPr>
          <w:color w:val="auto"/>
          <w:highlight w:val="none"/>
        </w:rPr>
        <w:t>192</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_Toc10643 </w:instrText>
      </w:r>
      <w:r>
        <w:rPr>
          <w:rFonts w:ascii="宋体" w:hAnsi="宋体"/>
          <w:bCs/>
          <w:color w:val="auto"/>
          <w:szCs w:val="20"/>
          <w:highlight w:val="none"/>
          <w:lang w:val="zh-CN"/>
        </w:rPr>
        <w:fldChar w:fldCharType="separate"/>
      </w:r>
      <w:r>
        <w:rPr>
          <w:rFonts w:hint="eastAsia" w:ascii="宋体" w:hAnsi="宋体"/>
          <w:bCs w:val="0"/>
          <w:color w:val="auto"/>
          <w:szCs w:val="44"/>
          <w:highlight w:val="none"/>
        </w:rPr>
        <w:t>一、投标保函部分</w:t>
      </w:r>
      <w:r>
        <w:rPr>
          <w:color w:val="auto"/>
          <w:highlight w:val="none"/>
        </w:rPr>
        <w:tab/>
      </w:r>
      <w:r>
        <w:rPr>
          <w:color w:val="auto"/>
          <w:highlight w:val="none"/>
        </w:rPr>
        <w:fldChar w:fldCharType="begin"/>
      </w:r>
      <w:r>
        <w:rPr>
          <w:color w:val="auto"/>
          <w:highlight w:val="none"/>
        </w:rPr>
        <w:instrText xml:space="preserve"> PAGEREF _Toc10643 \h </w:instrText>
      </w:r>
      <w:r>
        <w:rPr>
          <w:color w:val="auto"/>
          <w:highlight w:val="none"/>
        </w:rPr>
        <w:fldChar w:fldCharType="separate"/>
      </w:r>
      <w:r>
        <w:rPr>
          <w:color w:val="auto"/>
          <w:highlight w:val="none"/>
        </w:rPr>
        <w:t>194</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_Toc11674 </w:instrText>
      </w:r>
      <w:r>
        <w:rPr>
          <w:rFonts w:ascii="宋体" w:hAnsi="宋体"/>
          <w:bCs/>
          <w:color w:val="auto"/>
          <w:szCs w:val="20"/>
          <w:highlight w:val="none"/>
          <w:lang w:val="zh-CN"/>
        </w:rPr>
        <w:fldChar w:fldCharType="separate"/>
      </w:r>
      <w:r>
        <w:rPr>
          <w:rFonts w:hint="eastAsia" w:ascii="宋体" w:hAnsi="宋体"/>
          <w:bCs w:val="0"/>
          <w:color w:val="auto"/>
          <w:szCs w:val="44"/>
          <w:highlight w:val="none"/>
          <w:lang w:val="en-US" w:eastAsia="zh-CN"/>
        </w:rPr>
        <w:t>二</w:t>
      </w:r>
      <w:r>
        <w:rPr>
          <w:rFonts w:hint="eastAsia" w:ascii="宋体" w:hAnsi="宋体"/>
          <w:bCs w:val="0"/>
          <w:color w:val="auto"/>
          <w:szCs w:val="44"/>
          <w:highlight w:val="none"/>
        </w:rPr>
        <w:t>、</w:t>
      </w:r>
      <w:r>
        <w:rPr>
          <w:rFonts w:hint="eastAsia" w:ascii="宋体" w:hAnsi="宋体"/>
          <w:bCs w:val="0"/>
          <w:color w:val="auto"/>
          <w:szCs w:val="44"/>
          <w:highlight w:val="none"/>
          <w:lang w:eastAsia="zh-CN"/>
        </w:rPr>
        <w:t>竞选函</w:t>
      </w:r>
      <w:r>
        <w:rPr>
          <w:rFonts w:hint="eastAsia" w:ascii="宋体" w:hAnsi="宋体"/>
          <w:bCs w:val="0"/>
          <w:color w:val="auto"/>
          <w:szCs w:val="44"/>
          <w:highlight w:val="none"/>
        </w:rPr>
        <w:t>部分</w:t>
      </w:r>
      <w:r>
        <w:rPr>
          <w:color w:val="auto"/>
          <w:highlight w:val="none"/>
        </w:rPr>
        <w:tab/>
      </w:r>
      <w:r>
        <w:rPr>
          <w:color w:val="auto"/>
          <w:highlight w:val="none"/>
        </w:rPr>
        <w:fldChar w:fldCharType="begin"/>
      </w:r>
      <w:r>
        <w:rPr>
          <w:color w:val="auto"/>
          <w:highlight w:val="none"/>
        </w:rPr>
        <w:instrText xml:space="preserve"> PAGEREF _Toc11674 \h </w:instrText>
      </w:r>
      <w:r>
        <w:rPr>
          <w:color w:val="auto"/>
          <w:highlight w:val="none"/>
        </w:rPr>
        <w:fldChar w:fldCharType="separate"/>
      </w:r>
      <w:r>
        <w:rPr>
          <w:color w:val="auto"/>
          <w:highlight w:val="none"/>
        </w:rPr>
        <w:t>197</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_Toc7599 </w:instrText>
      </w:r>
      <w:r>
        <w:rPr>
          <w:rFonts w:ascii="宋体" w:hAnsi="宋体"/>
          <w:bCs/>
          <w:color w:val="auto"/>
          <w:szCs w:val="20"/>
          <w:highlight w:val="none"/>
          <w:lang w:val="zh-CN"/>
        </w:rPr>
        <w:fldChar w:fldCharType="separate"/>
      </w:r>
      <w:r>
        <w:rPr>
          <w:rFonts w:hint="eastAsia"/>
          <w:color w:val="auto"/>
          <w:highlight w:val="none"/>
        </w:rPr>
        <w:t>（一）</w:t>
      </w:r>
      <w:r>
        <w:rPr>
          <w:rFonts w:hint="eastAsia"/>
          <w:color w:val="auto"/>
          <w:highlight w:val="none"/>
          <w:lang w:eastAsia="zh-CN"/>
        </w:rPr>
        <w:t>竞选函</w:t>
      </w:r>
      <w:r>
        <w:rPr>
          <w:color w:val="auto"/>
          <w:highlight w:val="none"/>
        </w:rPr>
        <w:tab/>
      </w:r>
      <w:r>
        <w:rPr>
          <w:color w:val="auto"/>
          <w:highlight w:val="none"/>
        </w:rPr>
        <w:fldChar w:fldCharType="begin"/>
      </w:r>
      <w:r>
        <w:rPr>
          <w:color w:val="auto"/>
          <w:highlight w:val="none"/>
        </w:rPr>
        <w:instrText xml:space="preserve"> PAGEREF _Toc7599 \h </w:instrText>
      </w:r>
      <w:r>
        <w:rPr>
          <w:color w:val="auto"/>
          <w:highlight w:val="none"/>
        </w:rPr>
        <w:fldChar w:fldCharType="separate"/>
      </w:r>
      <w:r>
        <w:rPr>
          <w:color w:val="auto"/>
          <w:highlight w:val="none"/>
        </w:rPr>
        <w:t>200</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_Toc26981 </w:instrText>
      </w:r>
      <w:r>
        <w:rPr>
          <w:rFonts w:ascii="宋体" w:hAnsi="宋体"/>
          <w:bCs/>
          <w:color w:val="auto"/>
          <w:szCs w:val="20"/>
          <w:highlight w:val="none"/>
          <w:lang w:val="zh-CN"/>
        </w:rPr>
        <w:fldChar w:fldCharType="separate"/>
      </w:r>
      <w:r>
        <w:rPr>
          <w:color w:val="auto"/>
          <w:highlight w:val="none"/>
        </w:rPr>
        <w:t>（二）</w:t>
      </w:r>
      <w:r>
        <w:rPr>
          <w:rFonts w:hint="eastAsia"/>
          <w:color w:val="auto"/>
          <w:highlight w:val="none"/>
          <w:lang w:eastAsia="zh-CN"/>
        </w:rPr>
        <w:t>竞选函</w:t>
      </w:r>
      <w:r>
        <w:rPr>
          <w:color w:val="auto"/>
          <w:highlight w:val="none"/>
        </w:rPr>
        <w:t>附录</w:t>
      </w:r>
      <w:r>
        <w:rPr>
          <w:color w:val="auto"/>
          <w:highlight w:val="none"/>
        </w:rPr>
        <w:tab/>
      </w:r>
      <w:r>
        <w:rPr>
          <w:color w:val="auto"/>
          <w:highlight w:val="none"/>
        </w:rPr>
        <w:fldChar w:fldCharType="begin"/>
      </w:r>
      <w:r>
        <w:rPr>
          <w:color w:val="auto"/>
          <w:highlight w:val="none"/>
        </w:rPr>
        <w:instrText xml:space="preserve"> PAGEREF _Toc26981 \h </w:instrText>
      </w:r>
      <w:r>
        <w:rPr>
          <w:color w:val="auto"/>
          <w:highlight w:val="none"/>
        </w:rPr>
        <w:fldChar w:fldCharType="separate"/>
      </w:r>
      <w:r>
        <w:rPr>
          <w:color w:val="auto"/>
          <w:highlight w:val="none"/>
        </w:rPr>
        <w:t>201</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_Toc16663 </w:instrText>
      </w:r>
      <w:r>
        <w:rPr>
          <w:rFonts w:ascii="宋体" w:hAnsi="宋体"/>
          <w:bCs/>
          <w:color w:val="auto"/>
          <w:szCs w:val="20"/>
          <w:highlight w:val="none"/>
          <w:lang w:val="zh-CN"/>
        </w:rPr>
        <w:fldChar w:fldCharType="separate"/>
      </w:r>
      <w:r>
        <w:rPr>
          <w:color w:val="auto"/>
          <w:szCs w:val="30"/>
          <w:highlight w:val="none"/>
        </w:rPr>
        <w:t>（三）</w:t>
      </w:r>
      <w:r>
        <w:rPr>
          <w:rFonts w:hint="eastAsia"/>
          <w:color w:val="auto"/>
          <w:szCs w:val="30"/>
          <w:highlight w:val="none"/>
        </w:rPr>
        <w:t>法定代表人身份证明或附有法定代表人身份证明的授权委托书</w:t>
      </w:r>
      <w:r>
        <w:rPr>
          <w:color w:val="auto"/>
          <w:highlight w:val="none"/>
        </w:rPr>
        <w:tab/>
      </w:r>
      <w:r>
        <w:rPr>
          <w:color w:val="auto"/>
          <w:highlight w:val="none"/>
        </w:rPr>
        <w:fldChar w:fldCharType="begin"/>
      </w:r>
      <w:r>
        <w:rPr>
          <w:color w:val="auto"/>
          <w:highlight w:val="none"/>
        </w:rPr>
        <w:instrText xml:space="preserve"> PAGEREF _Toc16663 \h </w:instrText>
      </w:r>
      <w:r>
        <w:rPr>
          <w:color w:val="auto"/>
          <w:highlight w:val="none"/>
        </w:rPr>
        <w:fldChar w:fldCharType="separate"/>
      </w:r>
      <w:r>
        <w:rPr>
          <w:color w:val="auto"/>
          <w:highlight w:val="none"/>
        </w:rPr>
        <w:t>202</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_Toc7538 </w:instrText>
      </w:r>
      <w:r>
        <w:rPr>
          <w:rFonts w:ascii="宋体" w:hAnsi="宋体"/>
          <w:bCs/>
          <w:color w:val="auto"/>
          <w:szCs w:val="20"/>
          <w:highlight w:val="none"/>
          <w:lang w:val="zh-CN"/>
        </w:rPr>
        <w:fldChar w:fldCharType="separate"/>
      </w:r>
      <w:r>
        <w:rPr>
          <w:color w:val="auto"/>
          <w:highlight w:val="none"/>
        </w:rPr>
        <w:t>（四）</w:t>
      </w:r>
      <w:r>
        <w:rPr>
          <w:rFonts w:hint="eastAsia"/>
          <w:color w:val="auto"/>
          <w:highlight w:val="none"/>
        </w:rPr>
        <w:t>低价风险担保提交承诺书</w:t>
      </w:r>
      <w:r>
        <w:rPr>
          <w:color w:val="auto"/>
          <w:highlight w:val="none"/>
        </w:rPr>
        <w:tab/>
      </w:r>
      <w:r>
        <w:rPr>
          <w:color w:val="auto"/>
          <w:highlight w:val="none"/>
        </w:rPr>
        <w:fldChar w:fldCharType="begin"/>
      </w:r>
      <w:r>
        <w:rPr>
          <w:color w:val="auto"/>
          <w:highlight w:val="none"/>
        </w:rPr>
        <w:instrText xml:space="preserve"> PAGEREF _Toc7538 \h </w:instrText>
      </w:r>
      <w:r>
        <w:rPr>
          <w:color w:val="auto"/>
          <w:highlight w:val="none"/>
        </w:rPr>
        <w:fldChar w:fldCharType="separate"/>
      </w:r>
      <w:r>
        <w:rPr>
          <w:color w:val="auto"/>
          <w:highlight w:val="none"/>
        </w:rPr>
        <w:t>204</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_Toc25144 </w:instrText>
      </w:r>
      <w:r>
        <w:rPr>
          <w:rFonts w:ascii="宋体" w:hAnsi="宋体"/>
          <w:bCs/>
          <w:color w:val="auto"/>
          <w:szCs w:val="20"/>
          <w:highlight w:val="none"/>
          <w:lang w:val="zh-CN"/>
        </w:rPr>
        <w:fldChar w:fldCharType="separate"/>
      </w:r>
      <w:r>
        <w:rPr>
          <w:rFonts w:hint="eastAsia" w:ascii="宋体" w:hAnsi="宋体"/>
          <w:bCs w:val="0"/>
          <w:color w:val="auto"/>
          <w:szCs w:val="44"/>
          <w:highlight w:val="none"/>
          <w:lang w:val="en-US" w:eastAsia="zh-CN"/>
        </w:rPr>
        <w:t>三</w:t>
      </w:r>
      <w:r>
        <w:rPr>
          <w:rFonts w:hint="eastAsia" w:ascii="宋体" w:hAnsi="宋体"/>
          <w:bCs w:val="0"/>
          <w:color w:val="auto"/>
          <w:szCs w:val="44"/>
          <w:highlight w:val="none"/>
        </w:rPr>
        <w:t>、经济部分</w:t>
      </w:r>
      <w:r>
        <w:rPr>
          <w:color w:val="auto"/>
          <w:highlight w:val="none"/>
        </w:rPr>
        <w:tab/>
      </w:r>
      <w:r>
        <w:rPr>
          <w:color w:val="auto"/>
          <w:highlight w:val="none"/>
        </w:rPr>
        <w:fldChar w:fldCharType="begin"/>
      </w:r>
      <w:r>
        <w:rPr>
          <w:color w:val="auto"/>
          <w:highlight w:val="none"/>
        </w:rPr>
        <w:instrText xml:space="preserve"> PAGEREF _Toc25144 \h </w:instrText>
      </w:r>
      <w:r>
        <w:rPr>
          <w:color w:val="auto"/>
          <w:highlight w:val="none"/>
        </w:rPr>
        <w:fldChar w:fldCharType="separate"/>
      </w:r>
      <w:r>
        <w:rPr>
          <w:color w:val="auto"/>
          <w:highlight w:val="none"/>
        </w:rPr>
        <w:t>205</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_Toc14805 </w:instrText>
      </w:r>
      <w:r>
        <w:rPr>
          <w:rFonts w:ascii="宋体" w:hAnsi="宋体"/>
          <w:bCs/>
          <w:color w:val="auto"/>
          <w:szCs w:val="20"/>
          <w:highlight w:val="none"/>
          <w:lang w:val="zh-CN"/>
        </w:rPr>
        <w:fldChar w:fldCharType="separate"/>
      </w:r>
      <w:r>
        <w:rPr>
          <w:rFonts w:hint="eastAsia"/>
          <w:color w:val="auto"/>
          <w:highlight w:val="none"/>
        </w:rPr>
        <w:t>（一）已标价工程量清单</w:t>
      </w:r>
      <w:r>
        <w:rPr>
          <w:color w:val="auto"/>
          <w:highlight w:val="none"/>
        </w:rPr>
        <w:tab/>
      </w:r>
      <w:r>
        <w:rPr>
          <w:color w:val="auto"/>
          <w:highlight w:val="none"/>
        </w:rPr>
        <w:fldChar w:fldCharType="begin"/>
      </w:r>
      <w:r>
        <w:rPr>
          <w:color w:val="auto"/>
          <w:highlight w:val="none"/>
        </w:rPr>
        <w:instrText xml:space="preserve"> PAGEREF _Toc14805 \h </w:instrText>
      </w:r>
      <w:r>
        <w:rPr>
          <w:color w:val="auto"/>
          <w:highlight w:val="none"/>
        </w:rPr>
        <w:fldChar w:fldCharType="separate"/>
      </w:r>
      <w:r>
        <w:rPr>
          <w:color w:val="auto"/>
          <w:highlight w:val="none"/>
        </w:rPr>
        <w:t>208</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_Toc26340 </w:instrText>
      </w:r>
      <w:r>
        <w:rPr>
          <w:rFonts w:ascii="宋体" w:hAnsi="宋体"/>
          <w:bCs/>
          <w:color w:val="auto"/>
          <w:szCs w:val="20"/>
          <w:highlight w:val="none"/>
          <w:lang w:val="zh-CN"/>
        </w:rPr>
        <w:fldChar w:fldCharType="separate"/>
      </w:r>
      <w:r>
        <w:rPr>
          <w:rFonts w:hint="eastAsia" w:ascii="宋体" w:hAnsi="宋体"/>
          <w:bCs w:val="0"/>
          <w:color w:val="auto"/>
          <w:szCs w:val="44"/>
          <w:highlight w:val="none"/>
          <w:lang w:val="en-US" w:eastAsia="zh-CN"/>
        </w:rPr>
        <w:t>四</w:t>
      </w:r>
      <w:r>
        <w:rPr>
          <w:rFonts w:hint="eastAsia" w:ascii="宋体" w:hAnsi="宋体"/>
          <w:bCs w:val="0"/>
          <w:color w:val="auto"/>
          <w:szCs w:val="44"/>
          <w:highlight w:val="none"/>
        </w:rPr>
        <w:t>、技术部分</w:t>
      </w:r>
      <w:r>
        <w:rPr>
          <w:color w:val="auto"/>
          <w:highlight w:val="none"/>
        </w:rPr>
        <w:tab/>
      </w:r>
      <w:r>
        <w:rPr>
          <w:color w:val="auto"/>
          <w:highlight w:val="none"/>
        </w:rPr>
        <w:fldChar w:fldCharType="begin"/>
      </w:r>
      <w:r>
        <w:rPr>
          <w:color w:val="auto"/>
          <w:highlight w:val="none"/>
        </w:rPr>
        <w:instrText xml:space="preserve"> PAGEREF _Toc26340 \h </w:instrText>
      </w:r>
      <w:r>
        <w:rPr>
          <w:color w:val="auto"/>
          <w:highlight w:val="none"/>
        </w:rPr>
        <w:fldChar w:fldCharType="separate"/>
      </w:r>
      <w:r>
        <w:rPr>
          <w:color w:val="auto"/>
          <w:highlight w:val="none"/>
        </w:rPr>
        <w:t>209</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_Toc4851 </w:instrText>
      </w:r>
      <w:r>
        <w:rPr>
          <w:rFonts w:ascii="宋体" w:hAnsi="宋体"/>
          <w:bCs/>
          <w:color w:val="auto"/>
          <w:szCs w:val="20"/>
          <w:highlight w:val="none"/>
          <w:lang w:val="zh-CN"/>
        </w:rPr>
        <w:fldChar w:fldCharType="separate"/>
      </w:r>
      <w:r>
        <w:rPr>
          <w:rFonts w:hint="eastAsia"/>
          <w:color w:val="auto"/>
          <w:highlight w:val="none"/>
        </w:rPr>
        <w:t>（一）技术方案</w:t>
      </w:r>
      <w:r>
        <w:rPr>
          <w:color w:val="auto"/>
          <w:highlight w:val="none"/>
        </w:rPr>
        <w:tab/>
      </w:r>
      <w:r>
        <w:rPr>
          <w:color w:val="auto"/>
          <w:highlight w:val="none"/>
        </w:rPr>
        <w:fldChar w:fldCharType="begin"/>
      </w:r>
      <w:r>
        <w:rPr>
          <w:color w:val="auto"/>
          <w:highlight w:val="none"/>
        </w:rPr>
        <w:instrText xml:space="preserve"> PAGEREF _Toc4851 \h </w:instrText>
      </w:r>
      <w:r>
        <w:rPr>
          <w:color w:val="auto"/>
          <w:highlight w:val="none"/>
        </w:rPr>
        <w:fldChar w:fldCharType="separate"/>
      </w:r>
      <w:r>
        <w:rPr>
          <w:color w:val="auto"/>
          <w:highlight w:val="none"/>
        </w:rPr>
        <w:t>211</w:t>
      </w:r>
      <w:r>
        <w:rPr>
          <w:color w:val="auto"/>
          <w:highlight w:val="none"/>
        </w:rPr>
        <w:fldChar w:fldCharType="end"/>
      </w:r>
      <w:r>
        <w:rPr>
          <w:rFonts w:ascii="宋体" w:hAnsi="宋体"/>
          <w:bCs/>
          <w:color w:val="auto"/>
          <w:szCs w:val="20"/>
          <w:highlight w:val="none"/>
          <w:lang w:val="zh-CN"/>
        </w:rPr>
        <w:fldChar w:fldCharType="end"/>
      </w:r>
    </w:p>
    <w:p>
      <w:pPr>
        <w:pStyle w:val="37"/>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_Toc18500 </w:instrText>
      </w:r>
      <w:r>
        <w:rPr>
          <w:rFonts w:ascii="宋体" w:hAnsi="宋体"/>
          <w:bCs/>
          <w:color w:val="auto"/>
          <w:szCs w:val="20"/>
          <w:highlight w:val="none"/>
          <w:lang w:val="zh-CN"/>
        </w:rPr>
        <w:fldChar w:fldCharType="separate"/>
      </w:r>
      <w:r>
        <w:rPr>
          <w:rFonts w:hint="eastAsia" w:ascii="宋体" w:hAnsi="宋体"/>
          <w:bCs w:val="0"/>
          <w:color w:val="auto"/>
          <w:szCs w:val="44"/>
          <w:highlight w:val="none"/>
          <w:lang w:val="en-US" w:eastAsia="zh-CN"/>
        </w:rPr>
        <w:t>五</w:t>
      </w:r>
      <w:r>
        <w:rPr>
          <w:rFonts w:hint="eastAsia" w:ascii="宋体" w:hAnsi="宋体"/>
          <w:bCs w:val="0"/>
          <w:color w:val="auto"/>
          <w:szCs w:val="44"/>
          <w:highlight w:val="none"/>
        </w:rPr>
        <w:t>、资格审查部分</w:t>
      </w:r>
      <w:r>
        <w:rPr>
          <w:color w:val="auto"/>
          <w:highlight w:val="none"/>
        </w:rPr>
        <w:tab/>
      </w:r>
      <w:r>
        <w:rPr>
          <w:color w:val="auto"/>
          <w:highlight w:val="none"/>
        </w:rPr>
        <w:fldChar w:fldCharType="begin"/>
      </w:r>
      <w:r>
        <w:rPr>
          <w:color w:val="auto"/>
          <w:highlight w:val="none"/>
        </w:rPr>
        <w:instrText xml:space="preserve"> PAGEREF _Toc18500 \h </w:instrText>
      </w:r>
      <w:r>
        <w:rPr>
          <w:color w:val="auto"/>
          <w:highlight w:val="none"/>
        </w:rPr>
        <w:fldChar w:fldCharType="separate"/>
      </w:r>
      <w:r>
        <w:rPr>
          <w:color w:val="auto"/>
          <w:highlight w:val="none"/>
        </w:rPr>
        <w:t>218</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_Toc16964 </w:instrText>
      </w:r>
      <w:r>
        <w:rPr>
          <w:rFonts w:ascii="宋体" w:hAnsi="宋体"/>
          <w:bCs/>
          <w:color w:val="auto"/>
          <w:szCs w:val="20"/>
          <w:highlight w:val="none"/>
          <w:lang w:val="zh-CN"/>
        </w:rPr>
        <w:fldChar w:fldCharType="separate"/>
      </w:r>
      <w:r>
        <w:rPr>
          <w:color w:val="auto"/>
          <w:szCs w:val="30"/>
          <w:highlight w:val="none"/>
        </w:rPr>
        <w:t>（一）</w:t>
      </w:r>
      <w:r>
        <w:rPr>
          <w:rFonts w:hint="eastAsia"/>
          <w:color w:val="auto"/>
          <w:szCs w:val="30"/>
          <w:highlight w:val="none"/>
        </w:rPr>
        <w:t>法定代表人身份证明或附有法定代表人身份证明的授权委托书</w:t>
      </w:r>
      <w:r>
        <w:rPr>
          <w:color w:val="auto"/>
          <w:highlight w:val="none"/>
        </w:rPr>
        <w:tab/>
      </w:r>
      <w:r>
        <w:rPr>
          <w:color w:val="auto"/>
          <w:highlight w:val="none"/>
        </w:rPr>
        <w:fldChar w:fldCharType="begin"/>
      </w:r>
      <w:r>
        <w:rPr>
          <w:color w:val="auto"/>
          <w:highlight w:val="none"/>
        </w:rPr>
        <w:instrText xml:space="preserve"> PAGEREF _Toc16964 \h </w:instrText>
      </w:r>
      <w:r>
        <w:rPr>
          <w:color w:val="auto"/>
          <w:highlight w:val="none"/>
        </w:rPr>
        <w:fldChar w:fldCharType="separate"/>
      </w:r>
      <w:r>
        <w:rPr>
          <w:color w:val="auto"/>
          <w:highlight w:val="none"/>
        </w:rPr>
        <w:t>221</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_Toc29466 </w:instrText>
      </w:r>
      <w:r>
        <w:rPr>
          <w:rFonts w:ascii="宋体" w:hAnsi="宋体"/>
          <w:bCs/>
          <w:color w:val="auto"/>
          <w:szCs w:val="20"/>
          <w:highlight w:val="none"/>
          <w:lang w:val="zh-CN"/>
        </w:rPr>
        <w:fldChar w:fldCharType="separate"/>
      </w:r>
      <w:r>
        <w:rPr>
          <w:color w:val="auto"/>
          <w:highlight w:val="none"/>
        </w:rPr>
        <w:t>（二）</w:t>
      </w:r>
      <w:r>
        <w:rPr>
          <w:rFonts w:hint="eastAsia" w:ascii="宋体" w:hAnsi="宋体"/>
          <w:bCs w:val="0"/>
          <w:color w:val="auto"/>
          <w:highlight w:val="none"/>
          <w:lang w:eastAsia="zh-CN"/>
        </w:rPr>
        <w:t>竞选人</w:t>
      </w:r>
      <w:r>
        <w:rPr>
          <w:rFonts w:hint="eastAsia" w:ascii="宋体" w:hAnsi="宋体"/>
          <w:bCs w:val="0"/>
          <w:color w:val="auto"/>
          <w:highlight w:val="none"/>
        </w:rPr>
        <w:t>基本情况表</w:t>
      </w:r>
      <w:r>
        <w:rPr>
          <w:color w:val="auto"/>
          <w:highlight w:val="none"/>
        </w:rPr>
        <w:tab/>
      </w:r>
      <w:r>
        <w:rPr>
          <w:color w:val="auto"/>
          <w:highlight w:val="none"/>
        </w:rPr>
        <w:fldChar w:fldCharType="begin"/>
      </w:r>
      <w:r>
        <w:rPr>
          <w:color w:val="auto"/>
          <w:highlight w:val="none"/>
        </w:rPr>
        <w:instrText xml:space="preserve"> PAGEREF _Toc29466 \h </w:instrText>
      </w:r>
      <w:r>
        <w:rPr>
          <w:color w:val="auto"/>
          <w:highlight w:val="none"/>
        </w:rPr>
        <w:fldChar w:fldCharType="separate"/>
      </w:r>
      <w:r>
        <w:rPr>
          <w:color w:val="auto"/>
          <w:highlight w:val="none"/>
        </w:rPr>
        <w:t>223</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_Toc32263 </w:instrText>
      </w:r>
      <w:r>
        <w:rPr>
          <w:rFonts w:ascii="宋体" w:hAnsi="宋体"/>
          <w:bCs/>
          <w:color w:val="auto"/>
          <w:szCs w:val="20"/>
          <w:highlight w:val="none"/>
          <w:lang w:val="zh-CN"/>
        </w:rPr>
        <w:fldChar w:fldCharType="separate"/>
      </w:r>
      <w:r>
        <w:rPr>
          <w:rFonts w:hint="eastAsia" w:ascii="宋体" w:hAnsi="宋体"/>
          <w:bCs w:val="0"/>
          <w:color w:val="auto"/>
          <w:highlight w:val="none"/>
        </w:rPr>
        <w:t>（</w:t>
      </w:r>
      <w:r>
        <w:rPr>
          <w:rFonts w:hint="eastAsia" w:ascii="宋体" w:hAnsi="宋体"/>
          <w:bCs w:val="0"/>
          <w:color w:val="auto"/>
          <w:highlight w:val="none"/>
          <w:lang w:val="en-US" w:eastAsia="zh-CN"/>
        </w:rPr>
        <w:t>三</w:t>
      </w:r>
      <w:r>
        <w:rPr>
          <w:rFonts w:hint="eastAsia" w:ascii="宋体" w:hAnsi="宋体"/>
          <w:bCs w:val="0"/>
          <w:color w:val="auto"/>
          <w:highlight w:val="none"/>
        </w:rPr>
        <w:t>）项目管理机构</w:t>
      </w:r>
      <w:r>
        <w:rPr>
          <w:color w:val="auto"/>
          <w:highlight w:val="none"/>
        </w:rPr>
        <w:tab/>
      </w:r>
      <w:r>
        <w:rPr>
          <w:color w:val="auto"/>
          <w:highlight w:val="none"/>
        </w:rPr>
        <w:fldChar w:fldCharType="begin"/>
      </w:r>
      <w:r>
        <w:rPr>
          <w:color w:val="auto"/>
          <w:highlight w:val="none"/>
        </w:rPr>
        <w:instrText xml:space="preserve"> PAGEREF _Toc32263 \h </w:instrText>
      </w:r>
      <w:r>
        <w:rPr>
          <w:color w:val="auto"/>
          <w:highlight w:val="none"/>
        </w:rPr>
        <w:fldChar w:fldCharType="separate"/>
      </w:r>
      <w:r>
        <w:rPr>
          <w:color w:val="auto"/>
          <w:highlight w:val="none"/>
        </w:rPr>
        <w:t>224</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_Toc22309 </w:instrText>
      </w:r>
      <w:r>
        <w:rPr>
          <w:rFonts w:ascii="宋体" w:hAnsi="宋体"/>
          <w:bCs/>
          <w:color w:val="auto"/>
          <w:szCs w:val="20"/>
          <w:highlight w:val="none"/>
          <w:lang w:val="zh-CN"/>
        </w:rPr>
        <w:fldChar w:fldCharType="separate"/>
      </w:r>
      <w:r>
        <w:rPr>
          <w:rFonts w:hint="eastAsia" w:ascii="宋体" w:hAnsi="宋体"/>
          <w:color w:val="auto"/>
          <w:highlight w:val="none"/>
        </w:rPr>
        <w:t>（</w:t>
      </w:r>
      <w:r>
        <w:rPr>
          <w:rFonts w:hint="eastAsia" w:ascii="宋体" w:hAnsi="宋体"/>
          <w:color w:val="auto"/>
          <w:highlight w:val="none"/>
          <w:lang w:val="en-US" w:eastAsia="zh-CN"/>
        </w:rPr>
        <w:t>四</w:t>
      </w:r>
      <w:r>
        <w:rPr>
          <w:rFonts w:hint="eastAsia" w:ascii="宋体" w:hAnsi="宋体"/>
          <w:color w:val="auto"/>
          <w:highlight w:val="none"/>
        </w:rPr>
        <w:t>）近年财务状况表</w:t>
      </w:r>
      <w:r>
        <w:rPr>
          <w:color w:val="auto"/>
          <w:highlight w:val="none"/>
        </w:rPr>
        <w:tab/>
      </w:r>
      <w:r>
        <w:rPr>
          <w:color w:val="auto"/>
          <w:highlight w:val="none"/>
        </w:rPr>
        <w:fldChar w:fldCharType="begin"/>
      </w:r>
      <w:r>
        <w:rPr>
          <w:color w:val="auto"/>
          <w:highlight w:val="none"/>
        </w:rPr>
        <w:instrText xml:space="preserve"> PAGEREF _Toc22309 \h </w:instrText>
      </w:r>
      <w:r>
        <w:rPr>
          <w:color w:val="auto"/>
          <w:highlight w:val="none"/>
        </w:rPr>
        <w:fldChar w:fldCharType="separate"/>
      </w:r>
      <w:r>
        <w:rPr>
          <w:color w:val="auto"/>
          <w:highlight w:val="none"/>
        </w:rPr>
        <w:t>227</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_Toc10128 </w:instrText>
      </w:r>
      <w:r>
        <w:rPr>
          <w:rFonts w:ascii="宋体" w:hAnsi="宋体"/>
          <w:bCs/>
          <w:color w:val="auto"/>
          <w:szCs w:val="20"/>
          <w:highlight w:val="none"/>
          <w:lang w:val="zh-CN"/>
        </w:rPr>
        <w:fldChar w:fldCharType="separate"/>
      </w:r>
      <w:r>
        <w:rPr>
          <w:rFonts w:ascii="宋体" w:hAnsi="宋体"/>
          <w:color w:val="auto"/>
          <w:highlight w:val="none"/>
        </w:rPr>
        <w:t>（</w:t>
      </w:r>
      <w:r>
        <w:rPr>
          <w:rFonts w:hint="eastAsia" w:ascii="宋体" w:hAnsi="宋体"/>
          <w:color w:val="auto"/>
          <w:highlight w:val="none"/>
          <w:lang w:val="en-US" w:eastAsia="zh-CN"/>
        </w:rPr>
        <w:t>五</w:t>
      </w:r>
      <w:r>
        <w:rPr>
          <w:rFonts w:ascii="宋体" w:hAnsi="宋体"/>
          <w:color w:val="auto"/>
          <w:highlight w:val="none"/>
        </w:rPr>
        <w:t>）</w:t>
      </w:r>
      <w:r>
        <w:rPr>
          <w:rFonts w:hint="eastAsia" w:ascii="宋体" w:hAnsi="宋体"/>
          <w:color w:val="auto"/>
          <w:highlight w:val="none"/>
        </w:rPr>
        <w:t>承诺</w:t>
      </w:r>
      <w:r>
        <w:rPr>
          <w:color w:val="auto"/>
          <w:highlight w:val="none"/>
        </w:rPr>
        <w:tab/>
      </w:r>
      <w:r>
        <w:rPr>
          <w:color w:val="auto"/>
          <w:highlight w:val="none"/>
        </w:rPr>
        <w:fldChar w:fldCharType="begin"/>
      </w:r>
      <w:r>
        <w:rPr>
          <w:color w:val="auto"/>
          <w:highlight w:val="none"/>
        </w:rPr>
        <w:instrText xml:space="preserve"> PAGEREF _Toc10128 \h </w:instrText>
      </w:r>
      <w:r>
        <w:rPr>
          <w:color w:val="auto"/>
          <w:highlight w:val="none"/>
        </w:rPr>
        <w:fldChar w:fldCharType="separate"/>
      </w:r>
      <w:r>
        <w:rPr>
          <w:color w:val="auto"/>
          <w:highlight w:val="none"/>
        </w:rPr>
        <w:t>228</w:t>
      </w:r>
      <w:r>
        <w:rPr>
          <w:color w:val="auto"/>
          <w:highlight w:val="none"/>
        </w:rPr>
        <w:fldChar w:fldCharType="end"/>
      </w:r>
      <w:r>
        <w:rPr>
          <w:rFonts w:ascii="宋体" w:hAnsi="宋体"/>
          <w:bCs/>
          <w:color w:val="auto"/>
          <w:szCs w:val="20"/>
          <w:highlight w:val="none"/>
          <w:lang w:val="zh-CN"/>
        </w:rPr>
        <w:fldChar w:fldCharType="end"/>
      </w:r>
    </w:p>
    <w:p>
      <w:pPr>
        <w:pStyle w:val="22"/>
        <w:tabs>
          <w:tab w:val="right" w:leader="dot" w:pos="9469"/>
        </w:tabs>
        <w:rPr>
          <w:color w:val="auto"/>
          <w:highlight w:val="none"/>
        </w:rPr>
      </w:pPr>
      <w:r>
        <w:rPr>
          <w:rFonts w:ascii="宋体" w:hAnsi="宋体"/>
          <w:bCs/>
          <w:color w:val="auto"/>
          <w:szCs w:val="20"/>
          <w:highlight w:val="none"/>
          <w:lang w:val="zh-CN"/>
        </w:rPr>
        <w:fldChar w:fldCharType="begin"/>
      </w:r>
      <w:r>
        <w:rPr>
          <w:rFonts w:ascii="宋体" w:hAnsi="宋体"/>
          <w:bCs/>
          <w:color w:val="auto"/>
          <w:szCs w:val="20"/>
          <w:highlight w:val="none"/>
          <w:lang w:val="zh-CN"/>
        </w:rPr>
        <w:instrText xml:space="preserve"> HYPERLINK \l _Toc1711 </w:instrText>
      </w:r>
      <w:r>
        <w:rPr>
          <w:rFonts w:ascii="宋体" w:hAnsi="宋体"/>
          <w:bCs/>
          <w:color w:val="auto"/>
          <w:szCs w:val="20"/>
          <w:highlight w:val="none"/>
          <w:lang w:val="zh-CN"/>
        </w:rPr>
        <w:fldChar w:fldCharType="separate"/>
      </w:r>
      <w:r>
        <w:rPr>
          <w:rFonts w:hint="eastAsia" w:ascii="宋体" w:hAnsi="宋体"/>
          <w:color w:val="auto"/>
          <w:highlight w:val="none"/>
        </w:rPr>
        <w:t>（</w:t>
      </w:r>
      <w:r>
        <w:rPr>
          <w:rFonts w:hint="eastAsia" w:ascii="宋体" w:hAnsi="宋体"/>
          <w:color w:val="auto"/>
          <w:highlight w:val="none"/>
          <w:lang w:val="en-US" w:eastAsia="zh-CN"/>
        </w:rPr>
        <w:t>六</w:t>
      </w:r>
      <w:r>
        <w:rPr>
          <w:rFonts w:hint="eastAsia" w:ascii="宋体" w:hAnsi="宋体"/>
          <w:color w:val="auto"/>
          <w:highlight w:val="none"/>
        </w:rPr>
        <w:t>）其他资料</w:t>
      </w:r>
      <w:r>
        <w:rPr>
          <w:color w:val="auto"/>
          <w:highlight w:val="none"/>
        </w:rPr>
        <w:tab/>
      </w:r>
      <w:r>
        <w:rPr>
          <w:color w:val="auto"/>
          <w:highlight w:val="none"/>
        </w:rPr>
        <w:fldChar w:fldCharType="begin"/>
      </w:r>
      <w:r>
        <w:rPr>
          <w:color w:val="auto"/>
          <w:highlight w:val="none"/>
        </w:rPr>
        <w:instrText xml:space="preserve"> PAGEREF _Toc1711 \h </w:instrText>
      </w:r>
      <w:r>
        <w:rPr>
          <w:color w:val="auto"/>
          <w:highlight w:val="none"/>
        </w:rPr>
        <w:fldChar w:fldCharType="separate"/>
      </w:r>
      <w:r>
        <w:rPr>
          <w:color w:val="auto"/>
          <w:highlight w:val="none"/>
        </w:rPr>
        <w:t>230</w:t>
      </w:r>
      <w:r>
        <w:rPr>
          <w:color w:val="auto"/>
          <w:highlight w:val="none"/>
        </w:rPr>
        <w:fldChar w:fldCharType="end"/>
      </w:r>
      <w:r>
        <w:rPr>
          <w:rFonts w:ascii="宋体" w:hAnsi="宋体"/>
          <w:bCs/>
          <w:color w:val="auto"/>
          <w:szCs w:val="20"/>
          <w:highlight w:val="none"/>
          <w:lang w:val="zh-CN"/>
        </w:rPr>
        <w:fldChar w:fldCharType="end"/>
      </w:r>
    </w:p>
    <w:p>
      <w:pPr>
        <w:rPr>
          <w:rFonts w:ascii="宋体" w:hAnsi="宋体"/>
          <w:color w:val="auto"/>
          <w:highlight w:val="none"/>
        </w:rPr>
      </w:pPr>
      <w:r>
        <w:rPr>
          <w:rFonts w:ascii="宋体" w:hAnsi="宋体"/>
          <w:bCs/>
          <w:color w:val="auto"/>
          <w:szCs w:val="20"/>
          <w:highlight w:val="none"/>
          <w:lang w:val="zh-CN"/>
        </w:rPr>
        <w:fldChar w:fldCharType="end"/>
      </w:r>
    </w:p>
    <w:bookmarkEnd w:id="0"/>
    <w:p>
      <w:pPr>
        <w:spacing w:line="20" w:lineRule="exact"/>
        <w:rPr>
          <w:rFonts w:ascii="宋体" w:hAnsi="宋体"/>
          <w:color w:val="auto"/>
          <w:highlight w:val="none"/>
        </w:rPr>
      </w:pPr>
      <w:bookmarkStart w:id="8" w:name="_Toc430530414"/>
    </w:p>
    <w:p>
      <w:pPr>
        <w:spacing w:line="20" w:lineRule="exact"/>
        <w:jc w:val="left"/>
        <w:rPr>
          <w:rFonts w:ascii="宋体" w:hAnsi="宋体"/>
          <w:color w:val="auto"/>
          <w:highlight w:val="none"/>
        </w:rPr>
        <w:sectPr>
          <w:footerReference r:id="rId6" w:type="default"/>
          <w:pgSz w:w="11907" w:h="16840"/>
          <w:pgMar w:top="1304" w:right="1134" w:bottom="1304" w:left="1304" w:header="851" w:footer="992" w:gutter="0"/>
          <w:pgNumType w:fmt="numberInDash" w:start="1"/>
          <w:cols w:space="720" w:num="1"/>
          <w:docGrid w:linePitch="312" w:charSpace="0"/>
        </w:sectPr>
      </w:pPr>
    </w:p>
    <w:bookmarkEnd w:id="8"/>
    <w:p>
      <w:pPr>
        <w:spacing w:line="360" w:lineRule="auto"/>
        <w:rPr>
          <w:rFonts w:ascii="宋体" w:hAnsi="宋体"/>
          <w:color w:val="auto"/>
          <w:highlight w:val="none"/>
        </w:rPr>
      </w:pPr>
    </w:p>
    <w:p>
      <w:pPr>
        <w:pStyle w:val="3"/>
        <w:spacing w:before="0" w:after="0" w:line="480" w:lineRule="auto"/>
        <w:jc w:val="center"/>
        <w:rPr>
          <w:rFonts w:ascii="宋体" w:hAnsi="宋体"/>
          <w:color w:val="auto"/>
          <w:sz w:val="52"/>
          <w:szCs w:val="52"/>
          <w:highlight w:val="none"/>
        </w:rPr>
      </w:pPr>
      <w:bookmarkStart w:id="9" w:name="_Toc594"/>
      <w:bookmarkStart w:id="10" w:name="_Toc509218690"/>
      <w:bookmarkStart w:id="11" w:name="_Toc9936"/>
      <w:r>
        <w:rPr>
          <w:rFonts w:hint="eastAsia" w:ascii="宋体" w:hAnsi="宋体"/>
          <w:color w:val="auto"/>
          <w:sz w:val="52"/>
          <w:szCs w:val="52"/>
          <w:highlight w:val="none"/>
        </w:rPr>
        <w:t>第 一 卷</w:t>
      </w:r>
      <w:bookmarkEnd w:id="9"/>
      <w:bookmarkEnd w:id="10"/>
      <w:bookmarkEnd w:id="11"/>
    </w:p>
    <w:p>
      <w:pPr>
        <w:spacing w:line="200" w:lineRule="exact"/>
        <w:rPr>
          <w:rFonts w:ascii="宋体" w:hAnsi="宋体"/>
          <w:color w:val="auto"/>
          <w:highlight w:val="none"/>
        </w:rPr>
      </w:pPr>
      <w:r>
        <w:rPr>
          <w:rFonts w:ascii="宋体" w:hAnsi="宋体"/>
          <w:color w:val="auto"/>
          <w:highlight w:val="none"/>
        </w:rPr>
        <w:br w:type="page"/>
      </w:r>
    </w:p>
    <w:p>
      <w:pPr>
        <w:pStyle w:val="3"/>
        <w:spacing w:line="360" w:lineRule="auto"/>
        <w:jc w:val="center"/>
        <w:rPr>
          <w:rFonts w:ascii="宋体" w:hAnsi="宋体"/>
          <w:snapToGrid w:val="0"/>
          <w:color w:val="auto"/>
          <w:kern w:val="0"/>
          <w:highlight w:val="none"/>
        </w:rPr>
      </w:pPr>
      <w:bookmarkStart w:id="12" w:name="_Toc430530415"/>
      <w:bookmarkStart w:id="13" w:name="_Toc287620666"/>
      <w:bookmarkStart w:id="14" w:name="_Toc287607727"/>
      <w:bookmarkStart w:id="15" w:name="_Toc12819"/>
      <w:bookmarkStart w:id="16" w:name="_Toc224103298"/>
      <w:bookmarkStart w:id="17" w:name="_Toc12816"/>
      <w:bookmarkStart w:id="18" w:name="_Toc509218691"/>
      <w:bookmarkStart w:id="19" w:name="_Toc277082535"/>
      <w:r>
        <w:rPr>
          <w:rFonts w:ascii="宋体" w:hAnsi="宋体"/>
          <w:snapToGrid w:val="0"/>
          <w:color w:val="auto"/>
          <w:kern w:val="0"/>
          <w:highlight w:val="none"/>
        </w:rPr>
        <w:t xml:space="preserve">第一章  </w:t>
      </w:r>
      <w:r>
        <w:rPr>
          <w:rFonts w:hint="eastAsia" w:ascii="宋体" w:hAnsi="宋体"/>
          <w:snapToGrid w:val="0"/>
          <w:color w:val="auto"/>
          <w:kern w:val="0"/>
          <w:highlight w:val="none"/>
          <w:lang w:eastAsia="zh-CN"/>
        </w:rPr>
        <w:t>比选公告</w:t>
      </w:r>
      <w:bookmarkEnd w:id="12"/>
      <w:bookmarkEnd w:id="13"/>
      <w:bookmarkEnd w:id="14"/>
      <w:bookmarkEnd w:id="15"/>
      <w:bookmarkEnd w:id="16"/>
      <w:bookmarkEnd w:id="17"/>
      <w:bookmarkEnd w:id="18"/>
      <w:bookmarkEnd w:id="19"/>
    </w:p>
    <w:p>
      <w:pPr>
        <w:autoSpaceDE w:val="0"/>
        <w:autoSpaceDN w:val="0"/>
        <w:adjustRightInd w:val="0"/>
        <w:snapToGrid w:val="0"/>
        <w:spacing w:line="360" w:lineRule="auto"/>
        <w:jc w:val="center"/>
        <w:rPr>
          <w:rFonts w:hint="eastAsia" w:ascii="宋体" w:hAnsi="宋体"/>
          <w:snapToGrid w:val="0"/>
          <w:color w:val="auto"/>
          <w:kern w:val="0"/>
          <w:sz w:val="28"/>
          <w:szCs w:val="28"/>
          <w:highlight w:val="none"/>
          <w:u w:val="single"/>
          <w:lang w:eastAsia="zh-CN"/>
        </w:rPr>
      </w:pPr>
      <w:r>
        <w:rPr>
          <w:rFonts w:hint="eastAsia" w:ascii="宋体" w:hAnsi="宋体"/>
          <w:snapToGrid w:val="0"/>
          <w:color w:val="auto"/>
          <w:kern w:val="0"/>
          <w:sz w:val="24"/>
          <w:szCs w:val="24"/>
          <w:highlight w:val="none"/>
          <w:u w:val="single"/>
          <w:lang w:eastAsia="zh-CN"/>
        </w:rPr>
        <w:t>江南春城-阳光水岸、江南春城-水木兰亭、广滨壹号-江枫苑项目土石方工程</w:t>
      </w:r>
      <w:r>
        <w:rPr>
          <w:rFonts w:hint="eastAsia" w:ascii="宋体" w:hAnsi="宋体"/>
          <w:snapToGrid w:val="0"/>
          <w:color w:val="auto"/>
          <w:kern w:val="0"/>
          <w:sz w:val="28"/>
          <w:szCs w:val="28"/>
          <w:highlight w:val="none"/>
          <w:u w:val="single"/>
          <w:lang w:eastAsia="zh-CN"/>
        </w:rPr>
        <w:t xml:space="preserve"> </w:t>
      </w:r>
    </w:p>
    <w:p>
      <w:pPr>
        <w:autoSpaceDE w:val="0"/>
        <w:autoSpaceDN w:val="0"/>
        <w:adjustRightInd w:val="0"/>
        <w:snapToGrid w:val="0"/>
        <w:spacing w:line="360" w:lineRule="auto"/>
        <w:jc w:val="center"/>
        <w:rPr>
          <w:rFonts w:hint="eastAsia" w:ascii="宋体" w:hAnsi="宋体" w:eastAsia="宋体"/>
          <w:snapToGrid w:val="0"/>
          <w:color w:val="auto"/>
          <w:kern w:val="0"/>
          <w:sz w:val="28"/>
          <w:szCs w:val="28"/>
          <w:highlight w:val="none"/>
          <w:lang w:eastAsia="zh-CN"/>
        </w:rPr>
      </w:pPr>
      <w:r>
        <w:rPr>
          <w:rFonts w:hint="eastAsia" w:ascii="宋体" w:hAnsi="宋体"/>
          <w:snapToGrid w:val="0"/>
          <w:color w:val="auto"/>
          <w:w w:val="99"/>
          <w:kern w:val="0"/>
          <w:sz w:val="28"/>
          <w:szCs w:val="28"/>
          <w:highlight w:val="none"/>
          <w:lang w:eastAsia="zh-CN"/>
        </w:rPr>
        <w:t>比选公告</w:t>
      </w:r>
    </w:p>
    <w:p>
      <w:pPr>
        <w:pStyle w:val="4"/>
        <w:spacing w:before="100" w:after="100" w:line="460" w:lineRule="exact"/>
        <w:rPr>
          <w:rFonts w:ascii="宋体" w:hAnsi="宋体"/>
          <w:snapToGrid w:val="0"/>
          <w:color w:val="auto"/>
          <w:sz w:val="28"/>
          <w:szCs w:val="28"/>
          <w:highlight w:val="none"/>
        </w:rPr>
      </w:pPr>
      <w:bookmarkStart w:id="20" w:name="_Toc27491"/>
      <w:bookmarkStart w:id="21" w:name="_Toc200359427"/>
      <w:bookmarkStart w:id="22" w:name="_Toc430530416"/>
      <w:bookmarkStart w:id="23" w:name="_Toc224103299"/>
      <w:bookmarkStart w:id="24" w:name="_Toc509218692"/>
      <w:bookmarkStart w:id="25" w:name="_Toc30711"/>
      <w:bookmarkStart w:id="26" w:name="_Toc287620667"/>
      <w:bookmarkStart w:id="27" w:name="_Toc200359238"/>
      <w:bookmarkStart w:id="28" w:name="_Toc287607728"/>
      <w:bookmarkStart w:id="29" w:name="_Toc277082536"/>
      <w:r>
        <w:rPr>
          <w:rFonts w:ascii="宋体" w:hAnsi="宋体"/>
          <w:snapToGrid w:val="0"/>
          <w:color w:val="auto"/>
          <w:sz w:val="28"/>
          <w:szCs w:val="28"/>
          <w:highlight w:val="none"/>
        </w:rPr>
        <w:t xml:space="preserve">1. </w:t>
      </w:r>
      <w:r>
        <w:rPr>
          <w:rFonts w:hint="eastAsia" w:ascii="宋体" w:hAnsi="宋体"/>
          <w:snapToGrid w:val="0"/>
          <w:color w:val="auto"/>
          <w:sz w:val="28"/>
          <w:szCs w:val="28"/>
          <w:highlight w:val="none"/>
        </w:rPr>
        <w:t xml:space="preserve"> </w:t>
      </w:r>
      <w:r>
        <w:rPr>
          <w:rFonts w:ascii="宋体" w:hAnsi="宋体"/>
          <w:snapToGrid w:val="0"/>
          <w:color w:val="auto"/>
          <w:sz w:val="28"/>
          <w:szCs w:val="28"/>
          <w:highlight w:val="none"/>
        </w:rPr>
        <w:t>招标条件</w:t>
      </w:r>
      <w:bookmarkEnd w:id="20"/>
      <w:bookmarkEnd w:id="21"/>
      <w:bookmarkEnd w:id="22"/>
      <w:bookmarkEnd w:id="23"/>
      <w:bookmarkEnd w:id="24"/>
      <w:bookmarkEnd w:id="25"/>
      <w:bookmarkEnd w:id="26"/>
      <w:bookmarkEnd w:id="27"/>
      <w:bookmarkEnd w:id="28"/>
      <w:bookmarkEnd w:id="29"/>
    </w:p>
    <w:p>
      <w:pPr>
        <w:tabs>
          <w:tab w:val="left" w:pos="3315"/>
          <w:tab w:val="left" w:pos="3390"/>
          <w:tab w:val="left" w:pos="6120"/>
          <w:tab w:val="left" w:pos="8850"/>
        </w:tabs>
        <w:autoSpaceDE w:val="0"/>
        <w:autoSpaceDN w:val="0"/>
        <w:adjustRightInd w:val="0"/>
        <w:snapToGrid w:val="0"/>
        <w:spacing w:line="460" w:lineRule="exact"/>
        <w:ind w:firstLine="420"/>
        <w:jc w:val="left"/>
        <w:rPr>
          <w:rFonts w:ascii="宋体" w:hAnsi="宋体"/>
          <w:snapToGrid w:val="0"/>
          <w:color w:val="auto"/>
          <w:kern w:val="0"/>
          <w:szCs w:val="21"/>
          <w:highlight w:val="none"/>
        </w:rPr>
      </w:pPr>
      <w:r>
        <w:rPr>
          <w:rFonts w:ascii="宋体" w:hAnsi="宋体"/>
          <w:snapToGrid w:val="0"/>
          <w:color w:val="auto"/>
          <w:kern w:val="0"/>
          <w:szCs w:val="21"/>
          <w:highlight w:val="none"/>
        </w:rPr>
        <w:t>本招标项目</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eastAsia="zh-CN"/>
        </w:rPr>
        <w:t xml:space="preserve">江南春城-阳光水岸、江南春城-水木兰亭、广滨壹号-江枫苑项目 </w:t>
      </w:r>
      <w:r>
        <w:rPr>
          <w:rFonts w:ascii="宋体" w:hAnsi="宋体"/>
          <w:snapToGrid w:val="0"/>
          <w:color w:val="auto"/>
          <w:kern w:val="0"/>
          <w:szCs w:val="21"/>
          <w:highlight w:val="none"/>
        </w:rPr>
        <w:t>已由</w:t>
      </w:r>
      <w:r>
        <w:rPr>
          <w:rFonts w:hint="eastAsia" w:ascii="宋体" w:hAnsi="宋体"/>
          <w:snapToGrid w:val="0"/>
          <w:color w:val="auto"/>
          <w:kern w:val="0"/>
          <w:szCs w:val="21"/>
          <w:highlight w:val="none"/>
          <w:u w:val="single"/>
        </w:rPr>
        <w:t xml:space="preserve">  重庆经济技术开发区管理委员会改革发展和科技局</w:t>
      </w:r>
      <w:r>
        <w:rPr>
          <w:rFonts w:hint="eastAsia" w:ascii="宋体" w:hAnsi="宋体"/>
          <w:snapToGrid w:val="0"/>
          <w:color w:val="auto"/>
          <w:kern w:val="0"/>
          <w:szCs w:val="21"/>
          <w:highlight w:val="none"/>
          <w:u w:val="single"/>
          <w:lang w:val="en-US" w:eastAsia="zh-CN"/>
        </w:rPr>
        <w:t xml:space="preserve"> </w:t>
      </w:r>
      <w:r>
        <w:rPr>
          <w:rFonts w:ascii="宋体" w:hAnsi="宋体"/>
          <w:snapToGrid w:val="0"/>
          <w:color w:val="auto"/>
          <w:kern w:val="0"/>
          <w:szCs w:val="21"/>
          <w:highlight w:val="none"/>
        </w:rPr>
        <w:t>以</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投资备案证</w:t>
      </w:r>
      <w:r>
        <w:rPr>
          <w:rFonts w:hint="eastAsia" w:ascii="宋体" w:hAnsi="宋体"/>
          <w:snapToGrid w:val="0"/>
          <w:color w:val="auto"/>
          <w:kern w:val="0"/>
          <w:szCs w:val="21"/>
          <w:highlight w:val="none"/>
          <w:u w:val="single"/>
          <w:lang w:eastAsia="zh-CN"/>
        </w:rPr>
        <w:t>（2302-500108-04-05-670258）、（2302-500108-04-05-450042）、（2302-500108-04-05-937141）</w:t>
      </w:r>
      <w:r>
        <w:rPr>
          <w:rFonts w:ascii="宋体" w:hAnsi="宋体"/>
          <w:snapToGrid w:val="0"/>
          <w:color w:val="auto"/>
          <w:kern w:val="0"/>
          <w:szCs w:val="21"/>
          <w:highlight w:val="none"/>
        </w:rPr>
        <w:t>批准建设，项目业主</w:t>
      </w:r>
      <w:r>
        <w:rPr>
          <w:rFonts w:hint="eastAsia" w:ascii="宋体" w:hAnsi="宋体"/>
          <w:snapToGrid w:val="0"/>
          <w:color w:val="auto"/>
          <w:kern w:val="0"/>
          <w:szCs w:val="21"/>
          <w:highlight w:val="none"/>
          <w:lang w:val="en-US" w:eastAsia="zh-CN"/>
        </w:rPr>
        <w:t>分别</w:t>
      </w:r>
      <w:r>
        <w:rPr>
          <w:rFonts w:ascii="宋体" w:hAnsi="宋体"/>
          <w:snapToGrid w:val="0"/>
          <w:color w:val="auto"/>
          <w:kern w:val="0"/>
          <w:szCs w:val="21"/>
          <w:highlight w:val="none"/>
        </w:rPr>
        <w:t>为</w:t>
      </w:r>
      <w:r>
        <w:rPr>
          <w:rFonts w:hint="eastAsia" w:ascii="宋体" w:hAnsi="宋体"/>
          <w:snapToGrid w:val="0"/>
          <w:color w:val="auto"/>
          <w:kern w:val="0"/>
          <w:szCs w:val="21"/>
          <w:highlight w:val="none"/>
          <w:u w:val="single"/>
        </w:rPr>
        <w:t xml:space="preserve"> 重庆汇盈达置业发展有限公司</w:t>
      </w:r>
      <w:r>
        <w:rPr>
          <w:rFonts w:hint="eastAsia" w:ascii="宋体" w:hAnsi="宋体"/>
          <w:snapToGrid w:val="0"/>
          <w:color w:val="auto"/>
          <w:kern w:val="0"/>
          <w:szCs w:val="21"/>
          <w:highlight w:val="none"/>
          <w:u w:val="single"/>
          <w:lang w:eastAsia="zh-CN"/>
        </w:rPr>
        <w:t>、重庆乾腾置地有限公司、重庆鑫仁置地有限公司</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，建设资金来自</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业主自筹</w:t>
      </w:r>
      <w:r>
        <w:rPr>
          <w:rFonts w:ascii="宋体" w:hAnsi="宋体"/>
          <w:snapToGrid w:val="0"/>
          <w:color w:val="auto"/>
          <w:kern w:val="0"/>
          <w:szCs w:val="21"/>
          <w:highlight w:val="none"/>
          <w:u w:val="single"/>
        </w:rPr>
        <w:t>（资金来源）</w:t>
      </w:r>
      <w:r>
        <w:rPr>
          <w:rFonts w:ascii="宋体" w:hAnsi="宋体"/>
          <w:snapToGrid w:val="0"/>
          <w:color w:val="auto"/>
          <w:kern w:val="0"/>
          <w:szCs w:val="21"/>
          <w:highlight w:val="none"/>
        </w:rPr>
        <w:t>，项目出资比例为</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100%</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w:t>
      </w:r>
      <w:r>
        <w:rPr>
          <w:rFonts w:hint="eastAsia" w:ascii="宋体" w:hAnsi="宋体"/>
          <w:snapToGrid w:val="0"/>
          <w:color w:val="auto"/>
          <w:kern w:val="0"/>
          <w:szCs w:val="21"/>
          <w:highlight w:val="none"/>
          <w:lang w:eastAsia="zh-CN"/>
        </w:rPr>
        <w:t>比选人</w:t>
      </w:r>
      <w:r>
        <w:rPr>
          <w:rFonts w:ascii="宋体" w:hAnsi="宋体"/>
          <w:snapToGrid w:val="0"/>
          <w:color w:val="auto"/>
          <w:kern w:val="0"/>
          <w:position w:val="-2"/>
          <w:szCs w:val="21"/>
          <w:highlight w:val="none"/>
        </w:rPr>
        <w:t>为</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eastAsia="zh-CN"/>
        </w:rPr>
        <w:t>重庆广阳岛生态城置地有限公司</w:t>
      </w:r>
      <w:r>
        <w:rPr>
          <w:rFonts w:hint="eastAsia" w:ascii="宋体" w:hAnsi="宋体"/>
          <w:snapToGrid w:val="0"/>
          <w:color w:val="auto"/>
          <w:kern w:val="0"/>
          <w:szCs w:val="21"/>
          <w:highlight w:val="none"/>
          <w:u w:val="single"/>
        </w:rPr>
        <w:t xml:space="preserve"> </w:t>
      </w:r>
      <w:r>
        <w:rPr>
          <w:rFonts w:ascii="宋体" w:hAnsi="宋体"/>
          <w:snapToGrid w:val="0"/>
          <w:color w:val="auto"/>
          <w:kern w:val="0"/>
          <w:position w:val="-2"/>
          <w:szCs w:val="21"/>
          <w:highlight w:val="none"/>
        </w:rPr>
        <w:t>。项目已具备招标条件，现对</w:t>
      </w:r>
      <w:r>
        <w:rPr>
          <w:rFonts w:hint="eastAsia" w:ascii="宋体" w:hAnsi="宋体"/>
          <w:snapToGrid w:val="0"/>
          <w:color w:val="auto"/>
          <w:kern w:val="0"/>
          <w:position w:val="-2"/>
          <w:szCs w:val="21"/>
          <w:highlight w:val="none"/>
          <w:u w:val="single"/>
        </w:rPr>
        <w:t>该项目的</w:t>
      </w:r>
      <w:r>
        <w:rPr>
          <w:rFonts w:hint="eastAsia" w:ascii="宋体" w:hAnsi="宋体"/>
          <w:snapToGrid w:val="0"/>
          <w:color w:val="auto"/>
          <w:kern w:val="0"/>
          <w:position w:val="-2"/>
          <w:szCs w:val="21"/>
          <w:highlight w:val="none"/>
          <w:u w:val="single"/>
          <w:lang w:val="en-US" w:eastAsia="zh-CN"/>
        </w:rPr>
        <w:t>土石方</w:t>
      </w:r>
      <w:r>
        <w:rPr>
          <w:rFonts w:hint="eastAsia" w:ascii="宋体" w:hAnsi="宋体"/>
          <w:snapToGrid w:val="0"/>
          <w:color w:val="auto"/>
          <w:kern w:val="0"/>
          <w:position w:val="-2"/>
          <w:szCs w:val="21"/>
          <w:highlight w:val="none"/>
          <w:u w:val="single"/>
        </w:rPr>
        <w:t>施工</w:t>
      </w:r>
      <w:r>
        <w:rPr>
          <w:rFonts w:ascii="宋体" w:hAnsi="宋体"/>
          <w:snapToGrid w:val="0"/>
          <w:color w:val="auto"/>
          <w:kern w:val="0"/>
          <w:position w:val="-2"/>
          <w:szCs w:val="21"/>
          <w:highlight w:val="none"/>
        </w:rPr>
        <w:t>进行公开</w:t>
      </w:r>
      <w:r>
        <w:rPr>
          <w:rFonts w:hint="eastAsia" w:ascii="宋体" w:hAnsi="宋体"/>
          <w:snapToGrid w:val="0"/>
          <w:color w:val="auto"/>
          <w:kern w:val="0"/>
          <w:position w:val="-2"/>
          <w:szCs w:val="21"/>
          <w:highlight w:val="none"/>
          <w:lang w:val="en-US" w:eastAsia="zh-CN"/>
        </w:rPr>
        <w:t>比选</w:t>
      </w:r>
      <w:r>
        <w:rPr>
          <w:rFonts w:ascii="宋体" w:hAnsi="宋体"/>
          <w:snapToGrid w:val="0"/>
          <w:color w:val="auto"/>
          <w:kern w:val="0"/>
          <w:position w:val="-2"/>
          <w:szCs w:val="21"/>
          <w:highlight w:val="none"/>
        </w:rPr>
        <w:t>。</w:t>
      </w:r>
    </w:p>
    <w:p>
      <w:pPr>
        <w:pStyle w:val="4"/>
        <w:spacing w:before="100" w:after="100" w:line="460" w:lineRule="exact"/>
        <w:rPr>
          <w:rFonts w:ascii="宋体" w:hAnsi="宋体"/>
          <w:snapToGrid w:val="0"/>
          <w:color w:val="auto"/>
          <w:sz w:val="28"/>
          <w:szCs w:val="28"/>
          <w:highlight w:val="none"/>
        </w:rPr>
      </w:pPr>
      <w:bookmarkStart w:id="30" w:name="_Toc509218693"/>
      <w:bookmarkStart w:id="31" w:name="_Toc277082537"/>
      <w:bookmarkStart w:id="32" w:name="_Toc200359428"/>
      <w:bookmarkStart w:id="33" w:name="_Toc200359239"/>
      <w:bookmarkStart w:id="34" w:name="_Toc287607729"/>
      <w:bookmarkStart w:id="35" w:name="_Toc287620668"/>
      <w:bookmarkStart w:id="36" w:name="_Toc430530417"/>
      <w:bookmarkStart w:id="37" w:name="_Toc26702"/>
      <w:bookmarkStart w:id="38" w:name="_Toc16344"/>
      <w:bookmarkStart w:id="39" w:name="_Toc224103300"/>
      <w:r>
        <w:rPr>
          <w:rFonts w:ascii="宋体" w:hAnsi="宋体"/>
          <w:snapToGrid w:val="0"/>
          <w:color w:val="auto"/>
          <w:sz w:val="28"/>
          <w:szCs w:val="28"/>
          <w:highlight w:val="none"/>
        </w:rPr>
        <w:t>2.</w:t>
      </w:r>
      <w:r>
        <w:rPr>
          <w:rFonts w:hint="eastAsia" w:ascii="宋体" w:hAnsi="宋体"/>
          <w:snapToGrid w:val="0"/>
          <w:color w:val="auto"/>
          <w:sz w:val="28"/>
          <w:szCs w:val="28"/>
          <w:highlight w:val="none"/>
        </w:rPr>
        <w:t xml:space="preserve"> </w:t>
      </w:r>
      <w:r>
        <w:rPr>
          <w:rFonts w:ascii="宋体" w:hAnsi="宋体"/>
          <w:snapToGrid w:val="0"/>
          <w:color w:val="auto"/>
          <w:sz w:val="28"/>
          <w:szCs w:val="28"/>
          <w:highlight w:val="none"/>
        </w:rPr>
        <w:t xml:space="preserve"> 项目概况与招标范围</w:t>
      </w:r>
      <w:bookmarkEnd w:id="30"/>
      <w:bookmarkEnd w:id="31"/>
      <w:bookmarkEnd w:id="32"/>
      <w:bookmarkEnd w:id="33"/>
      <w:bookmarkEnd w:id="34"/>
      <w:bookmarkEnd w:id="35"/>
      <w:bookmarkEnd w:id="36"/>
      <w:bookmarkEnd w:id="37"/>
      <w:bookmarkEnd w:id="38"/>
      <w:bookmarkEnd w:id="39"/>
    </w:p>
    <w:p>
      <w:pPr>
        <w:tabs>
          <w:tab w:val="left" w:pos="3840"/>
          <w:tab w:val="left" w:pos="5300"/>
        </w:tabs>
        <w:autoSpaceDE w:val="0"/>
        <w:autoSpaceDN w:val="0"/>
        <w:adjustRightInd w:val="0"/>
        <w:snapToGrid w:val="0"/>
        <w:spacing w:line="460" w:lineRule="exact"/>
        <w:ind w:firstLine="420" w:firstLineChars="200"/>
        <w:jc w:val="left"/>
        <w:rPr>
          <w:rFonts w:hint="eastAsia" w:ascii="宋体" w:hAnsi="宋体" w:eastAsia="宋体"/>
          <w:snapToGrid w:val="0"/>
          <w:color w:val="auto"/>
          <w:kern w:val="0"/>
          <w:szCs w:val="21"/>
          <w:highlight w:val="none"/>
          <w:u w:val="single"/>
          <w:lang w:eastAsia="zh-CN"/>
        </w:rPr>
      </w:pPr>
      <w:r>
        <w:rPr>
          <w:rFonts w:hint="eastAsia" w:ascii="宋体" w:hAnsi="宋体"/>
          <w:snapToGrid w:val="0"/>
          <w:color w:val="auto"/>
          <w:kern w:val="0"/>
          <w:szCs w:val="21"/>
          <w:highlight w:val="none"/>
        </w:rPr>
        <w:t>2.1 建设地点：南岸区茶园组团B分区、L分区、E分区</w:t>
      </w:r>
      <w:r>
        <w:rPr>
          <w:rFonts w:hint="eastAsia" w:ascii="宋体" w:hAnsi="宋体"/>
          <w:snapToGrid w:val="0"/>
          <w:color w:val="auto"/>
          <w:kern w:val="0"/>
          <w:szCs w:val="21"/>
          <w:highlight w:val="none"/>
          <w:lang w:eastAsia="zh-CN"/>
        </w:rPr>
        <w:t>。</w:t>
      </w:r>
    </w:p>
    <w:p>
      <w:pPr>
        <w:tabs>
          <w:tab w:val="left" w:pos="3840"/>
          <w:tab w:val="left" w:pos="5300"/>
        </w:tabs>
        <w:autoSpaceDE w:val="0"/>
        <w:autoSpaceDN w:val="0"/>
        <w:adjustRightInd w:val="0"/>
        <w:snapToGrid w:val="0"/>
        <w:spacing w:line="460" w:lineRule="exact"/>
        <w:ind w:firstLine="420" w:firstLineChars="200"/>
        <w:jc w:val="left"/>
        <w:rPr>
          <w:rFonts w:hint="eastAsia" w:ascii="宋体" w:hAnsi="宋体"/>
          <w:snapToGrid w:val="0"/>
          <w:color w:val="auto"/>
          <w:kern w:val="0"/>
          <w:szCs w:val="21"/>
          <w:highlight w:val="none"/>
        </w:rPr>
      </w:pPr>
      <w:r>
        <w:rPr>
          <w:rFonts w:hint="eastAsia" w:ascii="宋体" w:hAnsi="宋体"/>
          <w:snapToGrid w:val="0"/>
          <w:color w:val="auto"/>
          <w:kern w:val="0"/>
          <w:szCs w:val="21"/>
          <w:highlight w:val="none"/>
        </w:rPr>
        <w:t>2.2 项目概况与建设规模：</w:t>
      </w:r>
    </w:p>
    <w:p>
      <w:pPr>
        <w:tabs>
          <w:tab w:val="left" w:pos="3840"/>
          <w:tab w:val="left" w:pos="5300"/>
        </w:tabs>
        <w:autoSpaceDE w:val="0"/>
        <w:autoSpaceDN w:val="0"/>
        <w:adjustRightInd w:val="0"/>
        <w:snapToGrid w:val="0"/>
        <w:spacing w:line="460" w:lineRule="exact"/>
        <w:ind w:firstLine="420" w:firstLineChars="200"/>
        <w:jc w:val="left"/>
        <w:rPr>
          <w:rFonts w:hint="eastAsia" w:ascii="宋体" w:hAnsi="宋体"/>
          <w:snapToGrid w:val="0"/>
          <w:color w:val="auto"/>
          <w:kern w:val="0"/>
          <w:szCs w:val="21"/>
          <w:highlight w:val="none"/>
          <w:u w:val="none"/>
        </w:rPr>
      </w:pPr>
      <w:r>
        <w:rPr>
          <w:rFonts w:hint="eastAsia" w:ascii="宋体" w:hAnsi="宋体"/>
          <w:snapToGrid w:val="0"/>
          <w:color w:val="auto"/>
          <w:kern w:val="0"/>
          <w:szCs w:val="21"/>
          <w:highlight w:val="none"/>
          <w:u w:val="none"/>
        </w:rPr>
        <w:t>(1)江南春城-阳光水岸项目位于南岸区茶园组团B分区 B01-20-2/01、B01-24/01、B01-27/01、B01-28/01、B01-32/01、B01-37-1/01、B02-39-1/01 地块，总用地面积225807平方米</w:t>
      </w:r>
    </w:p>
    <w:p>
      <w:pPr>
        <w:tabs>
          <w:tab w:val="left" w:pos="3840"/>
          <w:tab w:val="left" w:pos="5300"/>
        </w:tabs>
        <w:autoSpaceDE w:val="0"/>
        <w:autoSpaceDN w:val="0"/>
        <w:adjustRightInd w:val="0"/>
        <w:snapToGrid w:val="0"/>
        <w:spacing w:line="460" w:lineRule="exact"/>
        <w:ind w:firstLine="420" w:firstLineChars="200"/>
        <w:jc w:val="left"/>
        <w:rPr>
          <w:rFonts w:hint="eastAsia" w:ascii="宋体" w:hAnsi="宋体"/>
          <w:snapToGrid w:val="0"/>
          <w:color w:val="auto"/>
          <w:kern w:val="0"/>
          <w:szCs w:val="21"/>
          <w:highlight w:val="none"/>
          <w:u w:val="none"/>
        </w:rPr>
      </w:pPr>
      <w:r>
        <w:rPr>
          <w:rFonts w:hint="eastAsia" w:ascii="宋体" w:hAnsi="宋体"/>
          <w:snapToGrid w:val="0"/>
          <w:color w:val="auto"/>
          <w:kern w:val="0"/>
          <w:szCs w:val="21"/>
          <w:highlight w:val="none"/>
          <w:u w:val="none"/>
        </w:rPr>
        <w:t>(2)江南春城-水木兰亭项目位于南岸区茶园组团L分区L01-18-1/01、L01-17/01地块，建设内容及规模：总用地面积48922平方米。</w:t>
      </w:r>
    </w:p>
    <w:p>
      <w:pPr>
        <w:tabs>
          <w:tab w:val="left" w:pos="3840"/>
          <w:tab w:val="left" w:pos="5300"/>
        </w:tabs>
        <w:autoSpaceDE w:val="0"/>
        <w:autoSpaceDN w:val="0"/>
        <w:adjustRightInd w:val="0"/>
        <w:snapToGrid w:val="0"/>
        <w:spacing w:line="460" w:lineRule="exact"/>
        <w:ind w:firstLine="420" w:firstLineChars="200"/>
        <w:jc w:val="left"/>
        <w:rPr>
          <w:rFonts w:hint="eastAsia" w:ascii="宋体" w:hAnsi="宋体"/>
          <w:snapToGrid w:val="0"/>
          <w:color w:val="auto"/>
          <w:kern w:val="0"/>
          <w:szCs w:val="21"/>
          <w:highlight w:val="none"/>
          <w:u w:val="none"/>
          <w:lang w:eastAsia="zh-CN"/>
        </w:rPr>
      </w:pPr>
      <w:r>
        <w:rPr>
          <w:rFonts w:hint="eastAsia" w:ascii="宋体" w:hAnsi="宋体"/>
          <w:snapToGrid w:val="0"/>
          <w:color w:val="auto"/>
          <w:kern w:val="0"/>
          <w:szCs w:val="21"/>
          <w:highlight w:val="none"/>
          <w:u w:val="none"/>
        </w:rPr>
        <w:t>(3)广滨壹号- 江枫苑项目位于南岸区茶园组团E分区E01-25-1/01、E01-26-1/01地块，建设内容及规模：总用地面积142651平方米</w:t>
      </w:r>
      <w:r>
        <w:rPr>
          <w:rFonts w:hint="eastAsia" w:ascii="宋体" w:hAnsi="宋体"/>
          <w:snapToGrid w:val="0"/>
          <w:color w:val="auto"/>
          <w:kern w:val="0"/>
          <w:szCs w:val="21"/>
          <w:highlight w:val="none"/>
          <w:u w:val="none"/>
          <w:lang w:eastAsia="zh-CN"/>
        </w:rPr>
        <w:t>。</w:t>
      </w:r>
    </w:p>
    <w:p>
      <w:pPr>
        <w:tabs>
          <w:tab w:val="left" w:pos="3840"/>
          <w:tab w:val="left" w:pos="5300"/>
        </w:tabs>
        <w:autoSpaceDE w:val="0"/>
        <w:autoSpaceDN w:val="0"/>
        <w:adjustRightInd w:val="0"/>
        <w:snapToGrid w:val="0"/>
        <w:spacing w:line="460" w:lineRule="exact"/>
        <w:ind w:firstLine="420" w:firstLineChars="200"/>
        <w:jc w:val="left"/>
        <w:rPr>
          <w:rFonts w:ascii="宋体" w:hAnsi="宋体"/>
          <w:snapToGrid w:val="0"/>
          <w:color w:val="auto"/>
          <w:kern w:val="0"/>
          <w:szCs w:val="21"/>
          <w:highlight w:val="none"/>
          <w:u w:val="single"/>
        </w:rPr>
      </w:pPr>
      <w:r>
        <w:rPr>
          <w:rFonts w:hint="eastAsia" w:ascii="宋体" w:hAnsi="宋体"/>
          <w:snapToGrid w:val="0"/>
          <w:color w:val="auto"/>
          <w:kern w:val="0"/>
          <w:szCs w:val="21"/>
          <w:highlight w:val="none"/>
        </w:rPr>
        <w:t>2.</w:t>
      </w:r>
      <w:r>
        <w:rPr>
          <w:rFonts w:hint="eastAsia" w:ascii="宋体" w:hAnsi="宋体"/>
          <w:snapToGrid w:val="0"/>
          <w:color w:val="auto"/>
          <w:kern w:val="0"/>
          <w:szCs w:val="21"/>
          <w:highlight w:val="none"/>
          <w:lang w:val="en-US" w:eastAsia="zh-CN"/>
        </w:rPr>
        <w:t>3</w:t>
      </w:r>
      <w:r>
        <w:rPr>
          <w:rFonts w:hint="eastAsia" w:ascii="宋体" w:hAnsi="宋体"/>
          <w:snapToGrid w:val="0"/>
          <w:color w:val="auto"/>
          <w:kern w:val="0"/>
          <w:szCs w:val="21"/>
          <w:highlight w:val="none"/>
        </w:rPr>
        <w:t xml:space="preserve"> 招标范围：</w:t>
      </w:r>
      <w:r>
        <w:rPr>
          <w:rFonts w:hint="eastAsia" w:ascii="宋体" w:hAnsi="宋体" w:eastAsia="宋体" w:cs="Times New Roman"/>
          <w:snapToGrid w:val="0"/>
          <w:color w:val="auto"/>
          <w:kern w:val="0"/>
          <w:szCs w:val="21"/>
          <w:highlight w:val="none"/>
          <w:u w:val="none"/>
        </w:rPr>
        <w:t>以本工程</w:t>
      </w:r>
      <w:r>
        <w:rPr>
          <w:rFonts w:hint="eastAsia" w:ascii="宋体" w:hAnsi="宋体" w:eastAsia="宋体" w:cs="Times New Roman"/>
          <w:snapToGrid w:val="0"/>
          <w:color w:val="auto"/>
          <w:kern w:val="0"/>
          <w:szCs w:val="21"/>
          <w:highlight w:val="none"/>
          <w:u w:val="none"/>
          <w:lang w:val="en-US" w:eastAsia="zh-CN"/>
        </w:rPr>
        <w:t>比选人</w:t>
      </w:r>
      <w:r>
        <w:rPr>
          <w:rFonts w:hint="eastAsia" w:ascii="宋体" w:hAnsi="宋体" w:eastAsia="宋体" w:cs="Times New Roman"/>
          <w:snapToGrid w:val="0"/>
          <w:color w:val="auto"/>
          <w:kern w:val="0"/>
          <w:szCs w:val="21"/>
          <w:highlight w:val="none"/>
          <w:u w:val="none"/>
        </w:rPr>
        <w:t>发布的施工图、工程量清单为准，若施工图与工程量清单有不一致的地方，以工程量清单为准。</w:t>
      </w:r>
    </w:p>
    <w:p>
      <w:pPr>
        <w:tabs>
          <w:tab w:val="left" w:pos="3840"/>
          <w:tab w:val="left" w:pos="5300"/>
        </w:tabs>
        <w:autoSpaceDE w:val="0"/>
        <w:autoSpaceDN w:val="0"/>
        <w:adjustRightInd w:val="0"/>
        <w:snapToGrid w:val="0"/>
        <w:spacing w:line="460" w:lineRule="exact"/>
        <w:ind w:firstLine="420" w:firstLineChars="200"/>
        <w:jc w:val="left"/>
        <w:rPr>
          <w:rFonts w:hint="eastAsia" w:ascii="宋体" w:hAnsi="宋体" w:eastAsia="宋体"/>
          <w:snapToGrid w:val="0"/>
          <w:color w:val="auto"/>
          <w:kern w:val="0"/>
          <w:szCs w:val="21"/>
          <w:highlight w:val="none"/>
          <w:u w:val="single"/>
          <w:lang w:eastAsia="zh-CN"/>
        </w:rPr>
      </w:pPr>
      <w:r>
        <w:rPr>
          <w:rFonts w:hint="eastAsia" w:ascii="宋体" w:hAnsi="宋体"/>
          <w:snapToGrid w:val="0"/>
          <w:color w:val="auto"/>
          <w:kern w:val="0"/>
          <w:szCs w:val="21"/>
          <w:highlight w:val="none"/>
        </w:rPr>
        <w:t>2.</w:t>
      </w:r>
      <w:r>
        <w:rPr>
          <w:rFonts w:hint="eastAsia" w:ascii="宋体" w:hAnsi="宋体"/>
          <w:snapToGrid w:val="0"/>
          <w:color w:val="auto"/>
          <w:kern w:val="0"/>
          <w:szCs w:val="21"/>
          <w:highlight w:val="none"/>
          <w:lang w:val="en-US" w:eastAsia="zh-CN"/>
        </w:rPr>
        <w:t>4</w:t>
      </w:r>
      <w:r>
        <w:rPr>
          <w:rFonts w:hint="eastAsia" w:ascii="宋体" w:hAnsi="宋体"/>
          <w:snapToGrid w:val="0"/>
          <w:color w:val="auto"/>
          <w:kern w:val="0"/>
          <w:szCs w:val="21"/>
          <w:highlight w:val="none"/>
        </w:rPr>
        <w:t xml:space="preserve"> 工期要求：</w:t>
      </w:r>
      <w:r>
        <w:rPr>
          <w:rFonts w:hint="eastAsia" w:ascii="宋体" w:hAnsi="宋体"/>
          <w:snapToGrid w:val="0"/>
          <w:color w:val="auto"/>
          <w:kern w:val="0"/>
          <w:szCs w:val="21"/>
          <w:highlight w:val="none"/>
          <w:u w:val="single"/>
          <w:lang w:eastAsia="zh-CN"/>
        </w:rPr>
        <w:t>江南春城-阳光水岸、江南春城-水木兰亭、广滨壹号-江枫苑项目工期都分别为60日历天（从中标通知书发出之日起算）实际竣工日期以工程竣工验收合格之日为准。</w:t>
      </w:r>
    </w:p>
    <w:p>
      <w:pPr>
        <w:tabs>
          <w:tab w:val="left" w:pos="3840"/>
          <w:tab w:val="left" w:pos="5300"/>
        </w:tabs>
        <w:autoSpaceDE w:val="0"/>
        <w:autoSpaceDN w:val="0"/>
        <w:adjustRightInd w:val="0"/>
        <w:snapToGrid w:val="0"/>
        <w:spacing w:line="460" w:lineRule="exact"/>
        <w:ind w:firstLine="420" w:firstLineChars="200"/>
        <w:jc w:val="left"/>
        <w:rPr>
          <w:rFonts w:ascii="宋体" w:hAnsi="宋体"/>
          <w:snapToGrid w:val="0"/>
          <w:color w:val="auto"/>
          <w:kern w:val="0"/>
          <w:szCs w:val="21"/>
          <w:highlight w:val="none"/>
        </w:rPr>
      </w:pPr>
      <w:r>
        <w:rPr>
          <w:rFonts w:hint="eastAsia" w:ascii="宋体" w:hAnsi="宋体"/>
          <w:snapToGrid w:val="0"/>
          <w:color w:val="auto"/>
          <w:kern w:val="0"/>
          <w:szCs w:val="21"/>
          <w:highlight w:val="none"/>
        </w:rPr>
        <w:t xml:space="preserve">    缺陷责任期要求：</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24</w:t>
      </w:r>
      <w:r>
        <w:rPr>
          <w:rFonts w:hint="eastAsia" w:ascii="宋体" w:hAnsi="宋体"/>
          <w:snapToGrid w:val="0"/>
          <w:color w:val="auto"/>
          <w:kern w:val="0"/>
          <w:szCs w:val="21"/>
          <w:highlight w:val="none"/>
          <w:u w:val="single"/>
        </w:rPr>
        <w:t xml:space="preserve"> 个月</w:t>
      </w:r>
    </w:p>
    <w:p>
      <w:pPr>
        <w:tabs>
          <w:tab w:val="left" w:pos="3840"/>
          <w:tab w:val="left" w:pos="5300"/>
        </w:tabs>
        <w:autoSpaceDE w:val="0"/>
        <w:autoSpaceDN w:val="0"/>
        <w:adjustRightInd w:val="0"/>
        <w:snapToGrid w:val="0"/>
        <w:spacing w:line="460" w:lineRule="exact"/>
        <w:ind w:firstLine="420" w:firstLineChars="200"/>
        <w:jc w:val="left"/>
        <w:rPr>
          <w:rFonts w:ascii="宋体" w:hAnsi="宋体"/>
          <w:snapToGrid w:val="0"/>
          <w:color w:val="auto"/>
          <w:kern w:val="0"/>
          <w:szCs w:val="21"/>
          <w:highlight w:val="none"/>
        </w:rPr>
      </w:pPr>
      <w:r>
        <w:rPr>
          <w:rFonts w:hint="eastAsia" w:ascii="宋体" w:hAnsi="宋体"/>
          <w:snapToGrid w:val="0"/>
          <w:color w:val="auto"/>
          <w:kern w:val="0"/>
          <w:szCs w:val="21"/>
          <w:highlight w:val="none"/>
        </w:rPr>
        <w:t>2.</w:t>
      </w:r>
      <w:r>
        <w:rPr>
          <w:rFonts w:hint="eastAsia" w:ascii="宋体" w:hAnsi="宋体"/>
          <w:snapToGrid w:val="0"/>
          <w:color w:val="auto"/>
          <w:kern w:val="0"/>
          <w:szCs w:val="21"/>
          <w:highlight w:val="none"/>
          <w:lang w:val="en-US" w:eastAsia="zh-CN"/>
        </w:rPr>
        <w:t>5</w:t>
      </w:r>
      <w:r>
        <w:rPr>
          <w:rFonts w:hint="eastAsia" w:ascii="宋体" w:hAnsi="宋体"/>
          <w:snapToGrid w:val="0"/>
          <w:color w:val="auto"/>
          <w:kern w:val="0"/>
          <w:szCs w:val="21"/>
          <w:highlight w:val="none"/>
        </w:rPr>
        <w:t xml:space="preserve"> 标段划分（如有）：</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w:t>
      </w:r>
      <w:r>
        <w:rPr>
          <w:rFonts w:hint="eastAsia" w:ascii="宋体" w:hAnsi="宋体"/>
          <w:snapToGrid w:val="0"/>
          <w:color w:val="auto"/>
          <w:kern w:val="0"/>
          <w:szCs w:val="21"/>
          <w:highlight w:val="none"/>
          <w:u w:val="single"/>
        </w:rPr>
        <w:t xml:space="preserve">    </w:t>
      </w:r>
    </w:p>
    <w:p>
      <w:pPr>
        <w:tabs>
          <w:tab w:val="left" w:pos="3840"/>
          <w:tab w:val="left" w:pos="5300"/>
        </w:tabs>
        <w:autoSpaceDE w:val="0"/>
        <w:autoSpaceDN w:val="0"/>
        <w:adjustRightInd w:val="0"/>
        <w:snapToGrid w:val="0"/>
        <w:spacing w:line="460" w:lineRule="exact"/>
        <w:ind w:firstLine="420" w:firstLineChars="200"/>
        <w:jc w:val="left"/>
        <w:rPr>
          <w:rFonts w:hint="eastAsia" w:ascii="宋体" w:hAnsi="宋体"/>
          <w:snapToGrid w:val="0"/>
          <w:color w:val="auto"/>
          <w:kern w:val="0"/>
          <w:szCs w:val="21"/>
          <w:highlight w:val="none"/>
          <w:u w:val="single"/>
        </w:rPr>
      </w:pPr>
      <w:r>
        <w:rPr>
          <w:rFonts w:hint="eastAsia" w:ascii="宋体" w:hAnsi="宋体"/>
          <w:snapToGrid w:val="0"/>
          <w:color w:val="auto"/>
          <w:kern w:val="0"/>
          <w:szCs w:val="21"/>
          <w:highlight w:val="none"/>
        </w:rPr>
        <w:t>2.</w:t>
      </w:r>
      <w:r>
        <w:rPr>
          <w:rFonts w:hint="eastAsia" w:ascii="宋体" w:hAnsi="宋体"/>
          <w:snapToGrid w:val="0"/>
          <w:color w:val="auto"/>
          <w:kern w:val="0"/>
          <w:szCs w:val="21"/>
          <w:highlight w:val="none"/>
          <w:lang w:val="en-US" w:eastAsia="zh-CN"/>
        </w:rPr>
        <w:t>6</w:t>
      </w:r>
      <w:r>
        <w:rPr>
          <w:rFonts w:hint="eastAsia" w:ascii="宋体" w:hAnsi="宋体"/>
          <w:snapToGrid w:val="0"/>
          <w:color w:val="auto"/>
          <w:kern w:val="0"/>
          <w:szCs w:val="21"/>
          <w:highlight w:val="none"/>
        </w:rPr>
        <w:t xml:space="preserve"> 其他：</w:t>
      </w:r>
      <w:r>
        <w:rPr>
          <w:rFonts w:hint="eastAsia" w:ascii="宋体" w:hAnsi="宋体"/>
          <w:snapToGrid w:val="0"/>
          <w:color w:val="auto"/>
          <w:kern w:val="0"/>
          <w:szCs w:val="21"/>
          <w:highlight w:val="none"/>
          <w:u w:val="single"/>
        </w:rPr>
        <w:t xml:space="preserve">  中标人须按比选文件要求，分别与项目业主签订施工合同，且</w:t>
      </w:r>
      <w:r>
        <w:rPr>
          <w:rFonts w:hint="eastAsia" w:ascii="宋体" w:hAnsi="宋体"/>
          <w:snapToGrid w:val="0"/>
          <w:color w:val="auto"/>
          <w:kern w:val="0"/>
          <w:szCs w:val="21"/>
          <w:highlight w:val="none"/>
          <w:u w:val="single"/>
          <w:lang w:val="en-US" w:eastAsia="zh-CN"/>
        </w:rPr>
        <w:t>须</w:t>
      </w:r>
      <w:r>
        <w:rPr>
          <w:rFonts w:hint="eastAsia" w:ascii="宋体" w:hAnsi="宋体"/>
          <w:snapToGrid w:val="0"/>
          <w:color w:val="auto"/>
          <w:kern w:val="0"/>
          <w:szCs w:val="21"/>
          <w:highlight w:val="none"/>
          <w:u w:val="single"/>
        </w:rPr>
        <w:t>按相关规定分别组建“江南春城-阳光水岸项目土石方工程”、“江南春城-水木兰亭项目土石方工程”、“广滨壹号-江枫苑项目土石方工程”施工项目部，</w:t>
      </w:r>
      <w:r>
        <w:rPr>
          <w:rFonts w:hint="eastAsia" w:ascii="宋体" w:hAnsi="宋体"/>
          <w:snapToGrid w:val="0"/>
          <w:color w:val="auto"/>
          <w:kern w:val="0"/>
          <w:szCs w:val="21"/>
          <w:highlight w:val="none"/>
          <w:u w:val="single"/>
          <w:lang w:val="en-US" w:eastAsia="zh-CN"/>
        </w:rPr>
        <w:t>并</w:t>
      </w:r>
      <w:r>
        <w:rPr>
          <w:rFonts w:hint="eastAsia" w:ascii="宋体" w:hAnsi="宋体"/>
          <w:snapToGrid w:val="0"/>
          <w:color w:val="auto"/>
          <w:kern w:val="0"/>
          <w:szCs w:val="21"/>
          <w:highlight w:val="none"/>
          <w:u w:val="single"/>
        </w:rPr>
        <w:t>分别在建设主管部门办理《建设工程施工许可证》手续。</w:t>
      </w:r>
    </w:p>
    <w:p>
      <w:pPr>
        <w:pStyle w:val="4"/>
        <w:spacing w:before="100" w:after="100" w:line="460" w:lineRule="exact"/>
        <w:rPr>
          <w:rFonts w:ascii="宋体" w:hAnsi="宋体"/>
          <w:snapToGrid w:val="0"/>
          <w:color w:val="auto"/>
          <w:sz w:val="28"/>
          <w:szCs w:val="28"/>
          <w:highlight w:val="none"/>
        </w:rPr>
      </w:pPr>
      <w:bookmarkStart w:id="40" w:name="_Toc19672"/>
      <w:bookmarkStart w:id="41" w:name="_Toc200359240"/>
      <w:bookmarkStart w:id="42" w:name="_Toc19513"/>
      <w:bookmarkStart w:id="43" w:name="_Toc287620669"/>
      <w:bookmarkStart w:id="44" w:name="_Toc224103301"/>
      <w:bookmarkStart w:id="45" w:name="_Toc509218694"/>
      <w:bookmarkStart w:id="46" w:name="_Toc200359429"/>
      <w:bookmarkStart w:id="47" w:name="_Toc287607730"/>
      <w:bookmarkStart w:id="48" w:name="_Toc277082538"/>
      <w:bookmarkStart w:id="49" w:name="_Toc430530418"/>
      <w:r>
        <w:rPr>
          <w:rFonts w:ascii="宋体" w:hAnsi="宋体"/>
          <w:snapToGrid w:val="0"/>
          <w:color w:val="auto"/>
          <w:sz w:val="28"/>
          <w:szCs w:val="28"/>
          <w:highlight w:val="none"/>
        </w:rPr>
        <w:t xml:space="preserve">3. </w:t>
      </w:r>
      <w:r>
        <w:rPr>
          <w:rFonts w:hint="eastAsia" w:ascii="宋体" w:hAnsi="宋体"/>
          <w:snapToGrid w:val="0"/>
          <w:color w:val="auto"/>
          <w:sz w:val="28"/>
          <w:szCs w:val="28"/>
          <w:highlight w:val="none"/>
        </w:rPr>
        <w:t xml:space="preserve"> </w:t>
      </w:r>
      <w:r>
        <w:rPr>
          <w:rFonts w:hint="eastAsia" w:ascii="宋体" w:hAnsi="宋体"/>
          <w:snapToGrid w:val="0"/>
          <w:color w:val="auto"/>
          <w:sz w:val="28"/>
          <w:szCs w:val="28"/>
          <w:highlight w:val="none"/>
          <w:lang w:eastAsia="zh-CN"/>
        </w:rPr>
        <w:t>竞选人</w:t>
      </w:r>
      <w:r>
        <w:rPr>
          <w:rFonts w:ascii="宋体" w:hAnsi="宋体"/>
          <w:snapToGrid w:val="0"/>
          <w:color w:val="auto"/>
          <w:sz w:val="28"/>
          <w:szCs w:val="28"/>
          <w:highlight w:val="none"/>
        </w:rPr>
        <w:t>资格要求</w:t>
      </w:r>
      <w:bookmarkEnd w:id="40"/>
      <w:bookmarkEnd w:id="41"/>
      <w:bookmarkEnd w:id="42"/>
      <w:bookmarkEnd w:id="43"/>
      <w:bookmarkEnd w:id="44"/>
      <w:bookmarkEnd w:id="45"/>
      <w:bookmarkEnd w:id="46"/>
      <w:bookmarkEnd w:id="47"/>
      <w:bookmarkEnd w:id="48"/>
      <w:bookmarkEnd w:id="49"/>
    </w:p>
    <w:p>
      <w:pPr>
        <w:tabs>
          <w:tab w:val="left" w:pos="3840"/>
          <w:tab w:val="left" w:pos="5300"/>
        </w:tabs>
        <w:autoSpaceDE w:val="0"/>
        <w:autoSpaceDN w:val="0"/>
        <w:adjustRightInd w:val="0"/>
        <w:snapToGrid w:val="0"/>
        <w:spacing w:line="460" w:lineRule="exact"/>
        <w:ind w:firstLine="420" w:firstLineChars="200"/>
        <w:jc w:val="left"/>
        <w:rPr>
          <w:rFonts w:ascii="宋体" w:hAnsi="宋体"/>
          <w:snapToGrid w:val="0"/>
          <w:color w:val="auto"/>
          <w:kern w:val="0"/>
          <w:szCs w:val="21"/>
          <w:highlight w:val="none"/>
        </w:rPr>
      </w:pPr>
      <w:r>
        <w:rPr>
          <w:rFonts w:ascii="宋体" w:hAnsi="宋体"/>
          <w:snapToGrid w:val="0"/>
          <w:color w:val="auto"/>
          <w:kern w:val="0"/>
          <w:szCs w:val="21"/>
          <w:highlight w:val="none"/>
        </w:rPr>
        <w:t>3.1  本次招标要求</w:t>
      </w:r>
      <w:r>
        <w:rPr>
          <w:rFonts w:hint="eastAsia" w:ascii="宋体" w:hAnsi="宋体"/>
          <w:snapToGrid w:val="0"/>
          <w:color w:val="auto"/>
          <w:kern w:val="0"/>
          <w:szCs w:val="21"/>
          <w:highlight w:val="none"/>
          <w:lang w:eastAsia="zh-CN"/>
        </w:rPr>
        <w:t>竞选人</w:t>
      </w:r>
      <w:r>
        <w:rPr>
          <w:rFonts w:ascii="宋体" w:hAnsi="宋体"/>
          <w:snapToGrid w:val="0"/>
          <w:color w:val="auto"/>
          <w:kern w:val="0"/>
          <w:szCs w:val="21"/>
          <w:highlight w:val="none"/>
        </w:rPr>
        <w:t>须具备</w:t>
      </w:r>
      <w:r>
        <w:rPr>
          <w:rFonts w:hint="eastAsia" w:ascii="宋体" w:hAnsi="宋体"/>
          <w:snapToGrid w:val="0"/>
          <w:color w:val="auto"/>
          <w:kern w:val="0"/>
          <w:szCs w:val="21"/>
          <w:highlight w:val="none"/>
        </w:rPr>
        <w:t>以下条件：</w:t>
      </w:r>
    </w:p>
    <w:p>
      <w:pPr>
        <w:tabs>
          <w:tab w:val="left" w:pos="3840"/>
          <w:tab w:val="left" w:pos="5300"/>
        </w:tabs>
        <w:autoSpaceDE w:val="0"/>
        <w:autoSpaceDN w:val="0"/>
        <w:adjustRightInd w:val="0"/>
        <w:snapToGrid w:val="0"/>
        <w:spacing w:line="460" w:lineRule="exact"/>
        <w:ind w:firstLine="420" w:firstLineChars="200"/>
        <w:jc w:val="left"/>
        <w:rPr>
          <w:rFonts w:ascii="宋体" w:hAnsi="宋体"/>
          <w:snapToGrid w:val="0"/>
          <w:color w:val="auto"/>
          <w:kern w:val="0"/>
          <w:szCs w:val="21"/>
          <w:highlight w:val="none"/>
        </w:rPr>
      </w:pPr>
      <w:r>
        <w:rPr>
          <w:rFonts w:hint="eastAsia" w:ascii="宋体" w:hAnsi="宋体"/>
          <w:snapToGrid w:val="0"/>
          <w:color w:val="auto"/>
          <w:kern w:val="0"/>
          <w:szCs w:val="21"/>
          <w:highlight w:val="none"/>
        </w:rPr>
        <w:t>3.1.1 本次招标要求</w:t>
      </w:r>
      <w:r>
        <w:rPr>
          <w:rFonts w:hint="eastAsia" w:ascii="宋体" w:hAnsi="宋体"/>
          <w:snapToGrid w:val="0"/>
          <w:color w:val="auto"/>
          <w:kern w:val="0"/>
          <w:szCs w:val="21"/>
          <w:highlight w:val="none"/>
          <w:lang w:eastAsia="zh-CN"/>
        </w:rPr>
        <w:t>竞选人</w:t>
      </w:r>
      <w:r>
        <w:rPr>
          <w:rFonts w:hint="eastAsia" w:ascii="宋体" w:hAnsi="宋体"/>
          <w:snapToGrid w:val="0"/>
          <w:color w:val="auto"/>
          <w:kern w:val="0"/>
          <w:szCs w:val="21"/>
          <w:highlight w:val="none"/>
        </w:rPr>
        <w:t>具备的资质条件：</w:t>
      </w:r>
      <w:r>
        <w:rPr>
          <w:rFonts w:hint="eastAsia" w:ascii="宋体" w:hAnsi="宋体"/>
          <w:snapToGrid w:val="0"/>
          <w:color w:val="auto"/>
          <w:kern w:val="0"/>
          <w:szCs w:val="21"/>
          <w:highlight w:val="none"/>
          <w:u w:val="single"/>
        </w:rPr>
        <w:t xml:space="preserve"> 具备建设行政主管部门颁发的建筑工程施工总承包三级及以上资质或市政公用工程施工总承包三级及以上资质 </w:t>
      </w:r>
      <w:r>
        <w:rPr>
          <w:rFonts w:hint="eastAsia" w:ascii="宋体" w:hAnsi="宋体"/>
          <w:snapToGrid w:val="0"/>
          <w:color w:val="auto"/>
          <w:kern w:val="0"/>
          <w:szCs w:val="21"/>
          <w:highlight w:val="none"/>
        </w:rPr>
        <w:t>；</w:t>
      </w:r>
    </w:p>
    <w:p>
      <w:pPr>
        <w:tabs>
          <w:tab w:val="left" w:pos="3840"/>
          <w:tab w:val="left" w:pos="5300"/>
        </w:tabs>
        <w:autoSpaceDE w:val="0"/>
        <w:autoSpaceDN w:val="0"/>
        <w:adjustRightInd w:val="0"/>
        <w:snapToGrid w:val="0"/>
        <w:spacing w:line="460" w:lineRule="exact"/>
        <w:ind w:firstLine="420" w:firstLineChars="200"/>
        <w:jc w:val="left"/>
        <w:rPr>
          <w:rFonts w:ascii="宋体" w:hAnsi="宋体"/>
          <w:color w:val="auto"/>
          <w:szCs w:val="21"/>
          <w:highlight w:val="none"/>
        </w:rPr>
      </w:pPr>
      <w:r>
        <w:rPr>
          <w:rFonts w:hint="eastAsia" w:ascii="宋体" w:hAnsi="宋体"/>
          <w:snapToGrid w:val="0"/>
          <w:color w:val="auto"/>
          <w:kern w:val="0"/>
          <w:szCs w:val="21"/>
          <w:highlight w:val="none"/>
        </w:rPr>
        <w:t>3.1.</w:t>
      </w:r>
      <w:r>
        <w:rPr>
          <w:rFonts w:hint="eastAsia" w:ascii="宋体" w:hAnsi="宋体"/>
          <w:snapToGrid w:val="0"/>
          <w:color w:val="auto"/>
          <w:kern w:val="0"/>
          <w:szCs w:val="21"/>
          <w:highlight w:val="none"/>
          <w:lang w:val="en-US" w:eastAsia="zh-CN"/>
        </w:rPr>
        <w:t>2</w:t>
      </w:r>
      <w:r>
        <w:rPr>
          <w:rFonts w:hint="eastAsia" w:ascii="宋体" w:hAnsi="宋体"/>
          <w:snapToGrid w:val="0"/>
          <w:color w:val="auto"/>
          <w:kern w:val="0"/>
          <w:szCs w:val="21"/>
          <w:highlight w:val="none"/>
        </w:rPr>
        <w:t xml:space="preserve"> </w:t>
      </w:r>
      <w:r>
        <w:rPr>
          <w:rFonts w:hint="eastAsia" w:ascii="宋体" w:hAnsi="宋体"/>
          <w:snapToGrid w:val="0"/>
          <w:color w:val="auto"/>
          <w:kern w:val="0"/>
          <w:szCs w:val="21"/>
          <w:highlight w:val="none"/>
          <w:lang w:eastAsia="zh-CN"/>
        </w:rPr>
        <w:t>竞选人</w:t>
      </w:r>
      <w:r>
        <w:rPr>
          <w:rFonts w:hint="eastAsia" w:ascii="宋体" w:hAnsi="宋体"/>
          <w:snapToGrid w:val="0"/>
          <w:color w:val="auto"/>
          <w:kern w:val="0"/>
          <w:szCs w:val="21"/>
          <w:highlight w:val="none"/>
        </w:rPr>
        <w:t>还应在人员、设备、资金等方面具有相应的施工能力，详见招标文件第二章</w:t>
      </w:r>
      <w:r>
        <w:rPr>
          <w:rFonts w:hint="eastAsia" w:ascii="宋体" w:hAnsi="宋体"/>
          <w:snapToGrid w:val="0"/>
          <w:color w:val="auto"/>
          <w:kern w:val="0"/>
          <w:szCs w:val="21"/>
          <w:highlight w:val="none"/>
          <w:lang w:eastAsia="zh-CN"/>
        </w:rPr>
        <w:t>竞选人</w:t>
      </w:r>
      <w:r>
        <w:rPr>
          <w:rFonts w:hint="eastAsia" w:ascii="宋体" w:hAnsi="宋体"/>
          <w:snapToGrid w:val="0"/>
          <w:color w:val="auto"/>
          <w:kern w:val="0"/>
          <w:szCs w:val="21"/>
          <w:highlight w:val="none"/>
        </w:rPr>
        <w:t>须知前附表第1.4.1项内容。</w:t>
      </w:r>
    </w:p>
    <w:p>
      <w:pPr>
        <w:tabs>
          <w:tab w:val="left" w:pos="3045"/>
          <w:tab w:val="left" w:pos="8310"/>
        </w:tabs>
        <w:autoSpaceDE w:val="0"/>
        <w:autoSpaceDN w:val="0"/>
        <w:adjustRightInd w:val="0"/>
        <w:snapToGrid w:val="0"/>
        <w:spacing w:line="460" w:lineRule="exact"/>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3.2  本次招标</w:t>
      </w:r>
      <w:r>
        <w:rPr>
          <w:rFonts w:hint="eastAsia" w:ascii="宋体" w:hAnsi="宋体"/>
          <w:snapToGrid w:val="0"/>
          <w:color w:val="auto"/>
          <w:kern w:val="0"/>
          <w:szCs w:val="21"/>
          <w:highlight w:val="none"/>
        </w:rPr>
        <w:t xml:space="preserve">□接受 </w:t>
      </w:r>
      <w:r>
        <w:rPr>
          <w:rFonts w:hint="eastAsia" w:ascii="宋体" w:hAnsi="宋体"/>
          <w:snapToGrid w:val="0"/>
          <w:color w:val="auto"/>
          <w:kern w:val="0"/>
          <w:szCs w:val="21"/>
          <w:highlight w:val="none"/>
          <w:lang w:eastAsia="zh-CN"/>
        </w:rPr>
        <w:t>☑</w:t>
      </w:r>
      <w:r>
        <w:rPr>
          <w:rFonts w:hint="eastAsia" w:ascii="宋体" w:hAnsi="宋体"/>
          <w:snapToGrid w:val="0"/>
          <w:color w:val="auto"/>
          <w:kern w:val="0"/>
          <w:szCs w:val="21"/>
          <w:highlight w:val="none"/>
        </w:rPr>
        <w:t>不接受</w:t>
      </w:r>
      <w:r>
        <w:rPr>
          <w:rFonts w:ascii="宋体" w:hAnsi="宋体"/>
          <w:snapToGrid w:val="0"/>
          <w:color w:val="auto"/>
          <w:kern w:val="0"/>
          <w:szCs w:val="21"/>
          <w:highlight w:val="none"/>
        </w:rPr>
        <w:t>联合体投标。</w:t>
      </w:r>
    </w:p>
    <w:p>
      <w:pPr>
        <w:pStyle w:val="4"/>
        <w:spacing w:before="100" w:after="100" w:line="460" w:lineRule="exact"/>
        <w:rPr>
          <w:rFonts w:ascii="宋体" w:hAnsi="宋体"/>
          <w:snapToGrid w:val="0"/>
          <w:color w:val="auto"/>
          <w:sz w:val="28"/>
          <w:szCs w:val="28"/>
          <w:highlight w:val="none"/>
        </w:rPr>
      </w:pPr>
      <w:bookmarkStart w:id="50" w:name="_Toc277082539"/>
      <w:bookmarkStart w:id="51" w:name="_Toc200359430"/>
      <w:bookmarkStart w:id="52" w:name="_Toc224103302"/>
      <w:bookmarkStart w:id="53" w:name="_Toc509218695"/>
      <w:bookmarkStart w:id="54" w:name="_Toc287607731"/>
      <w:bookmarkStart w:id="55" w:name="_Toc10508"/>
      <w:bookmarkStart w:id="56" w:name="_Toc287620670"/>
      <w:bookmarkStart w:id="57" w:name="_Toc19326"/>
      <w:bookmarkStart w:id="58" w:name="_Toc200359241"/>
      <w:bookmarkStart w:id="59" w:name="_Toc430530419"/>
      <w:r>
        <w:rPr>
          <w:rFonts w:ascii="宋体" w:hAnsi="宋体"/>
          <w:snapToGrid w:val="0"/>
          <w:color w:val="auto"/>
          <w:sz w:val="28"/>
          <w:szCs w:val="28"/>
          <w:highlight w:val="none"/>
        </w:rPr>
        <w:t xml:space="preserve">4. </w:t>
      </w:r>
      <w:r>
        <w:rPr>
          <w:rFonts w:hint="eastAsia" w:ascii="宋体" w:hAnsi="宋体"/>
          <w:snapToGrid w:val="0"/>
          <w:color w:val="auto"/>
          <w:sz w:val="28"/>
          <w:szCs w:val="28"/>
          <w:highlight w:val="none"/>
        </w:rPr>
        <w:t xml:space="preserve"> </w:t>
      </w:r>
      <w:r>
        <w:rPr>
          <w:rFonts w:ascii="宋体" w:hAnsi="宋体"/>
          <w:snapToGrid w:val="0"/>
          <w:color w:val="auto"/>
          <w:sz w:val="28"/>
          <w:szCs w:val="28"/>
          <w:highlight w:val="none"/>
        </w:rPr>
        <w:t>招标文件的获取</w:t>
      </w:r>
      <w:bookmarkEnd w:id="50"/>
      <w:bookmarkEnd w:id="51"/>
      <w:bookmarkEnd w:id="52"/>
      <w:bookmarkEnd w:id="53"/>
      <w:bookmarkEnd w:id="54"/>
      <w:bookmarkEnd w:id="55"/>
      <w:bookmarkEnd w:id="56"/>
      <w:bookmarkEnd w:id="57"/>
      <w:bookmarkEnd w:id="58"/>
      <w:bookmarkEnd w:id="59"/>
    </w:p>
    <w:p>
      <w:pPr>
        <w:tabs>
          <w:tab w:val="left" w:pos="3850"/>
          <w:tab w:val="left" w:pos="3980"/>
          <w:tab w:val="left" w:pos="4100"/>
          <w:tab w:val="left" w:pos="4600"/>
          <w:tab w:val="left" w:pos="5360"/>
          <w:tab w:val="left" w:pos="5460"/>
          <w:tab w:val="left" w:pos="6200"/>
          <w:tab w:val="left" w:pos="6327"/>
          <w:tab w:val="left" w:pos="6901"/>
        </w:tabs>
        <w:autoSpaceDE w:val="0"/>
        <w:autoSpaceDN w:val="0"/>
        <w:adjustRightInd w:val="0"/>
        <w:snapToGrid w:val="0"/>
        <w:spacing w:line="450" w:lineRule="exact"/>
        <w:ind w:firstLine="420" w:firstLineChars="200"/>
        <w:rPr>
          <w:rFonts w:hint="default" w:ascii="宋体" w:hAnsi="宋体"/>
          <w:snapToGrid w:val="0"/>
          <w:color w:val="auto"/>
          <w:kern w:val="0"/>
          <w:szCs w:val="21"/>
          <w:highlight w:val="none"/>
          <w:lang w:val="en-US"/>
        </w:rPr>
      </w:pPr>
      <w:r>
        <w:rPr>
          <w:rFonts w:hint="eastAsia" w:ascii="宋体" w:hAnsi="宋体"/>
          <w:snapToGrid w:val="0"/>
          <w:color w:val="auto"/>
          <w:kern w:val="0"/>
          <w:szCs w:val="21"/>
          <w:highlight w:val="none"/>
        </w:rPr>
        <w:t xml:space="preserve">4.1 </w:t>
      </w:r>
      <w:r>
        <w:rPr>
          <w:rFonts w:ascii="宋体" w:hAnsi="宋体"/>
          <w:snapToGrid w:val="0"/>
          <w:color w:val="auto"/>
          <w:kern w:val="0"/>
          <w:szCs w:val="21"/>
          <w:highlight w:val="none"/>
        </w:rPr>
        <w:t>凡有意参加投标者，请于</w:t>
      </w:r>
      <w:r>
        <w:rPr>
          <w:rFonts w:hint="eastAsia" w:ascii="宋体" w:hAnsi="宋体"/>
          <w:snapToGrid w:val="0"/>
          <w:color w:val="auto"/>
          <w:kern w:val="0"/>
          <w:szCs w:val="21"/>
          <w:highlight w:val="none"/>
          <w:u w:val="single"/>
          <w:lang w:val="en-US" w:eastAsia="zh-CN"/>
        </w:rPr>
        <w:t>2023</w:t>
      </w:r>
      <w:r>
        <w:rPr>
          <w:rFonts w:ascii="宋体" w:hAnsi="宋体"/>
          <w:snapToGrid w:val="0"/>
          <w:color w:val="auto"/>
          <w:kern w:val="0"/>
          <w:szCs w:val="21"/>
          <w:highlight w:val="none"/>
        </w:rPr>
        <w:t>年</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5</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月</w:t>
      </w:r>
      <w:r>
        <w:rPr>
          <w:rFonts w:hint="eastAsia" w:ascii="宋体" w:hAnsi="宋体"/>
          <w:snapToGrid w:val="0"/>
          <w:color w:val="auto"/>
          <w:kern w:val="0"/>
          <w:szCs w:val="21"/>
          <w:highlight w:val="none"/>
          <w:u w:val="single"/>
          <w:lang w:val="en-US" w:eastAsia="zh-CN"/>
        </w:rPr>
        <w:t xml:space="preserve"> 26</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日</w:t>
      </w:r>
      <w:r>
        <w:rPr>
          <w:rFonts w:hint="eastAsia" w:ascii="宋体" w:hAnsi="宋体"/>
          <w:snapToGrid w:val="0"/>
          <w:color w:val="auto"/>
          <w:kern w:val="0"/>
          <w:szCs w:val="21"/>
          <w:highlight w:val="none"/>
          <w:lang w:val="en-US" w:eastAsia="zh-CN"/>
        </w:rPr>
        <w:t>至</w:t>
      </w:r>
      <w:r>
        <w:rPr>
          <w:rFonts w:hint="eastAsia" w:ascii="宋体" w:hAnsi="宋体"/>
          <w:snapToGrid w:val="0"/>
          <w:color w:val="auto"/>
          <w:kern w:val="0"/>
          <w:szCs w:val="21"/>
          <w:highlight w:val="none"/>
          <w:u w:val="single"/>
          <w:lang w:val="en-US" w:eastAsia="zh-CN"/>
        </w:rPr>
        <w:t>2023</w:t>
      </w:r>
      <w:r>
        <w:rPr>
          <w:rFonts w:ascii="宋体" w:hAnsi="宋体"/>
          <w:snapToGrid w:val="0"/>
          <w:color w:val="auto"/>
          <w:kern w:val="0"/>
          <w:szCs w:val="21"/>
          <w:highlight w:val="none"/>
        </w:rPr>
        <w:t>年</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5</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月</w:t>
      </w:r>
      <w:r>
        <w:rPr>
          <w:rFonts w:hint="eastAsia" w:ascii="宋体" w:hAnsi="宋体"/>
          <w:snapToGrid w:val="0"/>
          <w:color w:val="auto"/>
          <w:kern w:val="0"/>
          <w:szCs w:val="21"/>
          <w:highlight w:val="none"/>
          <w:u w:val="single"/>
          <w:lang w:val="en-US" w:eastAsia="zh-CN"/>
        </w:rPr>
        <w:t xml:space="preserve"> 28</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日（北京时间</w:t>
      </w:r>
      <w:r>
        <w:rPr>
          <w:rFonts w:hint="eastAsia" w:ascii="宋体" w:hAnsi="宋体"/>
          <w:snapToGrid w:val="0"/>
          <w:color w:val="auto"/>
          <w:kern w:val="0"/>
          <w:szCs w:val="21"/>
          <w:highlight w:val="none"/>
          <w:lang w:val="en-US" w:eastAsia="zh-CN"/>
        </w:rPr>
        <w:t>上午9:00至12:00，下午14:00至17:00）前，将以下报名资料盖章纸质件递交至代理机构处进行报名登记。报名资料：《报名登记表》、法人授权委托书（原件）、被授权委托人身份证复印件、法人身份证复印件、营业执照复印件、资质证书复印件并加盖竞选人公章。注：在竞争性比选文件发售期内未按上述要求进行报名的，其投标文件无效。</w:t>
      </w:r>
    </w:p>
    <w:p>
      <w:pPr>
        <w:tabs>
          <w:tab w:val="left" w:pos="3850"/>
          <w:tab w:val="left" w:pos="3980"/>
          <w:tab w:val="left" w:pos="4100"/>
          <w:tab w:val="left" w:pos="4600"/>
          <w:tab w:val="left" w:pos="5360"/>
          <w:tab w:val="left" w:pos="5460"/>
          <w:tab w:val="left" w:pos="6200"/>
          <w:tab w:val="left" w:pos="6327"/>
          <w:tab w:val="left" w:pos="6901"/>
        </w:tabs>
        <w:autoSpaceDE w:val="0"/>
        <w:autoSpaceDN w:val="0"/>
        <w:adjustRightInd w:val="0"/>
        <w:snapToGrid w:val="0"/>
        <w:spacing w:line="450" w:lineRule="exact"/>
        <w:ind w:firstLine="420" w:firstLineChars="200"/>
        <w:rPr>
          <w:rFonts w:ascii="宋体" w:hAnsi="宋体"/>
          <w:snapToGrid w:val="0"/>
          <w:color w:val="auto"/>
          <w:kern w:val="0"/>
          <w:szCs w:val="21"/>
          <w:highlight w:val="none"/>
        </w:rPr>
      </w:pPr>
      <w:r>
        <w:rPr>
          <w:rFonts w:hint="eastAsia" w:ascii="宋体" w:hAnsi="宋体"/>
          <w:snapToGrid w:val="0"/>
          <w:color w:val="auto"/>
          <w:kern w:val="0"/>
          <w:szCs w:val="21"/>
          <w:highlight w:val="none"/>
          <w:lang w:val="en-US" w:eastAsia="zh-CN"/>
        </w:rPr>
        <w:t>竞选人在</w:t>
      </w:r>
      <w:r>
        <w:rPr>
          <w:rFonts w:hint="eastAsia" w:ascii="宋体" w:hAnsi="宋体"/>
          <w:snapToGrid w:val="0"/>
          <w:color w:val="auto"/>
          <w:kern w:val="0"/>
          <w:szCs w:val="21"/>
          <w:highlight w:val="none"/>
        </w:rPr>
        <w:t xml:space="preserve"> </w:t>
      </w:r>
      <w:r>
        <w:rPr>
          <w:rFonts w:hint="eastAsia" w:ascii="宋体" w:hAnsi="宋体"/>
          <w:snapToGrid w:val="0"/>
          <w:color w:val="auto"/>
          <w:kern w:val="0"/>
          <w:szCs w:val="21"/>
          <w:highlight w:val="none"/>
          <w:lang w:eastAsia="zh-CN"/>
        </w:rPr>
        <w:t>重庆经开区投资集团有限公司(http://www.cetzig.com/）</w:t>
      </w:r>
      <w:r>
        <w:rPr>
          <w:rFonts w:ascii="宋体" w:hAnsi="宋体"/>
          <w:snapToGrid w:val="0"/>
          <w:color w:val="auto"/>
          <w:kern w:val="0"/>
          <w:szCs w:val="21"/>
          <w:highlight w:val="none"/>
        </w:rPr>
        <w:t>下载招标文件</w:t>
      </w:r>
      <w:r>
        <w:rPr>
          <w:rFonts w:hint="eastAsia" w:ascii="宋体" w:hAnsi="宋体"/>
          <w:snapToGrid w:val="0"/>
          <w:color w:val="auto"/>
          <w:kern w:val="0"/>
          <w:szCs w:val="21"/>
          <w:highlight w:val="none"/>
        </w:rPr>
        <w:t>、</w:t>
      </w:r>
      <w:r>
        <w:rPr>
          <w:rFonts w:ascii="宋体" w:hAnsi="宋体"/>
          <w:snapToGrid w:val="0"/>
          <w:color w:val="auto"/>
          <w:kern w:val="0"/>
          <w:szCs w:val="21"/>
          <w:highlight w:val="none"/>
        </w:rPr>
        <w:t>工程量清单、图纸、澄清、修改、补充通知、最高限价通知等全部内容。不管下载与否都视为潜在</w:t>
      </w:r>
      <w:r>
        <w:rPr>
          <w:rFonts w:hint="eastAsia" w:ascii="宋体" w:hAnsi="宋体"/>
          <w:snapToGrid w:val="0"/>
          <w:color w:val="auto"/>
          <w:kern w:val="0"/>
          <w:szCs w:val="21"/>
          <w:highlight w:val="none"/>
          <w:lang w:eastAsia="zh-CN"/>
        </w:rPr>
        <w:t>竞选人</w:t>
      </w:r>
      <w:r>
        <w:rPr>
          <w:rFonts w:ascii="宋体" w:hAnsi="宋体"/>
          <w:snapToGrid w:val="0"/>
          <w:color w:val="auto"/>
          <w:kern w:val="0"/>
          <w:szCs w:val="21"/>
          <w:highlight w:val="none"/>
        </w:rPr>
        <w:t>全部知晓有关招投标过程和全部内容。</w:t>
      </w:r>
    </w:p>
    <w:p>
      <w:pPr>
        <w:tabs>
          <w:tab w:val="left" w:pos="3850"/>
          <w:tab w:val="left" w:pos="3980"/>
          <w:tab w:val="left" w:pos="4100"/>
          <w:tab w:val="left" w:pos="4600"/>
          <w:tab w:val="left" w:pos="5360"/>
          <w:tab w:val="left" w:pos="5460"/>
          <w:tab w:val="left" w:pos="6200"/>
          <w:tab w:val="left" w:pos="6327"/>
          <w:tab w:val="left" w:pos="6901"/>
        </w:tabs>
        <w:autoSpaceDE w:val="0"/>
        <w:autoSpaceDN w:val="0"/>
        <w:adjustRightInd w:val="0"/>
        <w:snapToGrid w:val="0"/>
        <w:spacing w:line="450" w:lineRule="exact"/>
        <w:ind w:firstLine="420" w:firstLineChars="200"/>
        <w:rPr>
          <w:rFonts w:ascii="宋体" w:hAnsi="宋体"/>
          <w:snapToGrid w:val="0"/>
          <w:color w:val="auto"/>
          <w:kern w:val="0"/>
          <w:szCs w:val="21"/>
          <w:highlight w:val="none"/>
          <w:u w:val="none"/>
        </w:rPr>
      </w:pPr>
      <w:r>
        <w:rPr>
          <w:rFonts w:hint="eastAsia" w:ascii="宋体" w:hAnsi="宋体"/>
          <w:snapToGrid w:val="0"/>
          <w:color w:val="auto"/>
          <w:kern w:val="0"/>
          <w:szCs w:val="21"/>
          <w:highlight w:val="none"/>
        </w:rPr>
        <w:t xml:space="preserve">4.2  </w:t>
      </w:r>
      <w:r>
        <w:rPr>
          <w:rFonts w:hint="eastAsia" w:ascii="宋体" w:hAnsi="宋体"/>
          <w:snapToGrid w:val="0"/>
          <w:color w:val="auto"/>
          <w:kern w:val="0"/>
          <w:szCs w:val="21"/>
          <w:highlight w:val="none"/>
          <w:lang w:eastAsia="zh-CN"/>
        </w:rPr>
        <w:t>竞选人</w:t>
      </w:r>
      <w:r>
        <w:rPr>
          <w:rFonts w:hint="eastAsia" w:ascii="宋体" w:hAnsi="宋体"/>
          <w:snapToGrid w:val="0"/>
          <w:color w:val="auto"/>
          <w:kern w:val="0"/>
          <w:szCs w:val="21"/>
          <w:highlight w:val="none"/>
        </w:rPr>
        <w:t>提问时间从本公告发布至（北京时间）前</w:t>
      </w:r>
      <w:r>
        <w:rPr>
          <w:rFonts w:hint="eastAsia" w:ascii="宋体" w:hAnsi="宋体" w:cs="宋体"/>
          <w:color w:val="auto"/>
          <w:kern w:val="0"/>
          <w:szCs w:val="21"/>
          <w:highlight w:val="none"/>
          <w:u w:val="single"/>
          <w:lang w:val="en-US" w:eastAsia="zh-CN"/>
        </w:rPr>
        <w:t>2023</w:t>
      </w:r>
      <w:r>
        <w:rPr>
          <w:rFonts w:hint="eastAsia" w:ascii="宋体" w:hAnsi="宋体" w:cs="宋体"/>
          <w:color w:val="auto"/>
          <w:kern w:val="0"/>
          <w:szCs w:val="21"/>
          <w:highlight w:val="none"/>
        </w:rPr>
        <w:t>年</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u w:val="single"/>
          <w:lang w:val="en-US" w:eastAsia="zh-CN"/>
        </w:rPr>
        <w:t>5</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rPr>
        <w:t>月</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u w:val="single"/>
          <w:lang w:val="en-US" w:eastAsia="zh-CN"/>
        </w:rPr>
        <w:t>29</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rPr>
        <w:t>日</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u w:val="single"/>
          <w:lang w:val="en-US" w:eastAsia="zh-CN"/>
        </w:rPr>
        <w:t>17</w:t>
      </w:r>
      <w:r>
        <w:rPr>
          <w:rFonts w:hint="eastAsia" w:ascii="宋体" w:hAnsi="宋体" w:cs="宋体"/>
          <w:color w:val="auto"/>
          <w:kern w:val="0"/>
          <w:szCs w:val="21"/>
          <w:highlight w:val="none"/>
          <w:u w:val="single"/>
        </w:rPr>
        <w:t xml:space="preserve"> </w:t>
      </w:r>
      <w:r>
        <w:rPr>
          <w:rFonts w:hint="eastAsia" w:ascii="宋体" w:hAnsi="宋体" w:cs="宋体"/>
          <w:color w:val="auto"/>
          <w:szCs w:val="21"/>
          <w:highlight w:val="none"/>
        </w:rPr>
        <w:t>时</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u w:val="single"/>
          <w:lang w:val="en-US" w:eastAsia="zh-CN"/>
        </w:rPr>
        <w:t>00</w:t>
      </w:r>
      <w:r>
        <w:rPr>
          <w:rFonts w:hint="eastAsia" w:ascii="宋体" w:hAnsi="宋体" w:cs="宋体"/>
          <w:color w:val="auto"/>
          <w:kern w:val="0"/>
          <w:szCs w:val="21"/>
          <w:highlight w:val="none"/>
          <w:u w:val="single"/>
        </w:rPr>
        <w:t xml:space="preserve">  </w:t>
      </w:r>
      <w:r>
        <w:rPr>
          <w:rFonts w:hint="eastAsia" w:ascii="宋体" w:hAnsi="宋体" w:cs="宋体"/>
          <w:color w:val="auto"/>
          <w:szCs w:val="21"/>
          <w:highlight w:val="none"/>
        </w:rPr>
        <w:t>分</w:t>
      </w:r>
      <w:r>
        <w:rPr>
          <w:rFonts w:hint="eastAsia" w:ascii="宋体" w:hAnsi="宋体"/>
          <w:snapToGrid w:val="0"/>
          <w:color w:val="auto"/>
          <w:kern w:val="0"/>
          <w:szCs w:val="21"/>
          <w:highlight w:val="none"/>
          <w:u w:val="none"/>
          <w:lang w:val="en-US" w:eastAsia="zh-CN"/>
        </w:rPr>
        <w:t>前，向代理机构或比选人</w:t>
      </w:r>
      <w:r>
        <w:rPr>
          <w:rFonts w:hint="eastAsia" w:ascii="宋体" w:hAnsi="宋体"/>
          <w:snapToGrid w:val="0"/>
          <w:color w:val="auto"/>
          <w:kern w:val="0"/>
          <w:szCs w:val="21"/>
          <w:highlight w:val="none"/>
          <w:u w:val="none"/>
        </w:rPr>
        <w:t>提出疑问</w:t>
      </w:r>
      <w:r>
        <w:rPr>
          <w:rFonts w:hint="eastAsia" w:ascii="宋体" w:hAnsi="宋体"/>
          <w:snapToGrid w:val="0"/>
          <w:color w:val="auto"/>
          <w:kern w:val="0"/>
          <w:szCs w:val="21"/>
          <w:highlight w:val="none"/>
          <w:u w:val="none"/>
          <w:lang w:eastAsia="zh-CN"/>
        </w:rPr>
        <w:t>（</w:t>
      </w:r>
      <w:r>
        <w:rPr>
          <w:rFonts w:hint="eastAsia" w:ascii="宋体" w:hAnsi="宋体"/>
          <w:snapToGrid w:val="0"/>
          <w:color w:val="auto"/>
          <w:kern w:val="0"/>
          <w:szCs w:val="21"/>
          <w:highlight w:val="none"/>
          <w:u w:val="none"/>
          <w:lang w:val="en-US" w:eastAsia="zh-CN"/>
        </w:rPr>
        <w:t>纸质形式</w:t>
      </w:r>
      <w:r>
        <w:rPr>
          <w:rFonts w:hint="eastAsia" w:ascii="宋体" w:hAnsi="宋体"/>
          <w:snapToGrid w:val="0"/>
          <w:color w:val="auto"/>
          <w:kern w:val="0"/>
          <w:szCs w:val="21"/>
          <w:highlight w:val="none"/>
          <w:u w:val="none"/>
          <w:lang w:eastAsia="zh-CN"/>
        </w:rPr>
        <w:t>）</w:t>
      </w:r>
      <w:r>
        <w:rPr>
          <w:rFonts w:hint="eastAsia" w:ascii="宋体" w:hAnsi="宋体"/>
          <w:snapToGrid w:val="0"/>
          <w:color w:val="auto"/>
          <w:kern w:val="0"/>
          <w:szCs w:val="21"/>
          <w:highlight w:val="none"/>
          <w:u w:val="none"/>
        </w:rPr>
        <w:t>。</w:t>
      </w:r>
    </w:p>
    <w:p>
      <w:pPr>
        <w:tabs>
          <w:tab w:val="left" w:pos="3850"/>
          <w:tab w:val="left" w:pos="3980"/>
          <w:tab w:val="left" w:pos="4100"/>
          <w:tab w:val="left" w:pos="4600"/>
          <w:tab w:val="left" w:pos="5360"/>
          <w:tab w:val="left" w:pos="5460"/>
          <w:tab w:val="left" w:pos="6200"/>
          <w:tab w:val="left" w:pos="6327"/>
          <w:tab w:val="left" w:pos="6901"/>
        </w:tabs>
        <w:autoSpaceDE w:val="0"/>
        <w:autoSpaceDN w:val="0"/>
        <w:adjustRightInd w:val="0"/>
        <w:snapToGrid w:val="0"/>
        <w:spacing w:line="450" w:lineRule="exact"/>
        <w:ind w:firstLine="420" w:firstLineChars="200"/>
        <w:rPr>
          <w:rFonts w:ascii="宋体" w:hAnsi="宋体"/>
          <w:snapToGrid w:val="0"/>
          <w:color w:val="auto"/>
          <w:kern w:val="0"/>
          <w:szCs w:val="21"/>
          <w:highlight w:val="none"/>
        </w:rPr>
      </w:pPr>
      <w:r>
        <w:rPr>
          <w:rFonts w:hint="eastAsia" w:ascii="宋体" w:hAnsi="宋体"/>
          <w:snapToGrid w:val="0"/>
          <w:color w:val="auto"/>
          <w:kern w:val="0"/>
          <w:szCs w:val="21"/>
          <w:highlight w:val="none"/>
        </w:rPr>
        <w:t xml:space="preserve">4.3  </w:t>
      </w:r>
      <w:r>
        <w:rPr>
          <w:rFonts w:hint="eastAsia" w:ascii="宋体" w:hAnsi="宋体"/>
          <w:snapToGrid w:val="0"/>
          <w:color w:val="auto"/>
          <w:kern w:val="0"/>
          <w:szCs w:val="21"/>
          <w:highlight w:val="none"/>
          <w:lang w:eastAsia="zh-CN"/>
        </w:rPr>
        <w:t>比选人</w:t>
      </w:r>
      <w:r>
        <w:rPr>
          <w:rFonts w:hint="eastAsia" w:ascii="宋体" w:hAnsi="宋体"/>
          <w:snapToGrid w:val="0"/>
          <w:color w:val="auto"/>
          <w:kern w:val="0"/>
          <w:szCs w:val="21"/>
          <w:highlight w:val="none"/>
        </w:rPr>
        <w:t>应于</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u w:val="single"/>
          <w:lang w:val="en-US" w:eastAsia="zh-CN"/>
        </w:rPr>
        <w:t>2023</w:t>
      </w:r>
      <w:r>
        <w:rPr>
          <w:rFonts w:hint="eastAsia" w:ascii="宋体" w:hAnsi="宋体" w:cs="宋体"/>
          <w:color w:val="auto"/>
          <w:kern w:val="0"/>
          <w:szCs w:val="21"/>
          <w:highlight w:val="none"/>
        </w:rPr>
        <w:t>年</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u w:val="single"/>
          <w:lang w:val="en-US" w:eastAsia="zh-CN"/>
        </w:rPr>
        <w:t xml:space="preserve">5 </w:t>
      </w:r>
      <w:r>
        <w:rPr>
          <w:rFonts w:hint="eastAsia" w:ascii="宋体" w:hAnsi="宋体" w:cs="宋体"/>
          <w:color w:val="auto"/>
          <w:kern w:val="0"/>
          <w:szCs w:val="21"/>
          <w:highlight w:val="none"/>
        </w:rPr>
        <w:t>月</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u w:val="single"/>
          <w:lang w:val="en-US" w:eastAsia="zh-CN"/>
        </w:rPr>
        <w:t xml:space="preserve">30 </w:t>
      </w:r>
      <w:r>
        <w:rPr>
          <w:rFonts w:hint="eastAsia" w:ascii="宋体" w:hAnsi="宋体" w:cs="宋体"/>
          <w:color w:val="auto"/>
          <w:kern w:val="0"/>
          <w:szCs w:val="21"/>
          <w:highlight w:val="none"/>
        </w:rPr>
        <w:t>日</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u w:val="single"/>
          <w:lang w:val="en-US" w:eastAsia="zh-CN"/>
        </w:rPr>
        <w:t>17</w:t>
      </w:r>
      <w:r>
        <w:rPr>
          <w:rFonts w:hint="eastAsia" w:ascii="宋体" w:hAnsi="宋体" w:cs="宋体"/>
          <w:color w:val="auto"/>
          <w:kern w:val="0"/>
          <w:szCs w:val="21"/>
          <w:highlight w:val="none"/>
          <w:u w:val="single"/>
        </w:rPr>
        <w:t xml:space="preserve"> </w:t>
      </w:r>
      <w:r>
        <w:rPr>
          <w:rFonts w:hint="eastAsia" w:ascii="宋体" w:hAnsi="宋体" w:cs="宋体"/>
          <w:color w:val="auto"/>
          <w:szCs w:val="21"/>
          <w:highlight w:val="none"/>
        </w:rPr>
        <w:t>时</w:t>
      </w:r>
      <w:r>
        <w:rPr>
          <w:rFonts w:hint="eastAsia" w:ascii="宋体" w:hAnsi="宋体" w:cs="宋体"/>
          <w:color w:val="auto"/>
          <w:kern w:val="0"/>
          <w:szCs w:val="21"/>
          <w:highlight w:val="none"/>
          <w:u w:val="single"/>
        </w:rPr>
        <w:t xml:space="preserve"> </w:t>
      </w:r>
      <w:r>
        <w:rPr>
          <w:rFonts w:hint="eastAsia" w:ascii="宋体" w:hAnsi="宋体" w:cs="宋体"/>
          <w:color w:val="auto"/>
          <w:kern w:val="0"/>
          <w:szCs w:val="21"/>
          <w:highlight w:val="none"/>
          <w:u w:val="single"/>
          <w:lang w:val="en-US" w:eastAsia="zh-CN"/>
        </w:rPr>
        <w:t>00</w:t>
      </w:r>
      <w:r>
        <w:rPr>
          <w:rFonts w:hint="eastAsia" w:ascii="宋体" w:hAnsi="宋体" w:cs="宋体"/>
          <w:color w:val="auto"/>
          <w:kern w:val="0"/>
          <w:szCs w:val="21"/>
          <w:highlight w:val="none"/>
          <w:u w:val="single"/>
        </w:rPr>
        <w:t xml:space="preserve"> </w:t>
      </w:r>
      <w:r>
        <w:rPr>
          <w:rFonts w:hint="eastAsia" w:ascii="宋体" w:hAnsi="宋体" w:cs="宋体"/>
          <w:color w:val="auto"/>
          <w:szCs w:val="21"/>
          <w:highlight w:val="none"/>
        </w:rPr>
        <w:t>分</w:t>
      </w:r>
      <w:r>
        <w:rPr>
          <w:rFonts w:hint="eastAsia" w:ascii="宋体" w:hAnsi="宋体"/>
          <w:snapToGrid w:val="0"/>
          <w:color w:val="auto"/>
          <w:kern w:val="0"/>
          <w:szCs w:val="21"/>
          <w:highlight w:val="none"/>
        </w:rPr>
        <w:t>（北京时间）前在</w:t>
      </w:r>
      <w:r>
        <w:rPr>
          <w:rFonts w:hint="eastAsia" w:ascii="宋体" w:hAnsi="宋体"/>
          <w:snapToGrid w:val="0"/>
          <w:color w:val="auto"/>
          <w:kern w:val="0"/>
          <w:szCs w:val="21"/>
          <w:highlight w:val="none"/>
          <w:lang w:eastAsia="zh-CN"/>
        </w:rPr>
        <w:t>重庆经开区投资集团有限公司(http://www.cetzig.com/）</w:t>
      </w:r>
      <w:r>
        <w:rPr>
          <w:rFonts w:hint="eastAsia" w:ascii="宋体" w:hAnsi="宋体"/>
          <w:snapToGrid w:val="0"/>
          <w:color w:val="auto"/>
          <w:kern w:val="0"/>
          <w:szCs w:val="21"/>
          <w:highlight w:val="none"/>
        </w:rPr>
        <w:t>发布澄清</w:t>
      </w:r>
      <w:r>
        <w:rPr>
          <w:rFonts w:hint="eastAsia" w:ascii="宋体" w:hAnsi="宋体"/>
          <w:snapToGrid w:val="0"/>
          <w:color w:val="auto"/>
          <w:kern w:val="0"/>
          <w:szCs w:val="21"/>
          <w:highlight w:val="none"/>
          <w:lang w:val="en-US" w:eastAsia="zh-CN"/>
        </w:rPr>
        <w:t>或修改</w:t>
      </w:r>
      <w:r>
        <w:rPr>
          <w:rFonts w:hint="eastAsia" w:ascii="宋体" w:hAnsi="宋体"/>
          <w:snapToGrid w:val="0"/>
          <w:color w:val="auto"/>
          <w:kern w:val="0"/>
          <w:szCs w:val="21"/>
          <w:highlight w:val="none"/>
        </w:rPr>
        <w:t>。</w:t>
      </w:r>
    </w:p>
    <w:p>
      <w:pPr>
        <w:pStyle w:val="4"/>
        <w:spacing w:before="100" w:after="100" w:line="460" w:lineRule="exact"/>
        <w:rPr>
          <w:rFonts w:ascii="宋体" w:hAnsi="宋体"/>
          <w:snapToGrid w:val="0"/>
          <w:color w:val="auto"/>
          <w:sz w:val="28"/>
          <w:szCs w:val="28"/>
          <w:highlight w:val="none"/>
        </w:rPr>
      </w:pPr>
      <w:bookmarkStart w:id="60" w:name="_Toc200359431"/>
      <w:bookmarkStart w:id="61" w:name="_Toc224103303"/>
      <w:bookmarkStart w:id="62" w:name="_Toc28449"/>
      <w:bookmarkStart w:id="63" w:name="_Toc287620671"/>
      <w:bookmarkStart w:id="64" w:name="_Toc200359242"/>
      <w:bookmarkStart w:id="65" w:name="_Toc509218696"/>
      <w:bookmarkStart w:id="66" w:name="_Toc9199"/>
      <w:bookmarkStart w:id="67" w:name="_Toc287607732"/>
      <w:bookmarkStart w:id="68" w:name="_Toc430530420"/>
      <w:bookmarkStart w:id="69" w:name="_Toc277082540"/>
      <w:r>
        <w:rPr>
          <w:rFonts w:ascii="宋体" w:hAnsi="宋体"/>
          <w:snapToGrid w:val="0"/>
          <w:color w:val="auto"/>
          <w:sz w:val="28"/>
          <w:szCs w:val="28"/>
          <w:highlight w:val="none"/>
        </w:rPr>
        <w:t xml:space="preserve">5. </w:t>
      </w:r>
      <w:r>
        <w:rPr>
          <w:rFonts w:hint="eastAsia" w:ascii="宋体" w:hAnsi="宋体"/>
          <w:snapToGrid w:val="0"/>
          <w:color w:val="auto"/>
          <w:sz w:val="28"/>
          <w:szCs w:val="28"/>
          <w:highlight w:val="none"/>
        </w:rPr>
        <w:t xml:space="preserve"> </w:t>
      </w:r>
      <w:r>
        <w:rPr>
          <w:rFonts w:hint="eastAsia" w:ascii="宋体" w:hAnsi="宋体"/>
          <w:snapToGrid w:val="0"/>
          <w:color w:val="auto"/>
          <w:sz w:val="28"/>
          <w:szCs w:val="28"/>
          <w:highlight w:val="none"/>
          <w:lang w:eastAsia="zh-CN"/>
        </w:rPr>
        <w:t>竞选文件</w:t>
      </w:r>
      <w:r>
        <w:rPr>
          <w:rFonts w:ascii="宋体" w:hAnsi="宋体"/>
          <w:snapToGrid w:val="0"/>
          <w:color w:val="auto"/>
          <w:sz w:val="28"/>
          <w:szCs w:val="28"/>
          <w:highlight w:val="none"/>
        </w:rPr>
        <w:t>的递交</w:t>
      </w:r>
      <w:bookmarkEnd w:id="60"/>
      <w:bookmarkEnd w:id="61"/>
      <w:bookmarkEnd w:id="62"/>
      <w:bookmarkEnd w:id="63"/>
      <w:bookmarkEnd w:id="64"/>
      <w:bookmarkEnd w:id="65"/>
      <w:bookmarkEnd w:id="66"/>
      <w:bookmarkEnd w:id="67"/>
      <w:bookmarkEnd w:id="68"/>
      <w:bookmarkEnd w:id="69"/>
    </w:p>
    <w:p>
      <w:pPr>
        <w:tabs>
          <w:tab w:val="left" w:pos="2000"/>
          <w:tab w:val="left" w:pos="5580"/>
          <w:tab w:val="left" w:pos="6220"/>
          <w:tab w:val="left" w:pos="6840"/>
          <w:tab w:val="left" w:pos="7460"/>
          <w:tab w:val="left" w:pos="8100"/>
        </w:tabs>
        <w:autoSpaceDE w:val="0"/>
        <w:autoSpaceDN w:val="0"/>
        <w:adjustRightInd w:val="0"/>
        <w:snapToGrid w:val="0"/>
        <w:spacing w:line="450" w:lineRule="exact"/>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 xml:space="preserve">5.1  </w:t>
      </w:r>
      <w:r>
        <w:rPr>
          <w:rFonts w:hint="eastAsia" w:ascii="宋体" w:hAnsi="宋体"/>
          <w:snapToGrid w:val="0"/>
          <w:color w:val="auto"/>
          <w:kern w:val="0"/>
          <w:szCs w:val="21"/>
          <w:highlight w:val="none"/>
          <w:lang w:eastAsia="zh-CN"/>
        </w:rPr>
        <w:t>竞选文件</w:t>
      </w:r>
      <w:r>
        <w:rPr>
          <w:rFonts w:ascii="宋体" w:hAnsi="宋体"/>
          <w:snapToGrid w:val="0"/>
          <w:color w:val="auto"/>
          <w:kern w:val="0"/>
          <w:szCs w:val="21"/>
          <w:highlight w:val="none"/>
        </w:rPr>
        <w:t>递交的截止时间（投标截止时间，下同）为</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2023</w:t>
      </w:r>
      <w:r>
        <w:rPr>
          <w:rFonts w:ascii="宋体" w:hAnsi="宋体"/>
          <w:snapToGrid w:val="0"/>
          <w:color w:val="auto"/>
          <w:kern w:val="0"/>
          <w:szCs w:val="21"/>
          <w:highlight w:val="none"/>
        </w:rPr>
        <w:t>年</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 xml:space="preserve"> 5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月</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31</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日</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10</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时</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00</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分，地点为</w:t>
      </w:r>
      <w:r>
        <w:rPr>
          <w:rFonts w:hint="eastAsia" w:ascii="宋体" w:hAnsi="宋体"/>
          <w:snapToGrid w:val="0"/>
          <w:color w:val="auto"/>
          <w:kern w:val="0"/>
          <w:szCs w:val="21"/>
          <w:highlight w:val="none"/>
          <w:u w:val="single"/>
        </w:rPr>
        <w:t xml:space="preserve"> 会议室（重庆市南岸区富源大道42号4-168号） </w:t>
      </w:r>
      <w:r>
        <w:rPr>
          <w:rFonts w:ascii="宋体" w:hAnsi="宋体"/>
          <w:snapToGrid w:val="0"/>
          <w:color w:val="auto"/>
          <w:kern w:val="0"/>
          <w:szCs w:val="21"/>
          <w:highlight w:val="none"/>
        </w:rPr>
        <w:t>。</w:t>
      </w:r>
    </w:p>
    <w:p>
      <w:pPr>
        <w:autoSpaceDE w:val="0"/>
        <w:autoSpaceDN w:val="0"/>
        <w:adjustRightInd w:val="0"/>
        <w:snapToGrid w:val="0"/>
        <w:spacing w:line="450" w:lineRule="exact"/>
        <w:ind w:firstLine="420" w:firstLineChars="200"/>
        <w:rPr>
          <w:rFonts w:hint="eastAsia" w:ascii="宋体" w:hAnsi="宋体" w:eastAsia="宋体"/>
          <w:snapToGrid w:val="0"/>
          <w:color w:val="auto"/>
          <w:kern w:val="0"/>
          <w:szCs w:val="21"/>
          <w:highlight w:val="none"/>
          <w:lang w:val="en-US" w:eastAsia="zh-CN"/>
        </w:rPr>
      </w:pPr>
      <w:r>
        <w:rPr>
          <w:rFonts w:ascii="宋体" w:hAnsi="宋体"/>
          <w:snapToGrid w:val="0"/>
          <w:color w:val="auto"/>
          <w:kern w:val="0"/>
          <w:szCs w:val="21"/>
          <w:highlight w:val="none"/>
        </w:rPr>
        <w:t>5.2  逾期送达的或者未送达指定地点的</w:t>
      </w:r>
      <w:r>
        <w:rPr>
          <w:rFonts w:hint="eastAsia" w:ascii="宋体" w:hAnsi="宋体"/>
          <w:snapToGrid w:val="0"/>
          <w:color w:val="auto"/>
          <w:kern w:val="0"/>
          <w:szCs w:val="21"/>
          <w:highlight w:val="none"/>
          <w:lang w:eastAsia="zh-CN"/>
        </w:rPr>
        <w:t>竞选文件</w:t>
      </w:r>
      <w:r>
        <w:rPr>
          <w:rFonts w:ascii="宋体" w:hAnsi="宋体"/>
          <w:snapToGrid w:val="0"/>
          <w:color w:val="auto"/>
          <w:kern w:val="0"/>
          <w:szCs w:val="21"/>
          <w:highlight w:val="none"/>
        </w:rPr>
        <w:t>，</w:t>
      </w:r>
      <w:r>
        <w:rPr>
          <w:rFonts w:hint="eastAsia" w:ascii="宋体" w:hAnsi="宋体"/>
          <w:snapToGrid w:val="0"/>
          <w:color w:val="auto"/>
          <w:kern w:val="0"/>
          <w:szCs w:val="21"/>
          <w:highlight w:val="none"/>
          <w:lang w:eastAsia="zh-CN"/>
        </w:rPr>
        <w:t>比选人</w:t>
      </w:r>
      <w:r>
        <w:rPr>
          <w:rFonts w:ascii="宋体" w:hAnsi="宋体"/>
          <w:snapToGrid w:val="0"/>
          <w:color w:val="auto"/>
          <w:kern w:val="0"/>
          <w:szCs w:val="21"/>
          <w:highlight w:val="none"/>
        </w:rPr>
        <w:t>不予受理。</w:t>
      </w:r>
      <w:r>
        <w:rPr>
          <w:rFonts w:hint="eastAsia" w:ascii="宋体" w:hAnsi="宋体"/>
          <w:snapToGrid w:val="0"/>
          <w:color w:val="auto"/>
          <w:kern w:val="0"/>
          <w:szCs w:val="21"/>
          <w:highlight w:val="none"/>
          <w:lang w:val="en-US" w:eastAsia="zh-CN"/>
        </w:rPr>
        <w:t xml:space="preserve"> </w:t>
      </w:r>
    </w:p>
    <w:p>
      <w:pPr>
        <w:pStyle w:val="4"/>
        <w:spacing w:before="100" w:after="100" w:line="460" w:lineRule="exact"/>
        <w:rPr>
          <w:rFonts w:ascii="宋体" w:hAnsi="宋体"/>
          <w:snapToGrid w:val="0"/>
          <w:color w:val="auto"/>
          <w:sz w:val="28"/>
          <w:szCs w:val="28"/>
          <w:highlight w:val="none"/>
        </w:rPr>
      </w:pPr>
      <w:bookmarkStart w:id="70" w:name="_Toc20963"/>
      <w:bookmarkStart w:id="71" w:name="_Toc224103304"/>
      <w:bookmarkStart w:id="72" w:name="_Toc200359243"/>
      <w:bookmarkStart w:id="73" w:name="_Toc430530421"/>
      <w:bookmarkStart w:id="74" w:name="_Toc277082541"/>
      <w:bookmarkStart w:id="75" w:name="_Toc8166"/>
      <w:bookmarkStart w:id="76" w:name="_Toc509218697"/>
      <w:bookmarkStart w:id="77" w:name="_Toc287607733"/>
      <w:bookmarkStart w:id="78" w:name="_Toc287620672"/>
      <w:bookmarkStart w:id="79" w:name="_Toc200359432"/>
      <w:r>
        <w:rPr>
          <w:rFonts w:ascii="宋体" w:hAnsi="宋体"/>
          <w:snapToGrid w:val="0"/>
          <w:color w:val="auto"/>
          <w:sz w:val="28"/>
          <w:szCs w:val="28"/>
          <w:highlight w:val="none"/>
        </w:rPr>
        <w:t xml:space="preserve">6. </w:t>
      </w:r>
      <w:r>
        <w:rPr>
          <w:rFonts w:hint="eastAsia" w:ascii="宋体" w:hAnsi="宋体"/>
          <w:snapToGrid w:val="0"/>
          <w:color w:val="auto"/>
          <w:sz w:val="28"/>
          <w:szCs w:val="28"/>
          <w:highlight w:val="none"/>
        </w:rPr>
        <w:t xml:space="preserve"> </w:t>
      </w:r>
      <w:r>
        <w:rPr>
          <w:rFonts w:ascii="宋体" w:hAnsi="宋体"/>
          <w:snapToGrid w:val="0"/>
          <w:color w:val="auto"/>
          <w:sz w:val="28"/>
          <w:szCs w:val="28"/>
          <w:highlight w:val="none"/>
        </w:rPr>
        <w:t>发布公告的媒介</w:t>
      </w:r>
      <w:bookmarkEnd w:id="70"/>
      <w:bookmarkEnd w:id="71"/>
      <w:bookmarkEnd w:id="72"/>
      <w:bookmarkEnd w:id="73"/>
      <w:bookmarkEnd w:id="74"/>
      <w:bookmarkEnd w:id="75"/>
      <w:bookmarkEnd w:id="76"/>
      <w:bookmarkEnd w:id="77"/>
      <w:bookmarkEnd w:id="78"/>
      <w:bookmarkEnd w:id="79"/>
    </w:p>
    <w:p>
      <w:pPr>
        <w:tabs>
          <w:tab w:val="left" w:pos="4950"/>
        </w:tabs>
        <w:autoSpaceDE w:val="0"/>
        <w:autoSpaceDN w:val="0"/>
        <w:adjustRightInd w:val="0"/>
        <w:snapToGrid w:val="0"/>
        <w:spacing w:line="450" w:lineRule="exact"/>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本次</w:t>
      </w:r>
      <w:r>
        <w:rPr>
          <w:rFonts w:hint="eastAsia" w:ascii="宋体" w:hAnsi="宋体"/>
          <w:snapToGrid w:val="0"/>
          <w:color w:val="auto"/>
          <w:kern w:val="0"/>
          <w:szCs w:val="21"/>
          <w:highlight w:val="none"/>
          <w:lang w:eastAsia="zh-CN"/>
        </w:rPr>
        <w:t>比选公告</w:t>
      </w:r>
      <w:r>
        <w:rPr>
          <w:rFonts w:ascii="宋体" w:hAnsi="宋体"/>
          <w:snapToGrid w:val="0"/>
          <w:color w:val="auto"/>
          <w:kern w:val="0"/>
          <w:szCs w:val="21"/>
          <w:highlight w:val="none"/>
        </w:rPr>
        <w:t>同时在</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eastAsia="zh-CN"/>
        </w:rPr>
        <w:t>重庆经开区投资集团有限公司(http://www.cetzig.com/）</w:t>
      </w:r>
      <w:r>
        <w:rPr>
          <w:rFonts w:ascii="宋体" w:hAnsi="宋体"/>
          <w:snapToGrid w:val="0"/>
          <w:color w:val="auto"/>
          <w:kern w:val="0"/>
          <w:szCs w:val="21"/>
          <w:highlight w:val="none"/>
        </w:rPr>
        <w:t>上发布。</w:t>
      </w:r>
    </w:p>
    <w:p>
      <w:pPr>
        <w:pStyle w:val="4"/>
        <w:spacing w:before="100" w:after="100" w:line="460" w:lineRule="exact"/>
        <w:rPr>
          <w:rFonts w:ascii="宋体" w:hAnsi="宋体"/>
          <w:snapToGrid w:val="0"/>
          <w:color w:val="auto"/>
          <w:sz w:val="28"/>
          <w:szCs w:val="28"/>
          <w:highlight w:val="none"/>
        </w:rPr>
      </w:pPr>
      <w:bookmarkStart w:id="80" w:name="_Toc31352"/>
      <w:bookmarkStart w:id="81" w:name="_Toc14240"/>
      <w:bookmarkStart w:id="82" w:name="_Toc509218698"/>
      <w:bookmarkStart w:id="83" w:name="_Toc277082542"/>
      <w:bookmarkStart w:id="84" w:name="_Toc430530422"/>
      <w:bookmarkStart w:id="85" w:name="_Toc17628"/>
      <w:bookmarkStart w:id="86" w:name="_Toc287607734"/>
      <w:bookmarkStart w:id="87" w:name="_Toc224103305"/>
      <w:bookmarkStart w:id="88" w:name="_Toc287620673"/>
      <w:r>
        <w:rPr>
          <w:rFonts w:hint="eastAsia" w:ascii="宋体" w:hAnsi="宋体"/>
          <w:snapToGrid w:val="0"/>
          <w:color w:val="auto"/>
          <w:sz w:val="28"/>
          <w:szCs w:val="28"/>
          <w:highlight w:val="none"/>
        </w:rPr>
        <w:t>7</w:t>
      </w:r>
      <w:r>
        <w:rPr>
          <w:rFonts w:ascii="宋体" w:hAnsi="宋体"/>
          <w:snapToGrid w:val="0"/>
          <w:color w:val="auto"/>
          <w:sz w:val="28"/>
          <w:szCs w:val="28"/>
          <w:highlight w:val="none"/>
        </w:rPr>
        <w:t xml:space="preserve">. </w:t>
      </w:r>
      <w:r>
        <w:rPr>
          <w:rFonts w:hint="eastAsia" w:ascii="宋体" w:hAnsi="宋体"/>
          <w:snapToGrid w:val="0"/>
          <w:color w:val="auto"/>
          <w:sz w:val="28"/>
          <w:szCs w:val="28"/>
          <w:highlight w:val="none"/>
        </w:rPr>
        <w:t xml:space="preserve"> </w:t>
      </w:r>
      <w:bookmarkEnd w:id="80"/>
      <w:bookmarkEnd w:id="81"/>
      <w:bookmarkStart w:id="89" w:name="_Toc589"/>
      <w:r>
        <w:rPr>
          <w:rFonts w:ascii="宋体" w:hAnsi="宋体"/>
          <w:snapToGrid w:val="0"/>
          <w:color w:val="auto"/>
          <w:sz w:val="28"/>
          <w:szCs w:val="28"/>
          <w:highlight w:val="none"/>
        </w:rPr>
        <w:t>联系方式</w:t>
      </w:r>
      <w:bookmarkEnd w:id="82"/>
      <w:bookmarkEnd w:id="83"/>
      <w:bookmarkEnd w:id="84"/>
      <w:bookmarkEnd w:id="85"/>
      <w:bookmarkEnd w:id="86"/>
      <w:bookmarkEnd w:id="87"/>
      <w:bookmarkEnd w:id="88"/>
      <w:bookmarkEnd w:id="89"/>
    </w:p>
    <w:p>
      <w:pPr>
        <w:pageBreakBefore w:val="0"/>
        <w:widowControl w:val="0"/>
        <w:tabs>
          <w:tab w:val="left" w:pos="5140"/>
          <w:tab w:val="left" w:pos="8520"/>
        </w:tabs>
        <w:kinsoku/>
        <w:wordWrap/>
        <w:overflowPunct/>
        <w:topLinePunct w:val="0"/>
        <w:autoSpaceDE w:val="0"/>
        <w:autoSpaceDN w:val="0"/>
        <w:bidi w:val="0"/>
        <w:adjustRightInd w:val="0"/>
        <w:snapToGrid w:val="0"/>
        <w:spacing w:line="440" w:lineRule="exact"/>
        <w:jc w:val="left"/>
        <w:textAlignment w:val="auto"/>
        <w:rPr>
          <w:rFonts w:ascii="宋体" w:hAnsi="宋体"/>
          <w:snapToGrid w:val="0"/>
          <w:color w:val="auto"/>
          <w:kern w:val="0"/>
          <w:szCs w:val="21"/>
          <w:highlight w:val="none"/>
        </w:rPr>
      </w:pPr>
      <w:bookmarkStart w:id="90" w:name="_Toc430530432"/>
      <w:bookmarkStart w:id="91" w:name="_Toc287607744"/>
      <w:bookmarkStart w:id="92" w:name="_Toc224103315"/>
      <w:bookmarkStart w:id="93" w:name="_Toc32148"/>
      <w:bookmarkStart w:id="94" w:name="_Toc287620683"/>
      <w:r>
        <w:rPr>
          <w:rFonts w:ascii="宋体" w:hAnsi="宋体"/>
          <w:snapToGrid w:val="0"/>
          <w:color w:val="auto"/>
          <w:kern w:val="0"/>
          <w:szCs w:val="21"/>
          <w:highlight w:val="none"/>
        </w:rPr>
        <w:t>招标人：</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重庆广阳岛生态城置地有限公司</w:t>
      </w:r>
      <w:r>
        <w:rPr>
          <w:rFonts w:ascii="宋体" w:hAnsi="宋体"/>
          <w:snapToGrid w:val="0"/>
          <w:color w:val="auto"/>
          <w:kern w:val="0"/>
          <w:szCs w:val="21"/>
          <w:highlight w:val="none"/>
        </w:rPr>
        <w:t xml:space="preserve"> </w:t>
      </w:r>
      <w:r>
        <w:rPr>
          <w:rFonts w:hint="eastAsia" w:ascii="宋体" w:hAnsi="宋体"/>
          <w:snapToGrid w:val="0"/>
          <w:color w:val="auto"/>
          <w:kern w:val="0"/>
          <w:szCs w:val="21"/>
          <w:highlight w:val="none"/>
          <w:lang w:val="en-US" w:eastAsia="zh-CN"/>
        </w:rPr>
        <w:t xml:space="preserve">  </w:t>
      </w:r>
      <w:r>
        <w:rPr>
          <w:rFonts w:ascii="宋体" w:hAnsi="宋体"/>
          <w:snapToGrid w:val="0"/>
          <w:color w:val="auto"/>
          <w:kern w:val="0"/>
          <w:szCs w:val="21"/>
          <w:highlight w:val="none"/>
        </w:rPr>
        <w:t>招标代理机构：</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重庆得皓工程项目管理咨询有限公司</w:t>
      </w:r>
      <w:r>
        <w:rPr>
          <w:rFonts w:ascii="宋体" w:hAnsi="宋体"/>
          <w:snapToGrid w:val="0"/>
          <w:color w:val="auto"/>
          <w:kern w:val="0"/>
          <w:szCs w:val="21"/>
          <w:highlight w:val="none"/>
          <w:u w:val="single"/>
        </w:rPr>
        <w:t xml:space="preserve">  </w:t>
      </w:r>
    </w:p>
    <w:p>
      <w:pPr>
        <w:pageBreakBefore w:val="0"/>
        <w:widowControl w:val="0"/>
        <w:tabs>
          <w:tab w:val="left" w:pos="5140"/>
          <w:tab w:val="left" w:pos="8420"/>
        </w:tabs>
        <w:kinsoku/>
        <w:wordWrap/>
        <w:overflowPunct/>
        <w:topLinePunct w:val="0"/>
        <w:autoSpaceDE w:val="0"/>
        <w:autoSpaceDN w:val="0"/>
        <w:bidi w:val="0"/>
        <w:adjustRightInd w:val="0"/>
        <w:snapToGrid w:val="0"/>
        <w:spacing w:line="440" w:lineRule="exact"/>
        <w:jc w:val="left"/>
        <w:textAlignment w:val="auto"/>
        <w:rPr>
          <w:rFonts w:hint="eastAsia" w:ascii="宋体" w:hAnsi="宋体" w:eastAsia="宋体" w:cs="Times New Roman"/>
          <w:snapToGrid w:val="0"/>
          <w:color w:val="auto"/>
          <w:kern w:val="0"/>
          <w:szCs w:val="21"/>
          <w:highlight w:val="none"/>
          <w:u w:val="single"/>
        </w:rPr>
      </w:pPr>
      <w:r>
        <w:rPr>
          <w:rFonts w:ascii="宋体" w:hAnsi="宋体"/>
          <w:snapToGrid w:val="0"/>
          <w:color w:val="auto"/>
          <w:kern w:val="0"/>
          <w:szCs w:val="21"/>
          <w:highlight w:val="none"/>
        </w:rPr>
        <w:t>地址：</w:t>
      </w:r>
      <w:r>
        <w:rPr>
          <w:rFonts w:hint="eastAsia" w:ascii="宋体" w:hAnsi="宋体"/>
          <w:snapToGrid w:val="0"/>
          <w:color w:val="auto"/>
          <w:kern w:val="0"/>
          <w:szCs w:val="21"/>
          <w:highlight w:val="none"/>
          <w:u w:val="single"/>
        </w:rPr>
        <w:t>重庆市南岸区富源大道42号4-168号</w:t>
      </w:r>
      <w:r>
        <w:rPr>
          <w:rFonts w:hint="eastAsia" w:ascii="宋体" w:hAnsi="宋体"/>
          <w:snapToGrid w:val="0"/>
          <w:color w:val="auto"/>
          <w:kern w:val="0"/>
          <w:szCs w:val="21"/>
          <w:highlight w:val="none"/>
          <w:u w:val="none"/>
          <w:lang w:val="en-US" w:eastAsia="zh-CN"/>
        </w:rPr>
        <w:t xml:space="preserve">       </w:t>
      </w:r>
      <w:r>
        <w:rPr>
          <w:rFonts w:ascii="宋体" w:hAnsi="宋体"/>
          <w:snapToGrid w:val="0"/>
          <w:color w:val="auto"/>
          <w:kern w:val="0"/>
          <w:szCs w:val="21"/>
          <w:highlight w:val="none"/>
        </w:rPr>
        <w:t>地址</w:t>
      </w:r>
      <w:r>
        <w:rPr>
          <w:rFonts w:hint="eastAsia" w:ascii="宋体" w:hAnsi="宋体" w:eastAsia="宋体" w:cs="Times New Roman"/>
          <w:snapToGrid w:val="0"/>
          <w:color w:val="auto"/>
          <w:kern w:val="0"/>
          <w:szCs w:val="21"/>
          <w:highlight w:val="none"/>
          <w:u w:val="none"/>
        </w:rPr>
        <w:t>：</w:t>
      </w:r>
      <w:r>
        <w:rPr>
          <w:rFonts w:hint="eastAsia" w:ascii="宋体" w:hAnsi="宋体" w:eastAsia="宋体" w:cs="Times New Roman"/>
          <w:snapToGrid w:val="0"/>
          <w:color w:val="auto"/>
          <w:kern w:val="0"/>
          <w:szCs w:val="21"/>
          <w:highlight w:val="none"/>
          <w:u w:val="single"/>
        </w:rPr>
        <w:t xml:space="preserve">重庆市南岸区通江大道214号4-9 </w:t>
      </w:r>
      <w:r>
        <w:rPr>
          <w:rFonts w:hint="eastAsia" w:ascii="宋体" w:hAnsi="宋体" w:eastAsia="宋体" w:cs="Times New Roman"/>
          <w:snapToGrid w:val="0"/>
          <w:color w:val="auto"/>
          <w:kern w:val="0"/>
          <w:szCs w:val="21"/>
          <w:highlight w:val="none"/>
          <w:u w:val="single"/>
          <w:lang w:val="en-US" w:eastAsia="zh-CN"/>
        </w:rPr>
        <w:t xml:space="preserve">   </w:t>
      </w:r>
      <w:r>
        <w:rPr>
          <w:rFonts w:hint="eastAsia" w:ascii="宋体" w:hAnsi="宋体" w:eastAsia="宋体" w:cs="Times New Roman"/>
          <w:snapToGrid w:val="0"/>
          <w:color w:val="auto"/>
          <w:kern w:val="0"/>
          <w:szCs w:val="21"/>
          <w:highlight w:val="none"/>
          <w:u w:val="single"/>
        </w:rPr>
        <w:t xml:space="preserve">  </w:t>
      </w:r>
    </w:p>
    <w:p>
      <w:pPr>
        <w:pageBreakBefore w:val="0"/>
        <w:widowControl w:val="0"/>
        <w:tabs>
          <w:tab w:val="left" w:pos="5140"/>
          <w:tab w:val="left" w:pos="8420"/>
        </w:tabs>
        <w:kinsoku/>
        <w:wordWrap/>
        <w:overflowPunct/>
        <w:topLinePunct w:val="0"/>
        <w:autoSpaceDE w:val="0"/>
        <w:autoSpaceDN w:val="0"/>
        <w:bidi w:val="0"/>
        <w:adjustRightInd w:val="0"/>
        <w:snapToGrid w:val="0"/>
        <w:spacing w:line="440" w:lineRule="exact"/>
        <w:jc w:val="left"/>
        <w:textAlignment w:val="auto"/>
        <w:rPr>
          <w:rFonts w:ascii="宋体" w:hAnsi="宋体"/>
          <w:snapToGrid w:val="0"/>
          <w:color w:val="auto"/>
          <w:kern w:val="0"/>
          <w:szCs w:val="21"/>
          <w:highlight w:val="none"/>
        </w:rPr>
      </w:pPr>
      <w:r>
        <w:rPr>
          <w:rFonts w:ascii="宋体" w:hAnsi="宋体"/>
          <w:snapToGrid w:val="0"/>
          <w:color w:val="auto"/>
          <w:kern w:val="0"/>
          <w:szCs w:val="21"/>
          <w:highlight w:val="none"/>
        </w:rPr>
        <w:t>联 系 人：</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 xml:space="preserve">    </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 xml:space="preserve">  </w:t>
      </w:r>
      <w:r>
        <w:rPr>
          <w:rFonts w:hint="eastAsia" w:ascii="宋体" w:hAnsi="宋体"/>
          <w:snapToGrid w:val="0"/>
          <w:color w:val="auto"/>
          <w:kern w:val="0"/>
          <w:szCs w:val="21"/>
          <w:highlight w:val="none"/>
          <w:u w:val="single"/>
        </w:rPr>
        <w:t xml:space="preserve">全老师 </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 xml:space="preserve">  </w:t>
      </w:r>
      <w:r>
        <w:rPr>
          <w:rFonts w:ascii="宋体" w:hAnsi="宋体"/>
          <w:snapToGrid w:val="0"/>
          <w:color w:val="auto"/>
          <w:kern w:val="0"/>
          <w:szCs w:val="21"/>
          <w:highlight w:val="none"/>
          <w:u w:val="single"/>
        </w:rPr>
        <w:t xml:space="preserve">        </w:t>
      </w:r>
      <w:r>
        <w:rPr>
          <w:rFonts w:ascii="宋体" w:hAnsi="宋体"/>
          <w:snapToGrid w:val="0"/>
          <w:color w:val="auto"/>
          <w:kern w:val="0"/>
          <w:szCs w:val="21"/>
          <w:highlight w:val="none"/>
        </w:rPr>
        <w:t xml:space="preserve">  </w:t>
      </w:r>
      <w:r>
        <w:rPr>
          <w:rFonts w:hint="eastAsia" w:ascii="宋体" w:hAnsi="宋体"/>
          <w:snapToGrid w:val="0"/>
          <w:color w:val="auto"/>
          <w:kern w:val="0"/>
          <w:szCs w:val="21"/>
          <w:highlight w:val="none"/>
          <w:lang w:val="en-US" w:eastAsia="zh-CN"/>
        </w:rPr>
        <w:t xml:space="preserve">   </w:t>
      </w:r>
      <w:r>
        <w:rPr>
          <w:rFonts w:ascii="宋体" w:hAnsi="宋体"/>
          <w:snapToGrid w:val="0"/>
          <w:color w:val="auto"/>
          <w:kern w:val="0"/>
          <w:szCs w:val="21"/>
          <w:highlight w:val="none"/>
        </w:rPr>
        <w:t>联 系 人：</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 xml:space="preserve">        朱老师      </w:t>
      </w:r>
      <w:r>
        <w:rPr>
          <w:rFonts w:ascii="宋体" w:hAnsi="宋体"/>
          <w:snapToGrid w:val="0"/>
          <w:color w:val="auto"/>
          <w:kern w:val="0"/>
          <w:szCs w:val="21"/>
          <w:highlight w:val="none"/>
          <w:u w:val="single"/>
        </w:rPr>
        <w:t xml:space="preserve">     </w:t>
      </w:r>
    </w:p>
    <w:p>
      <w:pPr>
        <w:pageBreakBefore w:val="0"/>
        <w:widowControl w:val="0"/>
        <w:tabs>
          <w:tab w:val="left" w:pos="5140"/>
          <w:tab w:val="left" w:pos="8420"/>
        </w:tabs>
        <w:kinsoku/>
        <w:wordWrap/>
        <w:overflowPunct/>
        <w:topLinePunct w:val="0"/>
        <w:autoSpaceDE w:val="0"/>
        <w:autoSpaceDN w:val="0"/>
        <w:bidi w:val="0"/>
        <w:adjustRightInd w:val="0"/>
        <w:snapToGrid w:val="0"/>
        <w:spacing w:line="440" w:lineRule="exact"/>
        <w:jc w:val="left"/>
        <w:textAlignment w:val="auto"/>
        <w:rPr>
          <w:rFonts w:ascii="宋体" w:hAnsi="宋体"/>
          <w:snapToGrid w:val="0"/>
          <w:color w:val="auto"/>
          <w:kern w:val="0"/>
          <w:szCs w:val="21"/>
          <w:highlight w:val="none"/>
          <w:u w:val="single"/>
        </w:rPr>
      </w:pPr>
      <w:r>
        <w:rPr>
          <w:rFonts w:ascii="宋体" w:hAnsi="宋体"/>
          <w:snapToGrid w:val="0"/>
          <w:color w:val="auto"/>
          <w:kern w:val="0"/>
          <w:szCs w:val="21"/>
          <w:highlight w:val="none"/>
        </w:rPr>
        <w:t>电    话：</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 xml:space="preserve">    </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023-62913312  </w:t>
      </w:r>
      <w:r>
        <w:rPr>
          <w:rFonts w:ascii="宋体" w:hAnsi="宋体"/>
          <w:snapToGrid w:val="0"/>
          <w:color w:val="auto"/>
          <w:kern w:val="0"/>
          <w:szCs w:val="21"/>
          <w:highlight w:val="none"/>
          <w:u w:val="single"/>
        </w:rPr>
        <w:t xml:space="preserve">      </w:t>
      </w:r>
      <w:r>
        <w:rPr>
          <w:rFonts w:ascii="宋体" w:hAnsi="宋体"/>
          <w:snapToGrid w:val="0"/>
          <w:color w:val="auto"/>
          <w:kern w:val="0"/>
          <w:szCs w:val="21"/>
          <w:highlight w:val="none"/>
        </w:rPr>
        <w:t xml:space="preserve">     电    话：</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 xml:space="preserve">       023-62466322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u w:val="single"/>
        </w:rPr>
        <w:t xml:space="preserve">      </w:t>
      </w:r>
    </w:p>
    <w:p>
      <w:pPr>
        <w:autoSpaceDE w:val="0"/>
        <w:autoSpaceDN w:val="0"/>
        <w:adjustRightInd w:val="0"/>
        <w:snapToGrid w:val="0"/>
        <w:spacing w:line="440" w:lineRule="exact"/>
        <w:ind w:firstLine="3906" w:firstLineChars="1860"/>
        <w:jc w:val="right"/>
        <w:rPr>
          <w:rFonts w:ascii="宋体" w:hAnsi="宋体"/>
          <w:snapToGrid w:val="0"/>
          <w:color w:val="auto"/>
          <w:kern w:val="0"/>
          <w:sz w:val="20"/>
          <w:szCs w:val="20"/>
          <w:highlight w:val="none"/>
        </w:rPr>
      </w:pP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2023</w:t>
      </w:r>
      <w:r>
        <w:rPr>
          <w:rFonts w:ascii="宋体" w:hAnsi="宋体"/>
          <w:snapToGrid w:val="0"/>
          <w:color w:val="auto"/>
          <w:kern w:val="0"/>
          <w:szCs w:val="21"/>
          <w:highlight w:val="none"/>
          <w:u w:val="single"/>
        </w:rPr>
        <w:t xml:space="preserve"> </w:t>
      </w:r>
      <w:r>
        <w:rPr>
          <w:rFonts w:ascii="宋体" w:hAnsi="宋体"/>
          <w:snapToGrid w:val="0"/>
          <w:color w:val="auto"/>
          <w:kern w:val="0"/>
          <w:szCs w:val="21"/>
          <w:highlight w:val="none"/>
        </w:rPr>
        <w:t>年</w:t>
      </w:r>
      <w:r>
        <w:rPr>
          <w:rFonts w:hint="eastAsia" w:ascii="宋体" w:hAnsi="宋体"/>
          <w:snapToGrid w:val="0"/>
          <w:color w:val="auto"/>
          <w:kern w:val="0"/>
          <w:szCs w:val="21"/>
          <w:highlight w:val="none"/>
          <w:u w:val="single"/>
          <w:lang w:val="en-US" w:eastAsia="zh-CN"/>
        </w:rPr>
        <w:t xml:space="preserve"> 5 </w:t>
      </w:r>
      <w:r>
        <w:rPr>
          <w:rFonts w:ascii="宋体" w:hAnsi="宋体"/>
          <w:snapToGrid w:val="0"/>
          <w:color w:val="auto"/>
          <w:kern w:val="0"/>
          <w:szCs w:val="21"/>
          <w:highlight w:val="none"/>
          <w:u w:val="single"/>
        </w:rPr>
        <w:t xml:space="preserve"> </w:t>
      </w:r>
      <w:r>
        <w:rPr>
          <w:rFonts w:ascii="宋体" w:hAnsi="宋体"/>
          <w:snapToGrid w:val="0"/>
          <w:color w:val="auto"/>
          <w:kern w:val="0"/>
          <w:szCs w:val="21"/>
          <w:highlight w:val="none"/>
        </w:rPr>
        <w:t>月</w:t>
      </w:r>
      <w:r>
        <w:rPr>
          <w:rFonts w:hint="eastAsia" w:ascii="宋体" w:hAnsi="宋体"/>
          <w:snapToGrid w:val="0"/>
          <w:color w:val="auto"/>
          <w:kern w:val="0"/>
          <w:szCs w:val="21"/>
          <w:highlight w:val="none"/>
          <w:u w:val="single"/>
          <w:lang w:val="en-US" w:eastAsia="zh-CN"/>
        </w:rPr>
        <w:t xml:space="preserve"> 26 </w:t>
      </w:r>
      <w:r>
        <w:rPr>
          <w:rFonts w:ascii="宋体" w:hAnsi="宋体"/>
          <w:snapToGrid w:val="0"/>
          <w:color w:val="auto"/>
          <w:kern w:val="0"/>
          <w:szCs w:val="21"/>
          <w:highlight w:val="none"/>
        </w:rPr>
        <w:t>日</w:t>
      </w:r>
      <w:r>
        <w:rPr>
          <w:rFonts w:hint="eastAsia" w:ascii="宋体" w:hAnsi="宋体"/>
          <w:snapToGrid w:val="0"/>
          <w:color w:val="auto"/>
          <w:kern w:val="0"/>
          <w:szCs w:val="21"/>
          <w:highlight w:val="none"/>
        </w:rPr>
        <w:t xml:space="preserve">  </w:t>
      </w:r>
    </w:p>
    <w:p>
      <w:pPr>
        <w:pStyle w:val="3"/>
        <w:spacing w:before="0" w:after="0" w:line="200" w:lineRule="exact"/>
        <w:jc w:val="center"/>
        <w:rPr>
          <w:rFonts w:ascii="宋体" w:hAnsi="宋体"/>
          <w:snapToGrid w:val="0"/>
          <w:color w:val="auto"/>
          <w:kern w:val="0"/>
          <w:szCs w:val="21"/>
          <w:highlight w:val="none"/>
        </w:rPr>
      </w:pPr>
      <w:r>
        <w:rPr>
          <w:rFonts w:ascii="宋体" w:hAnsi="宋体"/>
          <w:snapToGrid w:val="0"/>
          <w:color w:val="auto"/>
          <w:kern w:val="0"/>
          <w:szCs w:val="21"/>
          <w:highlight w:val="none"/>
        </w:rPr>
        <w:br w:type="page"/>
      </w:r>
      <w:bookmarkStart w:id="1148" w:name="_GoBack"/>
      <w:bookmarkEnd w:id="1148"/>
    </w:p>
    <w:p>
      <w:pPr>
        <w:pStyle w:val="3"/>
        <w:spacing w:line="360" w:lineRule="auto"/>
        <w:jc w:val="center"/>
        <w:rPr>
          <w:rFonts w:ascii="宋体" w:hAnsi="宋体"/>
          <w:bCs w:val="0"/>
          <w:snapToGrid w:val="0"/>
          <w:color w:val="auto"/>
          <w:kern w:val="0"/>
          <w:highlight w:val="none"/>
        </w:rPr>
      </w:pPr>
      <w:bookmarkStart w:id="95" w:name="_Toc19811"/>
      <w:r>
        <w:rPr>
          <w:rFonts w:ascii="宋体" w:hAnsi="宋体"/>
          <w:snapToGrid w:val="0"/>
          <w:color w:val="auto"/>
          <w:kern w:val="0"/>
          <w:highlight w:val="none"/>
        </w:rPr>
        <w:t xml:space="preserve">第二章  </w:t>
      </w:r>
      <w:r>
        <w:rPr>
          <w:rFonts w:hint="eastAsia" w:ascii="宋体" w:hAnsi="宋体"/>
          <w:snapToGrid w:val="0"/>
          <w:color w:val="auto"/>
          <w:kern w:val="0"/>
          <w:highlight w:val="none"/>
          <w:lang w:eastAsia="zh-CN"/>
        </w:rPr>
        <w:t>竞选人</w:t>
      </w:r>
      <w:r>
        <w:rPr>
          <w:rFonts w:ascii="宋体" w:hAnsi="宋体"/>
          <w:snapToGrid w:val="0"/>
          <w:color w:val="auto"/>
          <w:kern w:val="0"/>
          <w:highlight w:val="none"/>
        </w:rPr>
        <w:t>须知</w:t>
      </w:r>
      <w:bookmarkEnd w:id="90"/>
      <w:bookmarkEnd w:id="91"/>
      <w:bookmarkEnd w:id="92"/>
      <w:bookmarkEnd w:id="93"/>
      <w:bookmarkEnd w:id="94"/>
      <w:bookmarkEnd w:id="95"/>
      <w:bookmarkStart w:id="96" w:name="_Toc287620684"/>
      <w:bookmarkStart w:id="97" w:name="_Toc287607745"/>
      <w:bookmarkStart w:id="98" w:name="_Toc430530433"/>
      <w:bookmarkStart w:id="99" w:name="_Toc224103316"/>
      <w:bookmarkStart w:id="100" w:name="_Toc277082551"/>
    </w:p>
    <w:p>
      <w:pPr>
        <w:pStyle w:val="4"/>
        <w:spacing w:before="100" w:after="100" w:line="360" w:lineRule="auto"/>
        <w:rPr>
          <w:rFonts w:ascii="宋体" w:hAnsi="宋体"/>
          <w:color w:val="auto"/>
          <w:highlight w:val="none"/>
        </w:rPr>
      </w:pPr>
      <w:bookmarkStart w:id="101" w:name="_Toc18347"/>
      <w:bookmarkStart w:id="102" w:name="_Toc8005"/>
      <w:bookmarkStart w:id="103" w:name="_Toc509218708"/>
      <w:r>
        <w:rPr>
          <w:rFonts w:hint="eastAsia" w:ascii="宋体" w:hAnsi="宋体"/>
          <w:color w:val="auto"/>
          <w:highlight w:val="none"/>
          <w:lang w:eastAsia="zh-CN"/>
        </w:rPr>
        <w:t>竞选人</w:t>
      </w:r>
      <w:r>
        <w:rPr>
          <w:rFonts w:hint="eastAsia" w:ascii="宋体" w:hAnsi="宋体"/>
          <w:color w:val="auto"/>
          <w:highlight w:val="none"/>
        </w:rPr>
        <w:t>须知前附表</w:t>
      </w:r>
      <w:bookmarkEnd w:id="96"/>
      <w:bookmarkEnd w:id="97"/>
      <w:bookmarkEnd w:id="98"/>
      <w:bookmarkEnd w:id="99"/>
      <w:bookmarkEnd w:id="100"/>
      <w:bookmarkEnd w:id="101"/>
      <w:bookmarkEnd w:id="102"/>
      <w:bookmarkEnd w:id="103"/>
    </w:p>
    <w:p>
      <w:pPr>
        <w:spacing w:line="360" w:lineRule="auto"/>
        <w:ind w:firstLine="420" w:firstLineChars="200"/>
        <w:rPr>
          <w:rFonts w:ascii="宋体" w:hAnsi="宋体"/>
          <w:color w:val="auto"/>
          <w:szCs w:val="21"/>
          <w:highlight w:val="none"/>
        </w:rPr>
      </w:pPr>
      <w:r>
        <w:rPr>
          <w:rFonts w:ascii="宋体" w:hAnsi="宋体"/>
          <w:color w:val="auto"/>
          <w:szCs w:val="21"/>
          <w:highlight w:val="none"/>
        </w:rPr>
        <w:t>正文内容不允许修改。若</w:t>
      </w:r>
      <w:r>
        <w:rPr>
          <w:rFonts w:hint="eastAsia" w:ascii="宋体" w:hAnsi="宋体"/>
          <w:color w:val="auto"/>
          <w:szCs w:val="21"/>
          <w:highlight w:val="none"/>
          <w:lang w:eastAsia="zh-CN"/>
        </w:rPr>
        <w:t>竞选人</w:t>
      </w:r>
      <w:r>
        <w:rPr>
          <w:rFonts w:ascii="宋体" w:hAnsi="宋体"/>
          <w:color w:val="auto"/>
          <w:szCs w:val="21"/>
          <w:highlight w:val="none"/>
        </w:rPr>
        <w:t>须知前附表与正文不一致的地方，以</w:t>
      </w:r>
      <w:r>
        <w:rPr>
          <w:rFonts w:hint="eastAsia" w:ascii="宋体" w:hAnsi="宋体"/>
          <w:color w:val="auto"/>
          <w:szCs w:val="21"/>
          <w:highlight w:val="none"/>
          <w:lang w:eastAsia="zh-CN"/>
        </w:rPr>
        <w:t>竞选人</w:t>
      </w:r>
      <w:r>
        <w:rPr>
          <w:rFonts w:ascii="宋体" w:hAnsi="宋体"/>
          <w:color w:val="auto"/>
          <w:szCs w:val="21"/>
          <w:highlight w:val="none"/>
        </w:rPr>
        <w:t>须知前附表为准。</w:t>
      </w:r>
    </w:p>
    <w:tbl>
      <w:tblPr>
        <w:tblStyle w:val="45"/>
        <w:tblW w:w="946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335"/>
        <w:gridCol w:w="1644"/>
        <w:gridCol w:w="649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1335" w:type="dxa"/>
            <w:vAlign w:val="center"/>
          </w:tcPr>
          <w:p>
            <w:pPr>
              <w:snapToGrid w:val="0"/>
              <w:spacing w:line="400" w:lineRule="exact"/>
              <w:jc w:val="center"/>
              <w:rPr>
                <w:rFonts w:ascii="宋体" w:hAnsi="宋体"/>
                <w:b/>
                <w:color w:val="auto"/>
                <w:kern w:val="0"/>
                <w:szCs w:val="21"/>
                <w:highlight w:val="none"/>
              </w:rPr>
            </w:pPr>
            <w:r>
              <w:rPr>
                <w:rFonts w:ascii="宋体" w:hAnsi="宋体"/>
                <w:b/>
                <w:color w:val="auto"/>
                <w:kern w:val="0"/>
                <w:szCs w:val="21"/>
                <w:highlight w:val="none"/>
              </w:rPr>
              <w:t>条 款 号</w:t>
            </w:r>
          </w:p>
        </w:tc>
        <w:tc>
          <w:tcPr>
            <w:tcW w:w="1644" w:type="dxa"/>
            <w:vAlign w:val="center"/>
          </w:tcPr>
          <w:p>
            <w:pPr>
              <w:snapToGrid w:val="0"/>
              <w:spacing w:line="400" w:lineRule="exact"/>
              <w:jc w:val="center"/>
              <w:rPr>
                <w:rFonts w:ascii="宋体" w:hAnsi="宋体"/>
                <w:b/>
                <w:color w:val="auto"/>
                <w:kern w:val="0"/>
                <w:szCs w:val="21"/>
                <w:highlight w:val="none"/>
              </w:rPr>
            </w:pPr>
            <w:r>
              <w:rPr>
                <w:rFonts w:ascii="宋体" w:hAnsi="宋体"/>
                <w:b/>
                <w:color w:val="auto"/>
                <w:kern w:val="0"/>
                <w:szCs w:val="21"/>
                <w:highlight w:val="none"/>
              </w:rPr>
              <w:t>条款名称</w:t>
            </w:r>
          </w:p>
        </w:tc>
        <w:tc>
          <w:tcPr>
            <w:tcW w:w="6490" w:type="dxa"/>
            <w:vAlign w:val="center"/>
          </w:tcPr>
          <w:p>
            <w:pPr>
              <w:snapToGrid w:val="0"/>
              <w:spacing w:line="400" w:lineRule="exact"/>
              <w:jc w:val="center"/>
              <w:rPr>
                <w:rFonts w:ascii="宋体" w:hAnsi="宋体"/>
                <w:b/>
                <w:color w:val="auto"/>
                <w:kern w:val="0"/>
                <w:szCs w:val="21"/>
                <w:highlight w:val="none"/>
              </w:rPr>
            </w:pPr>
            <w:r>
              <w:rPr>
                <w:rFonts w:ascii="宋体" w:hAnsi="宋体"/>
                <w:b/>
                <w:color w:val="auto"/>
                <w:kern w:val="0"/>
                <w:szCs w:val="21"/>
                <w:highlight w:val="none"/>
              </w:rPr>
              <w:t>编  列  内  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1.1.2</w:t>
            </w:r>
          </w:p>
        </w:tc>
        <w:tc>
          <w:tcPr>
            <w:tcW w:w="1644" w:type="dxa"/>
            <w:vAlign w:val="center"/>
          </w:tcPr>
          <w:p>
            <w:pPr>
              <w:snapToGrid w:val="0"/>
              <w:spacing w:line="400" w:lineRule="exact"/>
              <w:jc w:val="center"/>
              <w:rPr>
                <w:rFonts w:hint="eastAsia" w:ascii="宋体" w:hAnsi="宋体" w:eastAsia="宋体"/>
                <w:color w:val="auto"/>
                <w:kern w:val="0"/>
                <w:szCs w:val="21"/>
                <w:highlight w:val="none"/>
                <w:lang w:eastAsia="zh-CN"/>
              </w:rPr>
            </w:pPr>
            <w:r>
              <w:rPr>
                <w:rFonts w:hint="eastAsia" w:ascii="宋体" w:hAnsi="宋体"/>
                <w:color w:val="auto"/>
                <w:kern w:val="0"/>
                <w:szCs w:val="21"/>
                <w:highlight w:val="none"/>
                <w:lang w:eastAsia="zh-CN"/>
              </w:rPr>
              <w:t>比选人</w:t>
            </w:r>
          </w:p>
        </w:tc>
        <w:tc>
          <w:tcPr>
            <w:tcW w:w="6490" w:type="dxa"/>
            <w:vAlign w:val="center"/>
          </w:tcPr>
          <w:p>
            <w:pPr>
              <w:tabs>
                <w:tab w:val="left" w:pos="8420"/>
              </w:tabs>
              <w:snapToGrid w:val="0"/>
              <w:spacing w:line="400" w:lineRule="exact"/>
              <w:rPr>
                <w:rFonts w:hint="eastAsia" w:ascii="宋体" w:hAnsi="宋体"/>
                <w:color w:val="auto"/>
                <w:kern w:val="0"/>
                <w:szCs w:val="21"/>
                <w:highlight w:val="none"/>
                <w:u w:val="none"/>
              </w:rPr>
            </w:pPr>
            <w:r>
              <w:rPr>
                <w:rFonts w:hint="eastAsia" w:ascii="宋体" w:hAnsi="宋体"/>
                <w:color w:val="auto"/>
                <w:kern w:val="0"/>
                <w:szCs w:val="21"/>
                <w:highlight w:val="none"/>
                <w:u w:val="none"/>
              </w:rPr>
              <w:t>名称：重庆广阳岛生态城置地有限公司</w:t>
            </w:r>
          </w:p>
          <w:p>
            <w:pPr>
              <w:tabs>
                <w:tab w:val="left" w:pos="8420"/>
              </w:tabs>
              <w:snapToGrid w:val="0"/>
              <w:spacing w:line="400" w:lineRule="exact"/>
              <w:rPr>
                <w:rFonts w:ascii="宋体" w:hAnsi="宋体"/>
                <w:color w:val="auto"/>
                <w:kern w:val="0"/>
                <w:szCs w:val="21"/>
                <w:highlight w:val="none"/>
                <w:u w:val="none"/>
              </w:rPr>
            </w:pPr>
            <w:r>
              <w:rPr>
                <w:rFonts w:hint="eastAsia" w:ascii="宋体" w:hAnsi="宋体"/>
                <w:color w:val="auto"/>
                <w:kern w:val="0"/>
                <w:szCs w:val="21"/>
                <w:highlight w:val="none"/>
                <w:u w:val="none"/>
              </w:rPr>
              <w:t>地址：重庆市南岸区富源大道42号4-168号</w:t>
            </w:r>
          </w:p>
          <w:p>
            <w:pPr>
              <w:tabs>
                <w:tab w:val="left" w:pos="8420"/>
              </w:tabs>
              <w:snapToGrid w:val="0"/>
              <w:spacing w:line="400" w:lineRule="exact"/>
              <w:rPr>
                <w:rFonts w:ascii="宋体" w:hAnsi="宋体"/>
                <w:color w:val="auto"/>
                <w:kern w:val="0"/>
                <w:szCs w:val="21"/>
                <w:highlight w:val="none"/>
                <w:u w:val="none"/>
              </w:rPr>
            </w:pPr>
            <w:r>
              <w:rPr>
                <w:rFonts w:hint="eastAsia" w:ascii="宋体" w:hAnsi="宋体"/>
                <w:color w:val="auto"/>
                <w:kern w:val="0"/>
                <w:szCs w:val="21"/>
                <w:highlight w:val="none"/>
                <w:u w:val="none"/>
              </w:rPr>
              <w:t>联系人：全老师</w:t>
            </w:r>
          </w:p>
          <w:p>
            <w:pPr>
              <w:snapToGrid w:val="0"/>
              <w:spacing w:line="400" w:lineRule="exact"/>
              <w:rPr>
                <w:rFonts w:ascii="宋体" w:hAnsi="宋体"/>
                <w:color w:val="auto"/>
                <w:kern w:val="0"/>
                <w:szCs w:val="21"/>
                <w:highlight w:val="none"/>
              </w:rPr>
            </w:pPr>
            <w:r>
              <w:rPr>
                <w:rFonts w:hint="eastAsia" w:ascii="宋体" w:hAnsi="宋体"/>
                <w:color w:val="auto"/>
                <w:kern w:val="0"/>
                <w:szCs w:val="21"/>
                <w:highlight w:val="none"/>
                <w:u w:val="none"/>
              </w:rPr>
              <w:t>电话：023-62913312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1.1.3</w:t>
            </w:r>
          </w:p>
        </w:tc>
        <w:tc>
          <w:tcPr>
            <w:tcW w:w="1644" w:type="dxa"/>
            <w:vAlign w:val="center"/>
          </w:tcPr>
          <w:p>
            <w:pPr>
              <w:snapToGrid w:val="0"/>
              <w:spacing w:line="400" w:lineRule="exact"/>
              <w:jc w:val="center"/>
              <w:rPr>
                <w:rFonts w:hint="eastAsia" w:ascii="宋体" w:hAnsi="宋体" w:eastAsia="宋体"/>
                <w:color w:val="auto"/>
                <w:kern w:val="0"/>
                <w:szCs w:val="21"/>
                <w:highlight w:val="none"/>
                <w:lang w:eastAsia="zh-CN"/>
              </w:rPr>
            </w:pPr>
            <w:r>
              <w:rPr>
                <w:rFonts w:hint="eastAsia" w:ascii="宋体" w:hAnsi="宋体"/>
                <w:color w:val="auto"/>
                <w:kern w:val="0"/>
                <w:szCs w:val="21"/>
                <w:highlight w:val="none"/>
                <w:lang w:eastAsia="zh-CN"/>
              </w:rPr>
              <w:t>比选代理机构</w:t>
            </w:r>
          </w:p>
        </w:tc>
        <w:tc>
          <w:tcPr>
            <w:tcW w:w="6490" w:type="dxa"/>
            <w:vAlign w:val="center"/>
          </w:tcPr>
          <w:p>
            <w:pPr>
              <w:snapToGrid w:val="0"/>
              <w:spacing w:line="400" w:lineRule="exact"/>
              <w:rPr>
                <w:rFonts w:ascii="宋体" w:hAnsi="宋体"/>
                <w:color w:val="auto"/>
                <w:kern w:val="0"/>
                <w:szCs w:val="21"/>
                <w:highlight w:val="none"/>
              </w:rPr>
            </w:pPr>
            <w:r>
              <w:rPr>
                <w:rFonts w:ascii="宋体" w:hAnsi="宋体"/>
                <w:color w:val="auto"/>
                <w:kern w:val="0"/>
                <w:szCs w:val="21"/>
                <w:highlight w:val="none"/>
              </w:rPr>
              <w:t>名称：</w:t>
            </w:r>
            <w:r>
              <w:rPr>
                <w:rFonts w:hint="eastAsia" w:ascii="宋体" w:hAnsi="宋体"/>
                <w:color w:val="auto"/>
                <w:kern w:val="0"/>
                <w:szCs w:val="21"/>
                <w:highlight w:val="none"/>
              </w:rPr>
              <w:t xml:space="preserve">重庆得皓工程项目管理咨询有限公司  </w:t>
            </w:r>
          </w:p>
          <w:p>
            <w:pPr>
              <w:snapToGrid w:val="0"/>
              <w:spacing w:line="400" w:lineRule="exact"/>
              <w:rPr>
                <w:rFonts w:ascii="宋体" w:hAnsi="宋体"/>
                <w:color w:val="auto"/>
                <w:kern w:val="0"/>
                <w:szCs w:val="21"/>
                <w:highlight w:val="none"/>
              </w:rPr>
            </w:pPr>
            <w:r>
              <w:rPr>
                <w:rFonts w:ascii="宋体" w:hAnsi="宋体"/>
                <w:color w:val="auto"/>
                <w:kern w:val="0"/>
                <w:szCs w:val="21"/>
                <w:highlight w:val="none"/>
              </w:rPr>
              <w:t>地址：</w:t>
            </w:r>
            <w:r>
              <w:rPr>
                <w:rFonts w:hint="default" w:ascii="宋体" w:hAnsi="宋体"/>
                <w:color w:val="auto"/>
                <w:kern w:val="0"/>
                <w:szCs w:val="21"/>
                <w:highlight w:val="none"/>
              </w:rPr>
              <w:t>重庆市南岸区通江大道214号4-9</w:t>
            </w:r>
          </w:p>
          <w:p>
            <w:pPr>
              <w:snapToGrid w:val="0"/>
              <w:spacing w:line="400" w:lineRule="exact"/>
              <w:rPr>
                <w:rFonts w:hint="eastAsia" w:ascii="宋体" w:hAnsi="宋体" w:eastAsia="宋体"/>
                <w:color w:val="auto"/>
                <w:kern w:val="0"/>
                <w:szCs w:val="21"/>
                <w:highlight w:val="none"/>
                <w:lang w:val="en-US" w:eastAsia="zh-CN"/>
              </w:rPr>
            </w:pPr>
            <w:r>
              <w:rPr>
                <w:rFonts w:ascii="宋体" w:hAnsi="宋体"/>
                <w:color w:val="auto"/>
                <w:kern w:val="0"/>
                <w:szCs w:val="21"/>
                <w:highlight w:val="none"/>
              </w:rPr>
              <w:t>联系人：</w:t>
            </w:r>
            <w:r>
              <w:rPr>
                <w:rFonts w:hint="eastAsia" w:ascii="宋体" w:hAnsi="宋体"/>
                <w:color w:val="auto"/>
                <w:kern w:val="0"/>
                <w:szCs w:val="21"/>
                <w:highlight w:val="none"/>
                <w:lang w:val="en-US" w:eastAsia="zh-CN"/>
              </w:rPr>
              <w:t>朱老师</w:t>
            </w:r>
          </w:p>
          <w:p>
            <w:pPr>
              <w:snapToGrid w:val="0"/>
              <w:spacing w:line="400" w:lineRule="exact"/>
              <w:rPr>
                <w:rFonts w:ascii="宋体" w:hAnsi="宋体"/>
                <w:color w:val="auto"/>
                <w:kern w:val="0"/>
                <w:szCs w:val="21"/>
                <w:highlight w:val="none"/>
              </w:rPr>
            </w:pPr>
            <w:r>
              <w:rPr>
                <w:rFonts w:ascii="宋体" w:hAnsi="宋体"/>
                <w:color w:val="auto"/>
                <w:kern w:val="0"/>
                <w:szCs w:val="21"/>
                <w:highlight w:val="none"/>
              </w:rPr>
              <w:t>电话：</w:t>
            </w:r>
            <w:r>
              <w:rPr>
                <w:rFonts w:hint="eastAsia" w:ascii="宋体" w:hAnsi="宋体"/>
                <w:color w:val="auto"/>
                <w:kern w:val="0"/>
                <w:szCs w:val="21"/>
                <w:highlight w:val="none"/>
              </w:rPr>
              <w:t xml:space="preserve">023-62466322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1.1.4</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项目名称</w:t>
            </w:r>
          </w:p>
        </w:tc>
        <w:tc>
          <w:tcPr>
            <w:tcW w:w="6490" w:type="dxa"/>
            <w:vAlign w:val="center"/>
          </w:tcPr>
          <w:p>
            <w:pPr>
              <w:snapToGrid w:val="0"/>
              <w:spacing w:line="400" w:lineRule="exact"/>
              <w:jc w:val="left"/>
              <w:rPr>
                <w:rFonts w:hint="eastAsia" w:ascii="宋体" w:hAnsi="宋体" w:eastAsia="宋体"/>
                <w:color w:val="auto"/>
                <w:szCs w:val="21"/>
                <w:highlight w:val="none"/>
                <w:lang w:eastAsia="zh-CN"/>
              </w:rPr>
            </w:pPr>
            <w:r>
              <w:rPr>
                <w:rFonts w:hint="eastAsia" w:ascii="宋体" w:hAnsi="宋体"/>
                <w:color w:val="auto"/>
                <w:szCs w:val="21"/>
                <w:highlight w:val="none"/>
                <w:lang w:eastAsia="zh-CN"/>
              </w:rPr>
              <w:t xml:space="preserve">江南春城-阳光水岸、江南春城-水木兰亭、广滨壹号-江枫苑项目土石方工程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1.1.5</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建设地点</w:t>
            </w:r>
          </w:p>
        </w:tc>
        <w:tc>
          <w:tcPr>
            <w:tcW w:w="6490" w:type="dxa"/>
            <w:vAlign w:val="center"/>
          </w:tcPr>
          <w:p>
            <w:pPr>
              <w:snapToGrid w:val="0"/>
              <w:spacing w:line="400" w:lineRule="exact"/>
              <w:jc w:val="left"/>
              <w:rPr>
                <w:rFonts w:ascii="宋体" w:hAnsi="宋体"/>
                <w:color w:val="auto"/>
                <w:szCs w:val="21"/>
                <w:highlight w:val="none"/>
              </w:rPr>
            </w:pPr>
            <w:r>
              <w:rPr>
                <w:rFonts w:hint="eastAsia" w:ascii="宋体" w:hAnsi="宋体" w:eastAsia="宋体" w:cs="Times New Roman"/>
                <w:color w:val="auto"/>
                <w:szCs w:val="21"/>
                <w:highlight w:val="none"/>
              </w:rPr>
              <w:t>南岸区茶园组团B分区、L分区、E分区。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1.1.6</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建设规模</w:t>
            </w:r>
          </w:p>
        </w:tc>
        <w:tc>
          <w:tcPr>
            <w:tcW w:w="6490" w:type="dxa"/>
            <w:vAlign w:val="center"/>
          </w:tcPr>
          <w:p>
            <w:pPr>
              <w:snapToGrid w:val="0"/>
              <w:spacing w:line="400" w:lineRule="exact"/>
              <w:ind w:firstLine="420" w:firstLineChars="200"/>
              <w:jc w:val="left"/>
              <w:rPr>
                <w:rFonts w:hint="eastAsia" w:ascii="宋体" w:hAnsi="宋体" w:eastAsia="宋体" w:cs="Times New Roman"/>
                <w:color w:val="auto"/>
                <w:szCs w:val="21"/>
                <w:highlight w:val="none"/>
              </w:rPr>
            </w:pPr>
            <w:r>
              <w:rPr>
                <w:rFonts w:hint="eastAsia" w:ascii="宋体" w:hAnsi="宋体" w:eastAsia="宋体" w:cs="Times New Roman"/>
                <w:color w:val="auto"/>
                <w:szCs w:val="21"/>
                <w:highlight w:val="none"/>
              </w:rPr>
              <w:t>(1)江南春城-阳光水岸项目位于南岸区茶园组团B分区 B01-20-2/01、B01-24/01、B01-27/01、B01-28/01、B01-32/01、B01-37-1/01、B02-39-1/01 地块，总用地面积225807 平方米。</w:t>
            </w:r>
          </w:p>
          <w:p>
            <w:pPr>
              <w:snapToGrid w:val="0"/>
              <w:spacing w:line="400" w:lineRule="exact"/>
              <w:ind w:firstLine="420" w:firstLineChars="200"/>
              <w:jc w:val="left"/>
              <w:rPr>
                <w:rFonts w:hint="eastAsia" w:ascii="宋体" w:hAnsi="宋体" w:eastAsia="宋体" w:cs="Times New Roman"/>
                <w:color w:val="auto"/>
                <w:szCs w:val="21"/>
                <w:highlight w:val="none"/>
              </w:rPr>
            </w:pPr>
            <w:r>
              <w:rPr>
                <w:rFonts w:hint="eastAsia" w:ascii="宋体" w:hAnsi="宋体" w:eastAsia="宋体" w:cs="Times New Roman"/>
                <w:color w:val="auto"/>
                <w:szCs w:val="21"/>
                <w:highlight w:val="none"/>
              </w:rPr>
              <w:t>(2)江南春城-水木兰亭项目位于南岸区茶园组团L分区L01-18-1/01、L01-17/01地块，建设内容及规模：总用地面积48922平方米。</w:t>
            </w:r>
          </w:p>
          <w:p>
            <w:pPr>
              <w:tabs>
                <w:tab w:val="left" w:pos="3840"/>
                <w:tab w:val="left" w:pos="5300"/>
              </w:tabs>
              <w:autoSpaceDE w:val="0"/>
              <w:autoSpaceDN w:val="0"/>
              <w:adjustRightInd w:val="0"/>
              <w:snapToGrid w:val="0"/>
              <w:spacing w:line="460" w:lineRule="exact"/>
              <w:ind w:firstLine="420" w:firstLineChars="200"/>
              <w:jc w:val="left"/>
              <w:rPr>
                <w:rFonts w:ascii="宋体" w:hAnsi="宋体"/>
                <w:i/>
                <w:snapToGrid w:val="0"/>
                <w:color w:val="auto"/>
                <w:kern w:val="0"/>
                <w:szCs w:val="21"/>
                <w:highlight w:val="none"/>
              </w:rPr>
            </w:pPr>
            <w:r>
              <w:rPr>
                <w:rFonts w:hint="eastAsia" w:ascii="宋体" w:hAnsi="宋体" w:eastAsia="宋体" w:cs="Times New Roman"/>
                <w:color w:val="auto"/>
                <w:szCs w:val="21"/>
                <w:highlight w:val="none"/>
              </w:rPr>
              <w:t>(3)广滨壹号- 江枫苑项目位于南岸区茶园组团E分区E01-25-1/01、E01-26-1/01地块，建设内容及规模：总用地面积142651平方米。</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1.2.1</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资金来源</w:t>
            </w:r>
          </w:p>
        </w:tc>
        <w:tc>
          <w:tcPr>
            <w:tcW w:w="6490" w:type="dxa"/>
            <w:vAlign w:val="center"/>
          </w:tcPr>
          <w:p>
            <w:pPr>
              <w:snapToGrid w:val="0"/>
              <w:spacing w:line="400" w:lineRule="exact"/>
              <w:ind w:firstLine="420" w:firstLineChars="200"/>
              <w:rPr>
                <w:rFonts w:ascii="宋体" w:hAnsi="宋体"/>
                <w:color w:val="auto"/>
                <w:szCs w:val="21"/>
                <w:highlight w:val="none"/>
              </w:rPr>
            </w:pP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业主自筹</w:t>
            </w:r>
            <w:r>
              <w:rPr>
                <w:rFonts w:hint="eastAsia" w:ascii="宋体" w:hAnsi="宋体"/>
                <w:snapToGrid w:val="0"/>
                <w:color w:val="auto"/>
                <w:kern w:val="0"/>
                <w:szCs w:val="21"/>
                <w:highlight w:val="none"/>
                <w:u w:val="single"/>
              </w:rPr>
              <w:t xml:space="preserve">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1.2.2</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出资比例</w:t>
            </w:r>
          </w:p>
        </w:tc>
        <w:tc>
          <w:tcPr>
            <w:tcW w:w="6490" w:type="dxa"/>
            <w:vAlign w:val="center"/>
          </w:tcPr>
          <w:p>
            <w:pPr>
              <w:snapToGrid w:val="0"/>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u w:val="single"/>
              </w:rPr>
              <w:t>100%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1.2.3</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资金落实情况</w:t>
            </w:r>
          </w:p>
        </w:tc>
        <w:tc>
          <w:tcPr>
            <w:tcW w:w="6490" w:type="dxa"/>
            <w:vAlign w:val="center"/>
          </w:tcPr>
          <w:p>
            <w:pPr>
              <w:snapToGrid w:val="0"/>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u w:val="single"/>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rPr>
              <w:t>1.3.1</w:t>
            </w:r>
          </w:p>
        </w:tc>
        <w:tc>
          <w:tcPr>
            <w:tcW w:w="1644" w:type="dxa"/>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lang w:val="en-US" w:eastAsia="zh-CN"/>
              </w:rPr>
              <w:t>比选</w:t>
            </w:r>
            <w:r>
              <w:rPr>
                <w:rFonts w:ascii="宋体" w:hAnsi="宋体"/>
                <w:color w:val="auto"/>
                <w:kern w:val="0"/>
                <w:szCs w:val="21"/>
                <w:highlight w:val="none"/>
              </w:rPr>
              <w:t>范围</w:t>
            </w:r>
          </w:p>
        </w:tc>
        <w:tc>
          <w:tcPr>
            <w:tcW w:w="6490" w:type="dxa"/>
            <w:vAlign w:val="center"/>
          </w:tcPr>
          <w:p>
            <w:pPr>
              <w:tabs>
                <w:tab w:val="left" w:pos="3840"/>
                <w:tab w:val="left" w:pos="5300"/>
              </w:tabs>
              <w:autoSpaceDE w:val="0"/>
              <w:autoSpaceDN w:val="0"/>
              <w:adjustRightInd w:val="0"/>
              <w:snapToGrid w:val="0"/>
              <w:spacing w:line="460" w:lineRule="exact"/>
              <w:ind w:firstLine="420" w:firstLineChars="200"/>
              <w:jc w:val="left"/>
              <w:rPr>
                <w:rFonts w:ascii="宋体" w:hAnsi="宋体"/>
                <w:i/>
                <w:color w:val="auto"/>
                <w:szCs w:val="21"/>
                <w:highlight w:val="none"/>
                <w:u w:val="none"/>
              </w:rPr>
            </w:pPr>
            <w:r>
              <w:rPr>
                <w:rFonts w:hint="eastAsia" w:ascii="宋体" w:hAnsi="宋体"/>
                <w:snapToGrid w:val="0"/>
                <w:color w:val="auto"/>
                <w:kern w:val="0"/>
                <w:szCs w:val="21"/>
                <w:highlight w:val="none"/>
                <w:u w:val="none"/>
              </w:rPr>
              <w:t>以本工程</w:t>
            </w:r>
            <w:r>
              <w:rPr>
                <w:rFonts w:hint="eastAsia" w:ascii="宋体" w:hAnsi="宋体"/>
                <w:snapToGrid w:val="0"/>
                <w:color w:val="auto"/>
                <w:kern w:val="0"/>
                <w:szCs w:val="21"/>
                <w:highlight w:val="none"/>
                <w:u w:val="none"/>
                <w:lang w:val="en-US" w:eastAsia="zh-CN"/>
              </w:rPr>
              <w:t>比选人</w:t>
            </w:r>
            <w:r>
              <w:rPr>
                <w:rFonts w:hint="eastAsia" w:ascii="宋体" w:hAnsi="宋体"/>
                <w:snapToGrid w:val="0"/>
                <w:color w:val="auto"/>
                <w:kern w:val="0"/>
                <w:szCs w:val="21"/>
                <w:highlight w:val="none"/>
                <w:u w:val="none"/>
              </w:rPr>
              <w:t>发布的施工图、工程量清单为准，若施工图与工程量清单有不一致的地方，以工程量清单为准。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1.3.2</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计划工期</w:t>
            </w:r>
          </w:p>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rPr>
              <w:t>缺陷责任期</w:t>
            </w:r>
          </w:p>
        </w:tc>
        <w:tc>
          <w:tcPr>
            <w:tcW w:w="6490" w:type="dxa"/>
            <w:vAlign w:val="center"/>
          </w:tcPr>
          <w:p>
            <w:pPr>
              <w:snapToGrid w:val="0"/>
              <w:spacing w:line="400" w:lineRule="exact"/>
              <w:rPr>
                <w:rFonts w:ascii="宋体" w:hAnsi="宋体"/>
                <w:snapToGrid w:val="0"/>
                <w:color w:val="auto"/>
                <w:kern w:val="0"/>
                <w:szCs w:val="21"/>
                <w:highlight w:val="none"/>
                <w:u w:val="none"/>
              </w:rPr>
            </w:pPr>
            <w:r>
              <w:rPr>
                <w:rFonts w:hint="eastAsia" w:ascii="宋体" w:hAnsi="宋体"/>
                <w:color w:val="auto"/>
                <w:kern w:val="0"/>
                <w:szCs w:val="21"/>
                <w:highlight w:val="none"/>
                <w:u w:val="none"/>
              </w:rPr>
              <w:t>工期：</w:t>
            </w:r>
            <w:r>
              <w:rPr>
                <w:rFonts w:hint="eastAsia" w:ascii="宋体" w:hAnsi="宋体"/>
                <w:snapToGrid w:val="0"/>
                <w:color w:val="auto"/>
                <w:kern w:val="0"/>
                <w:szCs w:val="21"/>
                <w:highlight w:val="none"/>
                <w:u w:val="none"/>
                <w:lang w:eastAsia="zh-CN"/>
              </w:rPr>
              <w:t>江南春城-阳光水岸、江南春城-水木兰亭、广滨壹号-江枫苑项目工期都分别为60日历天（从中标通知书发出之日起算）实际竣工日期以工程竣工验收合格之日为准。</w:t>
            </w:r>
          </w:p>
          <w:p>
            <w:pPr>
              <w:snapToGrid w:val="0"/>
              <w:spacing w:line="400" w:lineRule="exact"/>
              <w:rPr>
                <w:rFonts w:ascii="宋体" w:hAnsi="宋体"/>
                <w:color w:val="auto"/>
                <w:kern w:val="0"/>
                <w:szCs w:val="21"/>
                <w:highlight w:val="none"/>
                <w:u w:val="none"/>
              </w:rPr>
            </w:pPr>
            <w:r>
              <w:rPr>
                <w:rFonts w:hint="eastAsia" w:ascii="宋体" w:hAnsi="宋体"/>
                <w:color w:val="auto"/>
                <w:kern w:val="0"/>
                <w:szCs w:val="21"/>
                <w:highlight w:val="none"/>
                <w:u w:val="none"/>
              </w:rPr>
              <w:t>缺陷责任期：</w:t>
            </w:r>
            <w:r>
              <w:rPr>
                <w:rFonts w:hint="eastAsia" w:ascii="宋体" w:hAnsi="宋体"/>
                <w:snapToGrid w:val="0"/>
                <w:color w:val="auto"/>
                <w:kern w:val="0"/>
                <w:szCs w:val="21"/>
                <w:highlight w:val="none"/>
                <w:u w:val="none"/>
              </w:rPr>
              <w:t xml:space="preserve"> </w:t>
            </w:r>
            <w:r>
              <w:rPr>
                <w:rFonts w:hint="eastAsia" w:ascii="宋体" w:hAnsi="宋体"/>
                <w:snapToGrid w:val="0"/>
                <w:color w:val="auto"/>
                <w:kern w:val="0"/>
                <w:szCs w:val="21"/>
                <w:highlight w:val="none"/>
                <w:u w:val="none"/>
                <w:lang w:val="en-US" w:eastAsia="zh-CN"/>
              </w:rPr>
              <w:t>24</w:t>
            </w:r>
            <w:r>
              <w:rPr>
                <w:rFonts w:hint="eastAsia" w:ascii="宋体" w:hAnsi="宋体"/>
                <w:snapToGrid w:val="0"/>
                <w:color w:val="auto"/>
                <w:kern w:val="0"/>
                <w:szCs w:val="21"/>
                <w:highlight w:val="none"/>
                <w:u w:val="none"/>
              </w:rPr>
              <w:t>个月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1.3.3</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质量要求</w:t>
            </w:r>
          </w:p>
        </w:tc>
        <w:tc>
          <w:tcPr>
            <w:tcW w:w="6490" w:type="dxa"/>
            <w:vAlign w:val="center"/>
          </w:tcPr>
          <w:p>
            <w:pPr>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符合强制性质量标准，</w:t>
            </w:r>
            <w:r>
              <w:rPr>
                <w:rFonts w:hint="eastAsia" w:ascii="宋体" w:hAnsi="宋体"/>
                <w:color w:val="auto"/>
                <w:szCs w:val="21"/>
                <w:highlight w:val="none"/>
                <w:u w:val="single"/>
              </w:rPr>
              <w:t>符合</w:t>
            </w:r>
            <w:r>
              <w:rPr>
                <w:rFonts w:ascii="宋体" w:hAnsi="宋体"/>
                <w:color w:val="auto"/>
                <w:szCs w:val="21"/>
                <w:highlight w:val="none"/>
                <w:u w:val="single"/>
              </w:rPr>
              <w:t>国家和重庆市现行有关施工质量验收规范要求，并达到合格标准</w:t>
            </w:r>
            <w:r>
              <w:rPr>
                <w:rFonts w:ascii="宋体" w:hAnsi="宋体"/>
                <w:color w:val="auto"/>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4686" w:hRule="atLeast"/>
          <w:jc w:val="center"/>
        </w:trPr>
        <w:tc>
          <w:tcPr>
            <w:tcW w:w="1335" w:type="dxa"/>
            <w:vAlign w:val="center"/>
          </w:tcPr>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1.4.1</w:t>
            </w: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1.4.1</w:t>
            </w: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both"/>
              <w:rPr>
                <w:rFonts w:ascii="宋体" w:hAnsi="宋体"/>
                <w:color w:val="auto"/>
                <w:kern w:val="0"/>
                <w:szCs w:val="21"/>
                <w:highlight w:val="none"/>
              </w:rPr>
            </w:pPr>
          </w:p>
        </w:tc>
        <w:tc>
          <w:tcPr>
            <w:tcW w:w="1644" w:type="dxa"/>
            <w:vAlign w:val="center"/>
          </w:tcPr>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lang w:eastAsia="zh-CN"/>
              </w:rPr>
              <w:t>竞选人</w:t>
            </w:r>
            <w:r>
              <w:rPr>
                <w:rFonts w:ascii="宋体" w:hAnsi="宋体"/>
                <w:color w:val="auto"/>
                <w:kern w:val="0"/>
                <w:szCs w:val="21"/>
                <w:highlight w:val="none"/>
              </w:rPr>
              <w:t>资质条件、能力和信誉</w:t>
            </w: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p>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lang w:eastAsia="zh-CN"/>
              </w:rPr>
              <w:t>竞选人</w:t>
            </w:r>
            <w:r>
              <w:rPr>
                <w:rFonts w:ascii="宋体" w:hAnsi="宋体"/>
                <w:color w:val="auto"/>
                <w:kern w:val="0"/>
                <w:szCs w:val="21"/>
                <w:highlight w:val="none"/>
              </w:rPr>
              <w:t>资质条件、能力和信誉</w:t>
            </w:r>
          </w:p>
          <w:p>
            <w:pPr>
              <w:snapToGrid w:val="0"/>
              <w:spacing w:line="400" w:lineRule="exact"/>
              <w:jc w:val="center"/>
              <w:rPr>
                <w:rFonts w:ascii="宋体" w:hAnsi="宋体"/>
                <w:color w:val="auto"/>
                <w:kern w:val="0"/>
                <w:szCs w:val="21"/>
                <w:highlight w:val="none"/>
              </w:rPr>
            </w:pPr>
          </w:p>
          <w:p>
            <w:pPr>
              <w:snapToGrid w:val="0"/>
              <w:spacing w:line="400" w:lineRule="exact"/>
              <w:jc w:val="both"/>
              <w:rPr>
                <w:rFonts w:ascii="宋体" w:hAnsi="宋体"/>
                <w:color w:val="auto"/>
                <w:kern w:val="0"/>
                <w:szCs w:val="21"/>
                <w:highlight w:val="none"/>
              </w:rPr>
            </w:pPr>
          </w:p>
        </w:tc>
        <w:tc>
          <w:tcPr>
            <w:tcW w:w="6490" w:type="dxa"/>
            <w:vAlign w:val="center"/>
          </w:tcPr>
          <w:p>
            <w:pPr>
              <w:autoSpaceDE w:val="0"/>
              <w:autoSpaceDN w:val="0"/>
              <w:adjustRightInd w:val="0"/>
              <w:snapToGrid w:val="0"/>
              <w:spacing w:line="400" w:lineRule="exact"/>
              <w:rPr>
                <w:rFonts w:ascii="宋体" w:hAnsi="宋体"/>
                <w:color w:val="auto"/>
                <w:szCs w:val="21"/>
                <w:highlight w:val="none"/>
              </w:rPr>
            </w:pPr>
            <w:bookmarkStart w:id="104" w:name="OLE_LINK1"/>
            <w:r>
              <w:rPr>
                <w:rFonts w:ascii="宋体" w:hAnsi="宋体"/>
                <w:color w:val="auto"/>
                <w:szCs w:val="21"/>
                <w:highlight w:val="none"/>
              </w:rPr>
              <w:t>本工程施工招标实行资格后审，</w:t>
            </w:r>
            <w:r>
              <w:rPr>
                <w:rFonts w:hint="eastAsia" w:ascii="宋体" w:hAnsi="宋体"/>
                <w:color w:val="auto"/>
                <w:szCs w:val="21"/>
                <w:highlight w:val="none"/>
                <w:lang w:eastAsia="zh-CN"/>
              </w:rPr>
              <w:t>竞选人</w:t>
            </w:r>
            <w:r>
              <w:rPr>
                <w:rFonts w:ascii="宋体" w:hAnsi="宋体"/>
                <w:color w:val="auto"/>
                <w:szCs w:val="21"/>
                <w:highlight w:val="none"/>
              </w:rPr>
              <w:t>应</w:t>
            </w:r>
            <w:bookmarkStart w:id="105" w:name="一是"/>
            <w:bookmarkEnd w:id="105"/>
            <w:r>
              <w:rPr>
                <w:rFonts w:ascii="宋体" w:hAnsi="宋体"/>
                <w:color w:val="auto"/>
                <w:szCs w:val="21"/>
                <w:highlight w:val="none"/>
              </w:rPr>
              <w:t>具备以下资格条件：</w:t>
            </w:r>
          </w:p>
          <w:bookmarkEnd w:id="104"/>
          <w:p>
            <w:pPr>
              <w:autoSpaceDE w:val="0"/>
              <w:autoSpaceDN w:val="0"/>
              <w:adjustRightInd w:val="0"/>
              <w:snapToGrid w:val="0"/>
              <w:spacing w:line="400" w:lineRule="exact"/>
              <w:ind w:firstLine="422" w:firstLineChars="200"/>
              <w:rPr>
                <w:rFonts w:ascii="宋体" w:hAnsi="宋体"/>
                <w:b/>
                <w:color w:val="auto"/>
                <w:szCs w:val="21"/>
                <w:highlight w:val="none"/>
              </w:rPr>
            </w:pPr>
            <w:r>
              <w:rPr>
                <w:rFonts w:ascii="宋体" w:hAnsi="宋体"/>
                <w:b/>
                <w:color w:val="auto"/>
                <w:szCs w:val="21"/>
                <w:highlight w:val="none"/>
              </w:rPr>
              <w:t>1.资质条件、营业执照及安全生产条件</w:t>
            </w:r>
          </w:p>
          <w:p>
            <w:pPr>
              <w:autoSpaceDE w:val="0"/>
              <w:autoSpaceDN w:val="0"/>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（1）具备建设行政主管部门颁发的有效的</w:t>
            </w:r>
            <w:r>
              <w:rPr>
                <w:rFonts w:hint="eastAsia" w:ascii="宋体" w:hAnsi="宋体"/>
                <w:color w:val="auto"/>
                <w:szCs w:val="21"/>
                <w:highlight w:val="none"/>
                <w:u w:val="single"/>
                <w:lang w:val="en-US" w:eastAsia="zh-CN"/>
              </w:rPr>
              <w:t xml:space="preserve"> </w:t>
            </w:r>
            <w:r>
              <w:rPr>
                <w:rFonts w:hint="eastAsia" w:ascii="宋体" w:hAnsi="宋体"/>
                <w:snapToGrid w:val="0"/>
                <w:color w:val="auto"/>
                <w:kern w:val="0"/>
                <w:szCs w:val="21"/>
                <w:highlight w:val="none"/>
                <w:u w:val="single"/>
              </w:rPr>
              <w:t>建筑工程施工总承包三级及以上资质或市政公用工程施工总承包三级</w:t>
            </w:r>
            <w:r>
              <w:rPr>
                <w:rFonts w:ascii="宋体" w:hAnsi="宋体"/>
                <w:color w:val="auto"/>
                <w:szCs w:val="21"/>
                <w:highlight w:val="none"/>
                <w:u w:val="single"/>
              </w:rPr>
              <w:t>及以上</w:t>
            </w:r>
            <w:r>
              <w:rPr>
                <w:rFonts w:hint="eastAsia" w:ascii="宋体" w:hAnsi="宋体"/>
                <w:color w:val="auto"/>
                <w:szCs w:val="21"/>
                <w:highlight w:val="none"/>
              </w:rPr>
              <w:t>资质</w:t>
            </w:r>
            <w:r>
              <w:rPr>
                <w:rFonts w:ascii="宋体" w:hAnsi="宋体"/>
                <w:color w:val="auto"/>
                <w:szCs w:val="21"/>
                <w:highlight w:val="none"/>
              </w:rPr>
              <w:t>。</w:t>
            </w:r>
          </w:p>
          <w:p>
            <w:pPr>
              <w:autoSpaceDE w:val="0"/>
              <w:autoSpaceDN w:val="0"/>
              <w:adjustRightInd w:val="0"/>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lang w:eastAsia="zh-CN"/>
              </w:rPr>
              <w:t>竞选人</w:t>
            </w:r>
            <w:r>
              <w:rPr>
                <w:rFonts w:ascii="宋体" w:hAnsi="宋体"/>
                <w:color w:val="auto"/>
                <w:szCs w:val="21"/>
                <w:highlight w:val="none"/>
              </w:rPr>
              <w:t>须</w:t>
            </w:r>
            <w:r>
              <w:rPr>
                <w:rFonts w:hint="eastAsia" w:ascii="宋体" w:hAnsi="宋体"/>
                <w:color w:val="auto"/>
                <w:szCs w:val="21"/>
                <w:highlight w:val="none"/>
              </w:rPr>
              <w:t>在</w:t>
            </w:r>
            <w:r>
              <w:rPr>
                <w:rFonts w:hint="eastAsia" w:ascii="宋体" w:hAnsi="宋体"/>
                <w:color w:val="auto"/>
                <w:szCs w:val="21"/>
                <w:highlight w:val="none"/>
                <w:lang w:eastAsia="zh-CN"/>
              </w:rPr>
              <w:t>竞选文件</w:t>
            </w:r>
            <w:r>
              <w:rPr>
                <w:rFonts w:hint="eastAsia" w:ascii="宋体" w:hAnsi="宋体"/>
                <w:color w:val="auto"/>
                <w:szCs w:val="21"/>
                <w:highlight w:val="none"/>
              </w:rPr>
              <w:t>资格审查部分</w:t>
            </w:r>
            <w:r>
              <w:rPr>
                <w:rFonts w:ascii="宋体" w:hAnsi="宋体"/>
                <w:color w:val="auto"/>
                <w:szCs w:val="21"/>
                <w:highlight w:val="none"/>
              </w:rPr>
              <w:t>提供</w:t>
            </w:r>
            <w:r>
              <w:rPr>
                <w:rFonts w:hint="eastAsia" w:ascii="宋体" w:hAnsi="宋体"/>
                <w:color w:val="auto"/>
                <w:szCs w:val="21"/>
                <w:highlight w:val="none"/>
              </w:rPr>
              <w:t>有效的资质证书</w:t>
            </w:r>
            <w:r>
              <w:rPr>
                <w:rFonts w:ascii="宋体" w:hAnsi="宋体"/>
                <w:color w:val="auto"/>
                <w:szCs w:val="21"/>
                <w:highlight w:val="none"/>
              </w:rPr>
              <w:t>复印件。</w:t>
            </w:r>
          </w:p>
          <w:p>
            <w:pPr>
              <w:autoSpaceDE w:val="0"/>
              <w:autoSpaceDN w:val="0"/>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（2）具备有效的营业执照。</w:t>
            </w:r>
          </w:p>
          <w:p>
            <w:pPr>
              <w:autoSpaceDE w:val="0"/>
              <w:autoSpaceDN w:val="0"/>
              <w:adjustRightInd w:val="0"/>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lang w:eastAsia="zh-CN"/>
              </w:rPr>
              <w:t>竞选人</w:t>
            </w:r>
            <w:r>
              <w:rPr>
                <w:rFonts w:ascii="宋体" w:hAnsi="宋体"/>
                <w:color w:val="auto"/>
                <w:szCs w:val="21"/>
                <w:highlight w:val="none"/>
              </w:rPr>
              <w:t>须</w:t>
            </w:r>
            <w:r>
              <w:rPr>
                <w:rFonts w:hint="eastAsia" w:ascii="宋体" w:hAnsi="宋体"/>
                <w:color w:val="auto"/>
                <w:szCs w:val="21"/>
                <w:highlight w:val="none"/>
              </w:rPr>
              <w:t>在</w:t>
            </w:r>
            <w:r>
              <w:rPr>
                <w:rFonts w:hint="eastAsia" w:ascii="宋体" w:hAnsi="宋体"/>
                <w:color w:val="auto"/>
                <w:szCs w:val="21"/>
                <w:highlight w:val="none"/>
                <w:lang w:eastAsia="zh-CN"/>
              </w:rPr>
              <w:t>竞选文件</w:t>
            </w:r>
            <w:r>
              <w:rPr>
                <w:rFonts w:hint="eastAsia" w:ascii="宋体" w:hAnsi="宋体"/>
                <w:color w:val="auto"/>
                <w:szCs w:val="21"/>
                <w:highlight w:val="none"/>
              </w:rPr>
              <w:t>资格审查部分</w:t>
            </w:r>
            <w:r>
              <w:rPr>
                <w:rFonts w:ascii="宋体" w:hAnsi="宋体"/>
                <w:color w:val="auto"/>
                <w:szCs w:val="21"/>
                <w:highlight w:val="none"/>
              </w:rPr>
              <w:t>提供有效的营业执照复印件。</w:t>
            </w:r>
            <w:r>
              <w:rPr>
                <w:rFonts w:hint="eastAsia" w:ascii="宋体" w:hAnsi="宋体"/>
                <w:color w:val="auto"/>
                <w:szCs w:val="21"/>
                <w:highlight w:val="none"/>
              </w:rPr>
              <w:t>注：不得将</w:t>
            </w:r>
            <w:r>
              <w:rPr>
                <w:rFonts w:hint="eastAsia" w:ascii="宋体" w:hAnsi="宋体"/>
                <w:color w:val="auto"/>
                <w:szCs w:val="21"/>
                <w:highlight w:val="none"/>
                <w:lang w:eastAsia="zh-CN"/>
              </w:rPr>
              <w:t>竞选人</w:t>
            </w:r>
            <w:r>
              <w:rPr>
                <w:rFonts w:hint="eastAsia" w:ascii="宋体" w:hAnsi="宋体"/>
                <w:color w:val="auto"/>
                <w:szCs w:val="21"/>
                <w:highlight w:val="none"/>
              </w:rPr>
              <w:t>营业执照记载的经营范围作为评审因素。</w:t>
            </w:r>
          </w:p>
          <w:p>
            <w:pPr>
              <w:autoSpaceDE w:val="0"/>
              <w:autoSpaceDN w:val="0"/>
              <w:adjustRightInd w:val="0"/>
              <w:snapToGrid w:val="0"/>
              <w:spacing w:line="400" w:lineRule="exact"/>
              <w:ind w:firstLine="420" w:firstLineChars="200"/>
              <w:rPr>
                <w:rFonts w:hint="eastAsia" w:ascii="宋体" w:hAnsi="宋体" w:eastAsia="宋体"/>
                <w:i/>
                <w:color w:val="auto"/>
                <w:szCs w:val="21"/>
                <w:highlight w:val="none"/>
                <w:lang w:eastAsia="zh-CN"/>
              </w:rPr>
            </w:pPr>
            <w:r>
              <w:rPr>
                <w:rFonts w:ascii="宋体" w:hAnsi="宋体"/>
                <w:color w:val="auto"/>
                <w:szCs w:val="21"/>
                <w:highlight w:val="none"/>
              </w:rPr>
              <w:t>（3）具备建设行政主管部门颁发的有效的安全生产许可证</w:t>
            </w:r>
            <w:r>
              <w:rPr>
                <w:rFonts w:hint="eastAsia" w:ascii="宋体" w:hAnsi="宋体"/>
                <w:color w:val="auto"/>
                <w:szCs w:val="21"/>
                <w:highlight w:val="none"/>
                <w:lang w:eastAsia="zh-CN"/>
              </w:rPr>
              <w:t>。</w:t>
            </w:r>
          </w:p>
          <w:p>
            <w:pPr>
              <w:autoSpaceDE w:val="0"/>
              <w:autoSpaceDN w:val="0"/>
              <w:adjustRightInd w:val="0"/>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lang w:eastAsia="zh-CN"/>
              </w:rPr>
              <w:t>竞选人</w:t>
            </w:r>
            <w:r>
              <w:rPr>
                <w:rFonts w:hint="eastAsia" w:ascii="宋体" w:hAnsi="宋体"/>
                <w:color w:val="auto"/>
                <w:szCs w:val="21"/>
                <w:highlight w:val="none"/>
              </w:rPr>
              <w:t>须在</w:t>
            </w:r>
            <w:r>
              <w:rPr>
                <w:rFonts w:hint="eastAsia" w:ascii="宋体" w:hAnsi="宋体"/>
                <w:color w:val="auto"/>
                <w:szCs w:val="21"/>
                <w:highlight w:val="none"/>
                <w:lang w:eastAsia="zh-CN"/>
              </w:rPr>
              <w:t>竞选文件</w:t>
            </w:r>
            <w:r>
              <w:rPr>
                <w:rFonts w:hint="eastAsia" w:ascii="宋体" w:hAnsi="宋体"/>
                <w:color w:val="auto"/>
                <w:szCs w:val="21"/>
                <w:highlight w:val="none"/>
              </w:rPr>
              <w:t>资格审查部分提供有效的安全生产许可证</w:t>
            </w:r>
            <w:r>
              <w:rPr>
                <w:rFonts w:ascii="宋体" w:hAnsi="宋体"/>
                <w:color w:val="auto"/>
                <w:szCs w:val="21"/>
                <w:highlight w:val="none"/>
              </w:rPr>
              <w:t>复印件。</w:t>
            </w:r>
          </w:p>
          <w:p>
            <w:pPr>
              <w:autoSpaceDE w:val="0"/>
              <w:autoSpaceDN w:val="0"/>
              <w:adjustRightInd w:val="0"/>
              <w:snapToGrid w:val="0"/>
              <w:spacing w:line="400" w:lineRule="exact"/>
              <w:ind w:firstLine="422" w:firstLineChars="200"/>
              <w:rPr>
                <w:rFonts w:ascii="宋体" w:hAnsi="宋体"/>
                <w:b/>
                <w:color w:val="auto"/>
                <w:szCs w:val="21"/>
                <w:highlight w:val="none"/>
              </w:rPr>
            </w:pPr>
            <w:r>
              <w:rPr>
                <w:rFonts w:ascii="宋体" w:hAnsi="宋体"/>
                <w:b/>
                <w:color w:val="auto"/>
                <w:szCs w:val="21"/>
                <w:highlight w:val="none"/>
              </w:rPr>
              <w:t>2.财务要求</w:t>
            </w:r>
          </w:p>
          <w:p>
            <w:pPr>
              <w:autoSpaceDE w:val="0"/>
              <w:autoSpaceDN w:val="0"/>
              <w:adjustRightInd w:val="0"/>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u w:val="single"/>
              </w:rPr>
              <w:t xml:space="preserve"> </w:t>
            </w:r>
            <w:r>
              <w:rPr>
                <w:rFonts w:hint="eastAsia" w:ascii="宋体" w:hAnsi="宋体"/>
                <w:color w:val="auto"/>
                <w:kern w:val="0"/>
                <w:szCs w:val="21"/>
                <w:highlight w:val="none"/>
                <w:u w:val="single"/>
                <w:lang w:val="en-US" w:eastAsia="zh-CN"/>
              </w:rPr>
              <w:t>2021</w:t>
            </w:r>
            <w:r>
              <w:rPr>
                <w:rFonts w:hint="eastAsia" w:ascii="宋体" w:hAnsi="宋体"/>
                <w:color w:val="auto"/>
                <w:kern w:val="0"/>
                <w:szCs w:val="21"/>
                <w:highlight w:val="none"/>
                <w:u w:val="single"/>
              </w:rPr>
              <w:t xml:space="preserve"> </w:t>
            </w:r>
            <w:r>
              <w:rPr>
                <w:rFonts w:hint="eastAsia" w:ascii="宋体" w:hAnsi="宋体"/>
                <w:color w:val="auto"/>
                <w:kern w:val="0"/>
                <w:szCs w:val="21"/>
                <w:highlight w:val="none"/>
              </w:rPr>
              <w:t>年的年度财务状况不亏损。</w:t>
            </w:r>
          </w:p>
          <w:p>
            <w:pPr>
              <w:autoSpaceDE w:val="0"/>
              <w:autoSpaceDN w:val="0"/>
              <w:adjustRightInd w:val="0"/>
              <w:snapToGrid w:val="0"/>
              <w:spacing w:line="400" w:lineRule="exact"/>
              <w:ind w:firstLine="420" w:firstLineChars="200"/>
              <w:rPr>
                <w:rFonts w:hint="eastAsia" w:ascii="宋体" w:hAnsi="宋体"/>
                <w:color w:val="auto"/>
                <w:kern w:val="0"/>
                <w:szCs w:val="21"/>
                <w:highlight w:val="none"/>
              </w:rPr>
            </w:pPr>
            <w:r>
              <w:rPr>
                <w:rFonts w:hint="eastAsia" w:ascii="宋体" w:hAnsi="宋体"/>
                <w:color w:val="auto"/>
                <w:kern w:val="0"/>
                <w:szCs w:val="21"/>
                <w:highlight w:val="none"/>
                <w:lang w:val="en-US" w:eastAsia="zh-CN"/>
              </w:rPr>
              <w:t>竞选</w:t>
            </w:r>
            <w:r>
              <w:rPr>
                <w:rFonts w:hint="eastAsia" w:ascii="宋体" w:hAnsi="宋体"/>
                <w:color w:val="auto"/>
                <w:kern w:val="0"/>
                <w:szCs w:val="21"/>
                <w:highlight w:val="none"/>
              </w:rPr>
              <w:t>人须在</w:t>
            </w:r>
            <w:r>
              <w:rPr>
                <w:rFonts w:hint="eastAsia" w:ascii="宋体" w:hAnsi="宋体"/>
                <w:color w:val="auto"/>
                <w:kern w:val="0"/>
                <w:szCs w:val="21"/>
                <w:highlight w:val="none"/>
                <w:lang w:val="en-US" w:eastAsia="zh-CN"/>
              </w:rPr>
              <w:t>竞选</w:t>
            </w:r>
            <w:r>
              <w:rPr>
                <w:rFonts w:hint="eastAsia" w:ascii="宋体" w:hAnsi="宋体"/>
                <w:color w:val="auto"/>
                <w:kern w:val="0"/>
                <w:szCs w:val="21"/>
                <w:highlight w:val="none"/>
              </w:rPr>
              <w:t>文件资格审查部分提供经会计师事务所或审计机构出具的合法有效的财务审计报告及财务报表复印件，财务报表须至少包括现金流量表、资产负债表、利润表。</w:t>
            </w:r>
          </w:p>
          <w:p>
            <w:pPr>
              <w:adjustRightInd w:val="0"/>
              <w:snapToGrid w:val="0"/>
              <w:spacing w:line="400" w:lineRule="exact"/>
              <w:ind w:firstLine="422" w:firstLineChars="200"/>
              <w:rPr>
                <w:rFonts w:ascii="宋体" w:hAnsi="宋体"/>
                <w:b/>
                <w:color w:val="auto"/>
                <w:szCs w:val="21"/>
                <w:highlight w:val="none"/>
              </w:rPr>
            </w:pPr>
            <w:r>
              <w:rPr>
                <w:rFonts w:hint="eastAsia" w:ascii="宋体" w:hAnsi="宋体"/>
                <w:b/>
                <w:color w:val="auto"/>
                <w:szCs w:val="21"/>
                <w:highlight w:val="none"/>
                <w:lang w:val="en-US" w:eastAsia="zh-CN"/>
              </w:rPr>
              <w:t>3</w:t>
            </w:r>
            <w:r>
              <w:rPr>
                <w:rFonts w:ascii="宋体" w:hAnsi="宋体"/>
                <w:b/>
                <w:color w:val="auto"/>
                <w:szCs w:val="21"/>
                <w:highlight w:val="none"/>
              </w:rPr>
              <w:t>.投标截止日投标资格情况</w:t>
            </w:r>
          </w:p>
          <w:p>
            <w:pPr>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lang w:eastAsia="zh-CN"/>
              </w:rPr>
              <w:t>竞选人</w:t>
            </w:r>
            <w:r>
              <w:rPr>
                <w:rFonts w:hint="eastAsia" w:ascii="宋体" w:hAnsi="宋体"/>
                <w:color w:val="auto"/>
                <w:szCs w:val="21"/>
                <w:highlight w:val="none"/>
              </w:rPr>
              <w:t>自行承诺（格式见第八章</w:t>
            </w:r>
            <w:r>
              <w:rPr>
                <w:rFonts w:hint="eastAsia" w:ascii="宋体" w:hAnsi="宋体"/>
                <w:color w:val="auto"/>
                <w:szCs w:val="21"/>
                <w:highlight w:val="none"/>
                <w:lang w:eastAsia="zh-CN"/>
              </w:rPr>
              <w:t>竞选文件</w:t>
            </w:r>
            <w:r>
              <w:rPr>
                <w:rFonts w:hint="eastAsia" w:ascii="宋体" w:hAnsi="宋体"/>
                <w:color w:val="auto"/>
                <w:szCs w:val="21"/>
                <w:highlight w:val="none"/>
              </w:rPr>
              <w:t>格式）不得存在下列情形之一：</w:t>
            </w:r>
          </w:p>
          <w:p>
            <w:pPr>
              <w:snapToGrid w:val="0"/>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（1）被人民法院列入失信被执行人名单且在被执行期内；</w:t>
            </w:r>
          </w:p>
          <w:p>
            <w:pPr>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（2）被列入《重庆市工程建设领域招标投标信用管理暂行办法》规定的重点关注名单且记分达到12分且在记分有效期内；</w:t>
            </w:r>
          </w:p>
          <w:p>
            <w:pPr>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（3）被列入《重庆市工程建设领域招标投标信用管理暂行办法》规定的重庆市工程建设领域招标投标失信惩戒对象名单（以下称黑名单）且在记分有效期内；</w:t>
            </w:r>
          </w:p>
          <w:p>
            <w:pPr>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（4）被国家、重庆市（含市或任意区县）有关行政部门处以暂停投标资格行政处罚，且在处罚期限内；</w:t>
            </w:r>
          </w:p>
          <w:p>
            <w:pPr>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（5）被重庆市</w:t>
            </w:r>
            <w:r>
              <w:rPr>
                <w:rFonts w:hint="eastAsia" w:ascii="宋体" w:hAnsi="宋体" w:eastAsia="宋体" w:cs="宋体"/>
                <w:color w:val="auto"/>
                <w:szCs w:val="21"/>
                <w:highlight w:val="none"/>
                <w:lang w:val="en-US" w:eastAsia="zh-CN"/>
              </w:rPr>
              <w:t>市级有关行业</w:t>
            </w:r>
            <w:r>
              <w:rPr>
                <w:rFonts w:hint="eastAsia" w:ascii="宋体" w:hAnsi="宋体"/>
                <w:color w:val="auto"/>
                <w:szCs w:val="21"/>
                <w:highlight w:val="none"/>
              </w:rPr>
              <w:t>主管部门暂停在渝承揽新业务且在暂停期内。</w:t>
            </w:r>
          </w:p>
          <w:p>
            <w:pPr>
              <w:spacing w:line="400" w:lineRule="exact"/>
              <w:ind w:firstLine="420" w:firstLineChars="200"/>
              <w:rPr>
                <w:rFonts w:hint="eastAsia"/>
                <w:color w:val="auto"/>
                <w:highlight w:val="none"/>
              </w:rPr>
            </w:pPr>
            <w:r>
              <w:rPr>
                <w:rFonts w:hint="eastAsia"/>
                <w:color w:val="auto"/>
                <w:highlight w:val="none"/>
                <w:lang w:eastAsia="zh-CN"/>
              </w:rPr>
              <w:t>竞选人</w:t>
            </w:r>
            <w:r>
              <w:rPr>
                <w:rFonts w:hint="eastAsia"/>
                <w:color w:val="auto"/>
                <w:highlight w:val="none"/>
              </w:rPr>
              <w:t>须在</w:t>
            </w:r>
            <w:r>
              <w:rPr>
                <w:rFonts w:hint="eastAsia"/>
                <w:color w:val="auto"/>
                <w:highlight w:val="none"/>
                <w:lang w:eastAsia="zh-CN"/>
              </w:rPr>
              <w:t>竞选文件</w:t>
            </w:r>
            <w:r>
              <w:rPr>
                <w:rFonts w:hint="eastAsia"/>
                <w:color w:val="auto"/>
                <w:highlight w:val="none"/>
              </w:rPr>
              <w:t>资格审查部分提供承诺。</w:t>
            </w:r>
          </w:p>
          <w:p>
            <w:pPr>
              <w:numPr>
                <w:ilvl w:val="0"/>
                <w:numId w:val="0"/>
              </w:numPr>
              <w:snapToGrid w:val="0"/>
              <w:spacing w:line="400" w:lineRule="exact"/>
              <w:ind w:left="420" w:leftChars="0"/>
              <w:rPr>
                <w:rFonts w:ascii="宋体" w:hAnsi="宋体"/>
                <w:b/>
                <w:color w:val="auto"/>
                <w:szCs w:val="21"/>
                <w:highlight w:val="none"/>
              </w:rPr>
            </w:pPr>
            <w:r>
              <w:rPr>
                <w:rFonts w:hint="eastAsia" w:ascii="宋体" w:hAnsi="宋体"/>
                <w:b/>
                <w:color w:val="auto"/>
                <w:szCs w:val="21"/>
                <w:highlight w:val="none"/>
                <w:lang w:val="en-US" w:eastAsia="zh-CN"/>
              </w:rPr>
              <w:t>4.</w:t>
            </w:r>
            <w:r>
              <w:rPr>
                <w:rFonts w:ascii="宋体" w:hAnsi="宋体"/>
                <w:b/>
                <w:color w:val="auto"/>
                <w:szCs w:val="21"/>
                <w:highlight w:val="none"/>
              </w:rPr>
              <w:t>项目经理资格要求</w:t>
            </w:r>
          </w:p>
          <w:p>
            <w:pPr>
              <w:snapToGrid w:val="0"/>
              <w:spacing w:line="400" w:lineRule="exact"/>
              <w:ind w:firstLine="420" w:firstLineChars="200"/>
              <w:jc w:val="left"/>
              <w:rPr>
                <w:rFonts w:hint="default"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4.1项目经理人数要求：3人</w:t>
            </w:r>
          </w:p>
          <w:p>
            <w:pPr>
              <w:snapToGrid w:val="0"/>
              <w:spacing w:line="400" w:lineRule="exact"/>
              <w:ind w:firstLine="420" w:firstLineChars="200"/>
              <w:jc w:val="left"/>
              <w:rPr>
                <w:rFonts w:ascii="宋体" w:hAnsi="宋体"/>
                <w:color w:val="auto"/>
                <w:szCs w:val="21"/>
                <w:highlight w:val="none"/>
              </w:rPr>
            </w:pPr>
            <w:r>
              <w:rPr>
                <w:rFonts w:hint="eastAsia" w:ascii="宋体" w:hAnsi="宋体" w:eastAsia="宋体" w:cs="Times New Roman"/>
                <w:color w:val="auto"/>
                <w:szCs w:val="21"/>
                <w:highlight w:val="none"/>
                <w:lang w:val="en-US" w:eastAsia="zh-CN"/>
              </w:rPr>
              <w:t>4</w:t>
            </w:r>
            <w:r>
              <w:rPr>
                <w:rFonts w:hint="eastAsia" w:ascii="宋体" w:hAnsi="宋体" w:eastAsia="宋体" w:cs="Times New Roman"/>
                <w:color w:val="auto"/>
                <w:szCs w:val="21"/>
                <w:highlight w:val="none"/>
              </w:rPr>
              <w:t>.1</w:t>
            </w:r>
            <w:r>
              <w:rPr>
                <w:rFonts w:hint="eastAsia" w:ascii="宋体" w:hAnsi="宋体" w:eastAsia="宋体" w:cs="Times New Roman"/>
                <w:color w:val="auto"/>
                <w:szCs w:val="21"/>
                <w:highlight w:val="none"/>
                <w:lang w:val="en-US" w:eastAsia="zh-CN"/>
              </w:rPr>
              <w:t>竞选</w:t>
            </w:r>
            <w:r>
              <w:rPr>
                <w:rFonts w:hint="eastAsia" w:ascii="宋体" w:hAnsi="宋体" w:eastAsia="宋体" w:cs="Times New Roman"/>
                <w:color w:val="auto"/>
                <w:szCs w:val="21"/>
                <w:highlight w:val="none"/>
              </w:rPr>
              <w:t>人拟派的项目经理</w:t>
            </w:r>
            <w:r>
              <w:rPr>
                <w:color w:val="auto"/>
                <w:szCs w:val="21"/>
                <w:highlight w:val="none"/>
              </w:rPr>
              <w:t>必须已在</w:t>
            </w:r>
            <w:r>
              <w:rPr>
                <w:rFonts w:hint="eastAsia" w:ascii="宋体" w:hAnsi="宋体"/>
                <w:color w:val="auto"/>
                <w:kern w:val="0"/>
                <w:szCs w:val="21"/>
                <w:highlight w:val="none"/>
                <w:lang w:val="en-US" w:eastAsia="zh-CN"/>
              </w:rPr>
              <w:t>竞选</w:t>
            </w:r>
            <w:r>
              <w:rPr>
                <w:rFonts w:hint="eastAsia"/>
                <w:color w:val="auto"/>
                <w:szCs w:val="21"/>
                <w:highlight w:val="none"/>
              </w:rPr>
              <w:t>人本</w:t>
            </w:r>
            <w:r>
              <w:rPr>
                <w:color w:val="auto"/>
                <w:szCs w:val="21"/>
                <w:highlight w:val="none"/>
              </w:rPr>
              <w:t>单位注册并应具有</w:t>
            </w:r>
            <w:r>
              <w:rPr>
                <w:color w:val="auto"/>
                <w:szCs w:val="21"/>
                <w:highlight w:val="none"/>
                <w:u w:val="single"/>
              </w:rPr>
              <w:t xml:space="preserve"> </w:t>
            </w:r>
            <w:r>
              <w:rPr>
                <w:rFonts w:hint="eastAsia"/>
                <w:color w:val="auto"/>
                <w:szCs w:val="21"/>
                <w:highlight w:val="none"/>
                <w:u w:val="single"/>
              </w:rPr>
              <w:t xml:space="preserve">   建筑工程或市政公用工程 </w:t>
            </w:r>
            <w:r>
              <w:rPr>
                <w:rFonts w:hint="eastAsia"/>
                <w:color w:val="auto"/>
                <w:szCs w:val="21"/>
                <w:highlight w:val="none"/>
              </w:rPr>
              <w:t>专业</w:t>
            </w:r>
            <w:r>
              <w:rPr>
                <w:color w:val="auto"/>
                <w:szCs w:val="21"/>
                <w:highlight w:val="none"/>
                <w:u w:val="single"/>
              </w:rPr>
              <w:t xml:space="preserve"> </w:t>
            </w:r>
            <w:r>
              <w:rPr>
                <w:rFonts w:hint="eastAsia"/>
                <w:color w:val="auto"/>
                <w:szCs w:val="21"/>
                <w:highlight w:val="none"/>
                <w:u w:val="single"/>
                <w:lang w:val="en-US" w:eastAsia="zh-CN"/>
              </w:rPr>
              <w:t>二</w:t>
            </w:r>
            <w:r>
              <w:rPr>
                <w:color w:val="auto"/>
                <w:szCs w:val="21"/>
                <w:highlight w:val="none"/>
                <w:u w:val="single"/>
              </w:rPr>
              <w:t>级及以上</w:t>
            </w:r>
            <w:r>
              <w:rPr>
                <w:color w:val="auto"/>
                <w:szCs w:val="21"/>
                <w:highlight w:val="none"/>
              </w:rPr>
              <w:t>注册建造师执业</w:t>
            </w:r>
            <w:r>
              <w:rPr>
                <w:rFonts w:ascii="宋体" w:hAnsi="宋体"/>
                <w:color w:val="auto"/>
                <w:szCs w:val="21"/>
                <w:highlight w:val="none"/>
              </w:rPr>
              <w:t>资格</w:t>
            </w:r>
            <w:r>
              <w:rPr>
                <w:rFonts w:hint="eastAsia" w:ascii="宋体" w:hAnsi="宋体"/>
                <w:color w:val="auto"/>
                <w:szCs w:val="21"/>
                <w:highlight w:val="none"/>
              </w:rPr>
              <w:t>。</w:t>
            </w:r>
          </w:p>
          <w:p>
            <w:pPr>
              <w:snapToGrid w:val="0"/>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lang w:val="en-US" w:eastAsia="zh-CN"/>
              </w:rPr>
              <w:t>4</w:t>
            </w:r>
            <w:r>
              <w:rPr>
                <w:rFonts w:hint="eastAsia" w:ascii="宋体" w:hAnsi="宋体"/>
                <w:color w:val="auto"/>
                <w:szCs w:val="21"/>
                <w:highlight w:val="none"/>
              </w:rPr>
              <w:t>.2项目经理承诺要求：投标人须承诺拟派项目经理按注册建造师的相关规定到岗履职和未被禁止参与投标。</w:t>
            </w:r>
          </w:p>
          <w:p>
            <w:pPr>
              <w:snapToGrid w:val="0"/>
              <w:spacing w:line="400" w:lineRule="exact"/>
              <w:ind w:firstLine="420" w:firstLineChars="200"/>
              <w:rPr>
                <w:rFonts w:ascii="宋体" w:hAnsi="宋体"/>
                <w:color w:val="auto"/>
                <w:highlight w:val="none"/>
              </w:rPr>
            </w:pPr>
            <w:r>
              <w:rPr>
                <w:rFonts w:hint="eastAsia" w:ascii="宋体" w:hAnsi="宋体"/>
                <w:color w:val="auto"/>
                <w:highlight w:val="none"/>
                <w:lang w:val="en-US" w:eastAsia="zh-CN"/>
              </w:rPr>
              <w:t>4</w:t>
            </w:r>
            <w:r>
              <w:rPr>
                <w:rFonts w:ascii="宋体" w:hAnsi="宋体"/>
                <w:color w:val="auto"/>
                <w:highlight w:val="none"/>
              </w:rPr>
              <w:t>.2.1到岗履职承诺要求：承诺拟派项目经理中标后在本项目任职，签订合同时拟派的项目经理必须与</w:t>
            </w:r>
            <w:r>
              <w:rPr>
                <w:rFonts w:hint="eastAsia" w:ascii="宋体" w:hAnsi="宋体"/>
                <w:color w:val="auto"/>
                <w:kern w:val="0"/>
                <w:szCs w:val="21"/>
                <w:highlight w:val="none"/>
                <w:lang w:val="en-US" w:eastAsia="zh-CN"/>
              </w:rPr>
              <w:t>竞选</w:t>
            </w:r>
            <w:r>
              <w:rPr>
                <w:rFonts w:ascii="宋体" w:hAnsi="宋体"/>
                <w:color w:val="auto"/>
                <w:highlight w:val="none"/>
              </w:rPr>
              <w:t>文件中的项目经理一致，并满足办理施工许可手续的相关要求。不能按承诺到岗履约的，按合同相关条款处罚并上报行政主管部门，给招标人造成损失的，</w:t>
            </w:r>
            <w:r>
              <w:rPr>
                <w:rFonts w:hint="eastAsia" w:ascii="宋体" w:hAnsi="宋体"/>
                <w:color w:val="auto"/>
                <w:kern w:val="0"/>
                <w:szCs w:val="21"/>
                <w:highlight w:val="none"/>
                <w:lang w:val="en-US" w:eastAsia="zh-CN"/>
              </w:rPr>
              <w:t>竞选</w:t>
            </w:r>
            <w:r>
              <w:rPr>
                <w:rFonts w:ascii="宋体" w:hAnsi="宋体"/>
                <w:color w:val="auto"/>
                <w:highlight w:val="none"/>
              </w:rPr>
              <w:t>人依法承担违约赔偿责任。拟派项目经理中标后不得随意更换。</w:t>
            </w:r>
          </w:p>
          <w:p>
            <w:pPr>
              <w:snapToGrid w:val="0"/>
              <w:spacing w:line="400" w:lineRule="exact"/>
              <w:ind w:firstLine="420" w:firstLineChars="200"/>
              <w:rPr>
                <w:rFonts w:ascii="宋体" w:hAnsi="宋体"/>
                <w:color w:val="auto"/>
                <w:highlight w:val="none"/>
              </w:rPr>
            </w:pPr>
            <w:r>
              <w:rPr>
                <w:rFonts w:hint="eastAsia" w:ascii="宋体" w:hAnsi="宋体"/>
                <w:color w:val="auto"/>
                <w:highlight w:val="none"/>
                <w:lang w:val="en-US" w:eastAsia="zh-CN"/>
              </w:rPr>
              <w:t>4</w:t>
            </w:r>
            <w:r>
              <w:rPr>
                <w:rFonts w:ascii="宋体" w:hAnsi="宋体"/>
                <w:color w:val="auto"/>
                <w:highlight w:val="none"/>
              </w:rPr>
              <w:t>.2.2未被禁止参与投标承诺要求：承诺拟派项目经理未被重庆市</w:t>
            </w:r>
            <w:r>
              <w:rPr>
                <w:rFonts w:hint="eastAsia" w:ascii="宋体" w:hAnsi="宋体"/>
                <w:color w:val="auto"/>
                <w:highlight w:val="none"/>
                <w:lang w:val="en-US" w:eastAsia="zh-CN"/>
              </w:rPr>
              <w:t>市级有关行业</w:t>
            </w:r>
            <w:r>
              <w:rPr>
                <w:rFonts w:ascii="宋体" w:hAnsi="宋体"/>
                <w:color w:val="auto"/>
                <w:highlight w:val="none"/>
              </w:rPr>
              <w:t>主管部门暂停在渝承揽新业务。若被暂停在渝承揽新业务但仍参加投标，将被否决投标；已取得中标候选人资格或中标资格的，</w:t>
            </w:r>
            <w:r>
              <w:rPr>
                <w:rFonts w:hint="eastAsia" w:ascii="宋体" w:hAnsi="宋体"/>
                <w:color w:val="auto"/>
                <w:highlight w:val="none"/>
                <w:lang w:val="en-US" w:eastAsia="zh-CN"/>
              </w:rPr>
              <w:t>比选</w:t>
            </w:r>
            <w:r>
              <w:rPr>
                <w:rFonts w:ascii="宋体" w:hAnsi="宋体"/>
                <w:color w:val="auto"/>
                <w:highlight w:val="none"/>
              </w:rPr>
              <w:t>人有权取消其中标候选人资格或中标资格；给</w:t>
            </w:r>
            <w:r>
              <w:rPr>
                <w:rFonts w:hint="eastAsia" w:ascii="宋体" w:hAnsi="宋体"/>
                <w:color w:val="auto"/>
                <w:highlight w:val="none"/>
                <w:lang w:val="en-US" w:eastAsia="zh-CN"/>
              </w:rPr>
              <w:t>比选</w:t>
            </w:r>
            <w:r>
              <w:rPr>
                <w:rFonts w:ascii="宋体" w:hAnsi="宋体"/>
                <w:color w:val="auto"/>
                <w:highlight w:val="none"/>
              </w:rPr>
              <w:t>人造成损失的，投标人依法承担违约赔偿责任。</w:t>
            </w:r>
          </w:p>
          <w:p>
            <w:pPr>
              <w:snapToGrid w:val="0"/>
              <w:spacing w:line="400" w:lineRule="exact"/>
              <w:ind w:firstLine="420" w:firstLineChars="200"/>
              <w:rPr>
                <w:rFonts w:ascii="宋体" w:hAnsi="宋体"/>
                <w:color w:val="auto"/>
                <w:highlight w:val="none"/>
              </w:rPr>
            </w:pPr>
            <w:r>
              <w:rPr>
                <w:rFonts w:hint="eastAsia" w:ascii="宋体" w:hAnsi="宋体"/>
                <w:color w:val="auto"/>
                <w:highlight w:val="none"/>
                <w:lang w:val="en-US" w:eastAsia="zh-CN"/>
              </w:rPr>
              <w:t>4</w:t>
            </w:r>
            <w:r>
              <w:rPr>
                <w:rFonts w:ascii="宋体" w:hAnsi="宋体"/>
                <w:color w:val="auto"/>
                <w:highlight w:val="none"/>
              </w:rPr>
              <w:t>.2.3项目经理的其它承诺要求：为保证</w:t>
            </w:r>
            <w:r>
              <w:rPr>
                <w:rFonts w:hint="eastAsia" w:ascii="宋体" w:hAnsi="宋体"/>
                <w:color w:val="auto"/>
                <w:kern w:val="0"/>
                <w:szCs w:val="21"/>
                <w:highlight w:val="none"/>
                <w:lang w:val="en-US" w:eastAsia="zh-CN"/>
              </w:rPr>
              <w:t>竞选</w:t>
            </w:r>
            <w:r>
              <w:rPr>
                <w:rFonts w:hint="eastAsia" w:ascii="宋体" w:hAnsi="宋体"/>
                <w:color w:val="auto"/>
                <w:highlight w:val="none"/>
              </w:rPr>
              <w:t>人</w:t>
            </w:r>
            <w:r>
              <w:rPr>
                <w:rFonts w:ascii="宋体" w:hAnsi="宋体"/>
                <w:color w:val="auto"/>
                <w:highlight w:val="none"/>
              </w:rPr>
              <w:t>拟派的项目经理到本项目到岗履职，</w:t>
            </w:r>
            <w:r>
              <w:rPr>
                <w:rFonts w:hint="eastAsia" w:ascii="宋体" w:hAnsi="宋体"/>
                <w:color w:val="auto"/>
                <w:kern w:val="0"/>
                <w:szCs w:val="21"/>
                <w:highlight w:val="none"/>
                <w:lang w:val="en-US" w:eastAsia="zh-CN"/>
              </w:rPr>
              <w:t>竞选</w:t>
            </w:r>
            <w:r>
              <w:rPr>
                <w:rFonts w:hint="eastAsia" w:ascii="宋体" w:hAnsi="宋体"/>
                <w:color w:val="auto"/>
                <w:highlight w:val="none"/>
              </w:rPr>
              <w:t>人</w:t>
            </w:r>
            <w:r>
              <w:rPr>
                <w:rFonts w:ascii="宋体" w:hAnsi="宋体"/>
                <w:color w:val="auto"/>
                <w:highlight w:val="none"/>
              </w:rPr>
              <w:t>还需承诺：</w:t>
            </w:r>
          </w:p>
          <w:p>
            <w:pPr>
              <w:snapToGrid w:val="0"/>
              <w:spacing w:line="400" w:lineRule="exact"/>
              <w:ind w:firstLine="420" w:firstLineChars="200"/>
              <w:rPr>
                <w:rFonts w:ascii="宋体" w:hAnsi="宋体"/>
                <w:color w:val="auto"/>
                <w:highlight w:val="none"/>
              </w:rPr>
            </w:pPr>
            <w:r>
              <w:rPr>
                <w:rFonts w:ascii="宋体" w:hAnsi="宋体"/>
                <w:color w:val="auto"/>
                <w:highlight w:val="none"/>
              </w:rPr>
              <w:t>若</w:t>
            </w:r>
            <w:r>
              <w:rPr>
                <w:rFonts w:hint="eastAsia" w:ascii="宋体" w:hAnsi="宋体"/>
                <w:color w:val="auto"/>
                <w:highlight w:val="none"/>
              </w:rPr>
              <w:t>投标人</w:t>
            </w:r>
            <w:r>
              <w:rPr>
                <w:rFonts w:ascii="宋体" w:hAnsi="宋体"/>
                <w:color w:val="auto"/>
                <w:highlight w:val="none"/>
              </w:rPr>
              <w:t>拟派本项目的项目经理有在其他项目任职的情形的（或有在其他项目中标或拟中标的情形的），应在收到中标通知书后</w:t>
            </w:r>
            <w:r>
              <w:rPr>
                <w:rFonts w:ascii="宋体" w:hAnsi="宋体"/>
                <w:color w:val="auto"/>
                <w:highlight w:val="none"/>
                <w:u w:val="single"/>
              </w:rPr>
              <w:t xml:space="preserve"> 14 </w:t>
            </w:r>
            <w:r>
              <w:rPr>
                <w:rFonts w:ascii="宋体" w:hAnsi="宋体"/>
                <w:color w:val="auto"/>
                <w:highlight w:val="none"/>
              </w:rPr>
              <w:t>日（7～30日）内，办理完成放弃在其他项目任职的手续（或办理完成放弃在其他项目中标或拟中标的手续），招标人在合同签订前有权对</w:t>
            </w:r>
            <w:r>
              <w:rPr>
                <w:rFonts w:hint="eastAsia" w:ascii="宋体" w:hAnsi="宋体"/>
                <w:color w:val="auto"/>
                <w:highlight w:val="none"/>
              </w:rPr>
              <w:t>投标人</w:t>
            </w:r>
            <w:r>
              <w:rPr>
                <w:rFonts w:ascii="宋体" w:hAnsi="宋体"/>
                <w:color w:val="auto"/>
                <w:highlight w:val="none"/>
              </w:rPr>
              <w:t>拟派项目经理在其他项目的任职情形（或在其他项目的中标或拟中标情形）进行核查，若与</w:t>
            </w:r>
            <w:r>
              <w:rPr>
                <w:rFonts w:hint="eastAsia" w:ascii="宋体" w:hAnsi="宋体"/>
                <w:color w:val="auto"/>
                <w:highlight w:val="none"/>
              </w:rPr>
              <w:t>投标人</w:t>
            </w:r>
            <w:r>
              <w:rPr>
                <w:rFonts w:ascii="宋体" w:hAnsi="宋体"/>
                <w:color w:val="auto"/>
                <w:highlight w:val="none"/>
              </w:rPr>
              <w:t>承诺内容不符或</w:t>
            </w:r>
            <w:r>
              <w:rPr>
                <w:rFonts w:hint="eastAsia" w:ascii="宋体" w:hAnsi="宋体"/>
                <w:color w:val="auto"/>
                <w:kern w:val="0"/>
                <w:szCs w:val="21"/>
                <w:highlight w:val="none"/>
                <w:lang w:val="en-US" w:eastAsia="zh-CN"/>
              </w:rPr>
              <w:t>竞选</w:t>
            </w:r>
            <w:r>
              <w:rPr>
                <w:rFonts w:hint="eastAsia" w:ascii="宋体" w:hAnsi="宋体"/>
                <w:color w:val="auto"/>
                <w:highlight w:val="none"/>
              </w:rPr>
              <w:t>人</w:t>
            </w:r>
            <w:r>
              <w:rPr>
                <w:rFonts w:ascii="宋体" w:hAnsi="宋体"/>
                <w:color w:val="auto"/>
                <w:highlight w:val="none"/>
              </w:rPr>
              <w:t>未在上述时间内按照</w:t>
            </w:r>
            <w:r>
              <w:rPr>
                <w:rFonts w:hint="eastAsia" w:ascii="宋体" w:hAnsi="宋体"/>
                <w:color w:val="auto"/>
                <w:highlight w:val="none"/>
                <w:lang w:val="en-US" w:eastAsia="zh-CN"/>
              </w:rPr>
              <w:t>比选</w:t>
            </w:r>
            <w:r>
              <w:rPr>
                <w:rFonts w:ascii="宋体" w:hAnsi="宋体"/>
                <w:color w:val="auto"/>
                <w:highlight w:val="none"/>
              </w:rPr>
              <w:t>文件规定递交放弃在其他项目任职、中标或拟中标的相关资料，视为</w:t>
            </w:r>
            <w:r>
              <w:rPr>
                <w:rFonts w:hint="eastAsia" w:ascii="宋体" w:hAnsi="宋体"/>
                <w:color w:val="auto"/>
                <w:kern w:val="0"/>
                <w:szCs w:val="21"/>
                <w:highlight w:val="none"/>
                <w:lang w:val="en-US" w:eastAsia="zh-CN"/>
              </w:rPr>
              <w:t>竞选</w:t>
            </w:r>
            <w:r>
              <w:rPr>
                <w:rFonts w:hint="eastAsia" w:ascii="宋体" w:hAnsi="宋体"/>
                <w:color w:val="auto"/>
                <w:highlight w:val="none"/>
              </w:rPr>
              <w:t>人</w:t>
            </w:r>
            <w:r>
              <w:rPr>
                <w:rFonts w:ascii="宋体" w:hAnsi="宋体"/>
                <w:color w:val="auto"/>
                <w:highlight w:val="none"/>
              </w:rPr>
              <w:t>放弃中标资格，</w:t>
            </w:r>
            <w:r>
              <w:rPr>
                <w:rFonts w:hint="eastAsia" w:ascii="宋体" w:hAnsi="宋体"/>
                <w:color w:val="auto"/>
                <w:highlight w:val="none"/>
                <w:lang w:val="en-US" w:eastAsia="zh-CN"/>
              </w:rPr>
              <w:t>比选</w:t>
            </w:r>
            <w:r>
              <w:rPr>
                <w:rFonts w:ascii="宋体" w:hAnsi="宋体"/>
                <w:color w:val="auto"/>
                <w:highlight w:val="none"/>
              </w:rPr>
              <w:t>人不退还其</w:t>
            </w:r>
            <w:r>
              <w:rPr>
                <w:rFonts w:hint="eastAsia" w:ascii="宋体" w:hAnsi="宋体"/>
                <w:color w:val="auto"/>
                <w:highlight w:val="none"/>
                <w:lang w:val="en-US" w:eastAsia="zh-CN"/>
              </w:rPr>
              <w:t>竞选</w:t>
            </w:r>
            <w:r>
              <w:rPr>
                <w:rFonts w:ascii="宋体" w:hAnsi="宋体"/>
                <w:color w:val="auto"/>
                <w:highlight w:val="none"/>
              </w:rPr>
              <w:t>保证金。在合同签订时，</w:t>
            </w:r>
            <w:r>
              <w:rPr>
                <w:rFonts w:hint="eastAsia" w:ascii="宋体" w:hAnsi="宋体"/>
                <w:color w:val="auto"/>
                <w:kern w:val="0"/>
                <w:szCs w:val="21"/>
                <w:highlight w:val="none"/>
                <w:lang w:val="en-US" w:eastAsia="zh-CN"/>
              </w:rPr>
              <w:t>竞选</w:t>
            </w:r>
            <w:r>
              <w:rPr>
                <w:rFonts w:hint="eastAsia" w:ascii="宋体" w:hAnsi="宋体"/>
                <w:color w:val="auto"/>
                <w:highlight w:val="none"/>
              </w:rPr>
              <w:t>人</w:t>
            </w:r>
            <w:r>
              <w:rPr>
                <w:rFonts w:ascii="宋体" w:hAnsi="宋体"/>
                <w:color w:val="auto"/>
                <w:highlight w:val="none"/>
              </w:rPr>
              <w:t>需确保拟派项目经理符合《建筑施工企业项目经理资质管理办法》规定的项目经理任职条件，否则视为</w:t>
            </w:r>
            <w:r>
              <w:rPr>
                <w:rFonts w:hint="eastAsia" w:ascii="宋体" w:hAnsi="宋体"/>
                <w:color w:val="auto"/>
                <w:kern w:val="0"/>
                <w:szCs w:val="21"/>
                <w:highlight w:val="none"/>
                <w:lang w:val="en-US" w:eastAsia="zh-CN"/>
              </w:rPr>
              <w:t>竞选</w:t>
            </w:r>
            <w:r>
              <w:rPr>
                <w:rFonts w:hint="eastAsia" w:ascii="宋体" w:hAnsi="宋体"/>
                <w:color w:val="auto"/>
                <w:highlight w:val="none"/>
              </w:rPr>
              <w:t>人</w:t>
            </w:r>
            <w:r>
              <w:rPr>
                <w:rFonts w:ascii="宋体" w:hAnsi="宋体"/>
                <w:color w:val="auto"/>
                <w:highlight w:val="none"/>
              </w:rPr>
              <w:t>放弃中标资格，</w:t>
            </w:r>
            <w:r>
              <w:rPr>
                <w:rFonts w:hint="eastAsia" w:ascii="宋体" w:hAnsi="宋体"/>
                <w:color w:val="auto"/>
                <w:highlight w:val="none"/>
                <w:lang w:val="en-US" w:eastAsia="zh-CN"/>
              </w:rPr>
              <w:t>比选</w:t>
            </w:r>
            <w:r>
              <w:rPr>
                <w:rFonts w:ascii="宋体" w:hAnsi="宋体"/>
                <w:color w:val="auto"/>
                <w:highlight w:val="none"/>
              </w:rPr>
              <w:t>人不退还其投标保证金。</w:t>
            </w:r>
          </w:p>
          <w:p>
            <w:pPr>
              <w:snapToGrid w:val="0"/>
              <w:spacing w:line="400" w:lineRule="exact"/>
              <w:ind w:firstLine="420" w:firstLineChars="200"/>
              <w:rPr>
                <w:rFonts w:ascii="宋体" w:hAnsi="宋体"/>
                <w:color w:val="auto"/>
                <w:highlight w:val="none"/>
              </w:rPr>
            </w:pPr>
            <w:r>
              <w:rPr>
                <w:rFonts w:ascii="宋体" w:hAnsi="宋体"/>
                <w:color w:val="auto"/>
                <w:highlight w:val="none"/>
              </w:rPr>
              <w:t>放弃在其他项目任职的需提供：①经业主或建设单位同意任职变更的文件；②负责项目监管的行业行政主管部门出具同意任职变更的证明材料。</w:t>
            </w:r>
          </w:p>
          <w:p>
            <w:pPr>
              <w:snapToGrid w:val="0"/>
              <w:spacing w:line="400" w:lineRule="exact"/>
              <w:ind w:firstLine="420" w:firstLineChars="200"/>
              <w:rPr>
                <w:rFonts w:ascii="宋体" w:hAnsi="宋体"/>
                <w:color w:val="auto"/>
                <w:highlight w:val="none"/>
              </w:rPr>
            </w:pPr>
            <w:r>
              <w:rPr>
                <w:rFonts w:ascii="宋体" w:hAnsi="宋体"/>
                <w:color w:val="auto"/>
                <w:highlight w:val="none"/>
              </w:rPr>
              <w:t>放弃在其他项目中标或拟中标的需提供：①经中标或拟中标的其他项目建设单位同意的放弃中标函</w:t>
            </w:r>
            <w:r>
              <w:rPr>
                <w:rFonts w:hint="eastAsia" w:ascii="宋体" w:hAnsi="宋体"/>
                <w:color w:val="auto"/>
                <w:highlight w:val="none"/>
              </w:rPr>
              <w:t>。</w:t>
            </w:r>
          </w:p>
          <w:p>
            <w:pPr>
              <w:snapToGrid w:val="0"/>
              <w:spacing w:line="400" w:lineRule="exact"/>
              <w:ind w:firstLine="420" w:firstLineChars="200"/>
              <w:rPr>
                <w:rFonts w:ascii="宋体" w:hAnsi="宋体"/>
                <w:color w:val="auto"/>
                <w:szCs w:val="21"/>
                <w:highlight w:val="none"/>
              </w:rPr>
            </w:pPr>
            <w:r>
              <w:rPr>
                <w:rFonts w:hint="eastAsia" w:ascii="宋体" w:hAnsi="宋体"/>
                <w:color w:val="auto"/>
                <w:highlight w:val="none"/>
                <w:lang w:val="en-US" w:eastAsia="zh-CN"/>
              </w:rPr>
              <w:t>4</w:t>
            </w:r>
            <w:r>
              <w:rPr>
                <w:rFonts w:hint="eastAsia" w:ascii="宋体" w:hAnsi="宋体"/>
                <w:color w:val="auto"/>
                <w:highlight w:val="none"/>
              </w:rPr>
              <w:t>.2.4未提供上述承诺或承诺内容不符合要求的，由评标委员会作否决投标处理</w:t>
            </w:r>
            <w:r>
              <w:rPr>
                <w:rFonts w:ascii="宋体" w:hAnsi="宋体"/>
                <w:color w:val="auto"/>
                <w:highlight w:val="none"/>
              </w:rPr>
              <w:t>。</w:t>
            </w:r>
          </w:p>
          <w:p>
            <w:pPr>
              <w:snapToGrid w:val="0"/>
              <w:spacing w:line="400" w:lineRule="exact"/>
              <w:ind w:firstLine="420" w:firstLineChars="200"/>
              <w:rPr>
                <w:rFonts w:hint="eastAsia" w:ascii="宋体" w:hAnsi="宋体"/>
                <w:color w:val="auto"/>
                <w:kern w:val="0"/>
                <w:szCs w:val="21"/>
                <w:highlight w:val="none"/>
              </w:rPr>
            </w:pPr>
            <w:r>
              <w:rPr>
                <w:rFonts w:hint="eastAsia" w:ascii="宋体" w:hAnsi="宋体"/>
                <w:color w:val="auto"/>
                <w:kern w:val="0"/>
                <w:szCs w:val="21"/>
                <w:highlight w:val="none"/>
                <w:lang w:val="en-US" w:eastAsia="zh-CN"/>
              </w:rPr>
              <w:t>竞选</w:t>
            </w:r>
            <w:r>
              <w:rPr>
                <w:rFonts w:hint="eastAsia" w:ascii="宋体" w:hAnsi="宋体"/>
                <w:color w:val="auto"/>
                <w:kern w:val="0"/>
                <w:szCs w:val="21"/>
                <w:highlight w:val="none"/>
              </w:rPr>
              <w:t>人须在</w:t>
            </w:r>
            <w:r>
              <w:rPr>
                <w:rFonts w:hint="eastAsia" w:ascii="宋体" w:hAnsi="宋体"/>
                <w:color w:val="auto"/>
                <w:kern w:val="0"/>
                <w:szCs w:val="21"/>
                <w:highlight w:val="none"/>
                <w:lang w:val="en-US" w:eastAsia="zh-CN"/>
              </w:rPr>
              <w:t>竞选</w:t>
            </w:r>
            <w:r>
              <w:rPr>
                <w:rFonts w:hint="eastAsia" w:ascii="宋体" w:hAnsi="宋体"/>
                <w:color w:val="auto"/>
                <w:kern w:val="0"/>
                <w:szCs w:val="21"/>
                <w:highlight w:val="none"/>
              </w:rPr>
              <w:t>文件资格审查部分提供有效的拟派项目经理建造师注册证、身份证、投标人为其缴纳的养老保险证明材料复印件，拟派项目经理到岗履职和未被禁止参与投标的承诺原件（承诺格式见第八章投标文件格式）。</w:t>
            </w:r>
          </w:p>
          <w:p>
            <w:pPr>
              <w:snapToGrid w:val="0"/>
              <w:spacing w:line="400" w:lineRule="exact"/>
              <w:ind w:firstLine="420" w:firstLineChars="200"/>
              <w:rPr>
                <w:rFonts w:hint="eastAsia" w:ascii="宋体" w:hAnsi="宋体"/>
                <w:color w:val="auto"/>
                <w:kern w:val="0"/>
                <w:szCs w:val="21"/>
                <w:highlight w:val="none"/>
              </w:rPr>
            </w:pPr>
            <w:r>
              <w:rPr>
                <w:rFonts w:hint="eastAsia" w:ascii="宋体" w:hAnsi="宋体"/>
                <w:color w:val="auto"/>
                <w:kern w:val="0"/>
                <w:szCs w:val="21"/>
                <w:highlight w:val="none"/>
              </w:rPr>
              <w:t>注：</w:t>
            </w:r>
            <w:r>
              <w:rPr>
                <w:rFonts w:hint="eastAsia" w:ascii="宋体" w:hAnsi="宋体"/>
                <w:color w:val="auto"/>
                <w:kern w:val="0"/>
                <w:szCs w:val="21"/>
                <w:highlight w:val="none"/>
                <w:lang w:eastAsia="zh-CN"/>
              </w:rPr>
              <w:t>（</w:t>
            </w:r>
            <w:r>
              <w:rPr>
                <w:rFonts w:hint="eastAsia" w:ascii="宋体" w:hAnsi="宋体"/>
                <w:color w:val="auto"/>
                <w:kern w:val="0"/>
                <w:szCs w:val="21"/>
                <w:highlight w:val="none"/>
                <w:lang w:val="en-US" w:eastAsia="zh-CN"/>
              </w:rPr>
              <w:t>1</w:t>
            </w:r>
            <w:r>
              <w:rPr>
                <w:rFonts w:hint="eastAsia" w:ascii="宋体" w:hAnsi="宋体"/>
                <w:color w:val="auto"/>
                <w:kern w:val="0"/>
                <w:szCs w:val="21"/>
                <w:highlight w:val="none"/>
                <w:lang w:eastAsia="zh-CN"/>
              </w:rPr>
              <w:t>）</w:t>
            </w:r>
            <w:r>
              <w:rPr>
                <w:rFonts w:hint="eastAsia" w:ascii="宋体" w:hAnsi="宋体"/>
                <w:color w:val="auto"/>
                <w:kern w:val="0"/>
                <w:szCs w:val="21"/>
                <w:highlight w:val="none"/>
              </w:rPr>
              <w:t>提供拟派的项目经理为一级建造师或重庆市二级建造师注册人员的，必须提供建造师电子注册证书，且该建造师电子注册证书须由建造师本人在个人签名处手写本人签名。</w:t>
            </w:r>
          </w:p>
          <w:p>
            <w:pPr>
              <w:snapToGrid w:val="0"/>
              <w:spacing w:line="400" w:lineRule="exact"/>
              <w:ind w:firstLine="420" w:firstLineChars="200"/>
              <w:rPr>
                <w:rFonts w:hint="eastAsia" w:ascii="宋体" w:hAnsi="宋体"/>
                <w:color w:val="auto"/>
                <w:kern w:val="0"/>
                <w:szCs w:val="21"/>
                <w:highlight w:val="none"/>
              </w:rPr>
            </w:pPr>
            <w:r>
              <w:rPr>
                <w:rFonts w:hint="eastAsia" w:ascii="宋体" w:hAnsi="宋体"/>
                <w:color w:val="auto"/>
                <w:kern w:val="0"/>
                <w:szCs w:val="21"/>
                <w:highlight w:val="none"/>
                <w:lang w:eastAsia="zh-CN"/>
              </w:rPr>
              <w:t>（</w:t>
            </w:r>
            <w:r>
              <w:rPr>
                <w:rFonts w:hint="eastAsia" w:ascii="宋体" w:hAnsi="宋体"/>
                <w:color w:val="auto"/>
                <w:kern w:val="0"/>
                <w:szCs w:val="21"/>
                <w:highlight w:val="none"/>
                <w:lang w:val="en-US" w:eastAsia="zh-CN"/>
              </w:rPr>
              <w:t>2</w:t>
            </w:r>
            <w:r>
              <w:rPr>
                <w:rFonts w:hint="eastAsia" w:ascii="宋体" w:hAnsi="宋体"/>
                <w:color w:val="auto"/>
                <w:kern w:val="0"/>
                <w:szCs w:val="21"/>
                <w:highlight w:val="none"/>
                <w:lang w:eastAsia="zh-CN"/>
              </w:rPr>
              <w:t>）</w:t>
            </w:r>
            <w:r>
              <w:rPr>
                <w:rFonts w:hint="eastAsia" w:ascii="宋体" w:hAnsi="宋体"/>
                <w:color w:val="auto"/>
                <w:kern w:val="0"/>
                <w:szCs w:val="21"/>
                <w:highlight w:val="none"/>
              </w:rPr>
              <w:t>重庆市以外的省级住房城乡建设主管部门对二级建造师电子注册证书使用有明确规定的，从其规定。未规定使用电子注册证书的，可提供纸质证书扫描件。</w:t>
            </w:r>
          </w:p>
          <w:p>
            <w:pPr>
              <w:autoSpaceDE w:val="0"/>
              <w:autoSpaceDN w:val="0"/>
              <w:adjustRightInd w:val="0"/>
              <w:snapToGrid w:val="0"/>
              <w:spacing w:line="400" w:lineRule="exact"/>
              <w:ind w:firstLine="420" w:firstLineChars="200"/>
              <w:rPr>
                <w:color w:val="auto"/>
                <w:highlight w:val="none"/>
              </w:rPr>
            </w:pPr>
            <w:r>
              <w:rPr>
                <w:rFonts w:hint="eastAsia" w:ascii="宋体" w:hAnsi="宋体"/>
                <w:color w:val="auto"/>
                <w:kern w:val="0"/>
                <w:szCs w:val="21"/>
                <w:highlight w:val="none"/>
                <w:lang w:eastAsia="zh-CN"/>
              </w:rPr>
              <w:t>（</w:t>
            </w:r>
            <w:r>
              <w:rPr>
                <w:rFonts w:hint="eastAsia" w:ascii="宋体" w:hAnsi="宋体"/>
                <w:color w:val="auto"/>
                <w:kern w:val="0"/>
                <w:szCs w:val="21"/>
                <w:highlight w:val="none"/>
                <w:lang w:val="en-US" w:eastAsia="zh-CN"/>
              </w:rPr>
              <w:t>3</w:t>
            </w:r>
            <w:r>
              <w:rPr>
                <w:rFonts w:hint="eastAsia" w:ascii="宋体" w:hAnsi="宋体"/>
                <w:color w:val="auto"/>
                <w:kern w:val="0"/>
                <w:szCs w:val="21"/>
                <w:highlight w:val="none"/>
                <w:lang w:eastAsia="zh-CN"/>
              </w:rPr>
              <w:t>）</w:t>
            </w:r>
            <w:r>
              <w:rPr>
                <w:rFonts w:hint="eastAsia" w:ascii="宋体" w:hAnsi="宋体"/>
                <w:color w:val="auto"/>
                <w:kern w:val="0"/>
                <w:szCs w:val="21"/>
                <w:highlight w:val="none"/>
              </w:rPr>
              <w:t>建造师电子注册证书本人手写签名与签名图像笔迹是否一致不作为否决投标的情形。</w:t>
            </w:r>
          </w:p>
          <w:p>
            <w:pPr>
              <w:autoSpaceDE w:val="0"/>
              <w:autoSpaceDN w:val="0"/>
              <w:adjustRightInd w:val="0"/>
              <w:snapToGrid w:val="0"/>
              <w:spacing w:line="400" w:lineRule="exact"/>
              <w:ind w:firstLine="422" w:firstLineChars="200"/>
              <w:rPr>
                <w:rFonts w:ascii="宋体" w:hAnsi="宋体"/>
                <w:color w:val="auto"/>
                <w:spacing w:val="-24"/>
                <w:kern w:val="0"/>
                <w:szCs w:val="21"/>
                <w:highlight w:val="none"/>
              </w:rPr>
            </w:pPr>
            <w:r>
              <w:rPr>
                <w:rFonts w:hint="eastAsia" w:ascii="宋体" w:hAnsi="宋体"/>
                <w:b/>
                <w:color w:val="auto"/>
                <w:szCs w:val="21"/>
                <w:highlight w:val="none"/>
                <w:lang w:val="en-US" w:eastAsia="zh-CN"/>
              </w:rPr>
              <w:t>5</w:t>
            </w:r>
            <w:r>
              <w:rPr>
                <w:rFonts w:ascii="宋体" w:hAnsi="宋体"/>
                <w:b/>
                <w:color w:val="auto"/>
                <w:szCs w:val="21"/>
                <w:highlight w:val="none"/>
              </w:rPr>
              <w:t>.其他要求</w:t>
            </w:r>
          </w:p>
          <w:p>
            <w:pPr>
              <w:snapToGrid w:val="0"/>
              <w:spacing w:line="400" w:lineRule="exact"/>
              <w:ind w:firstLine="420" w:firstLineChars="200"/>
              <w:rPr>
                <w:rFonts w:ascii="宋体" w:hAnsi="宋体"/>
                <w:color w:val="auto"/>
                <w:szCs w:val="21"/>
                <w:highlight w:val="none"/>
              </w:rPr>
            </w:pPr>
            <w:r>
              <w:rPr>
                <w:rFonts w:ascii="宋体" w:hAnsi="宋体"/>
                <w:color w:val="auto"/>
                <w:kern w:val="0"/>
                <w:szCs w:val="21"/>
                <w:highlight w:val="none"/>
              </w:rPr>
              <w:t>（1）</w:t>
            </w:r>
            <w:r>
              <w:rPr>
                <w:rFonts w:ascii="宋体" w:hAnsi="宋体"/>
                <w:color w:val="auto"/>
                <w:szCs w:val="21"/>
                <w:highlight w:val="none"/>
              </w:rPr>
              <w:t>项目技术负责人：</w:t>
            </w:r>
          </w:p>
          <w:p>
            <w:pPr>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lang w:val="en-US" w:eastAsia="zh-CN"/>
              </w:rPr>
              <w:t>项目技术负责人人数要求：3人；均</w:t>
            </w:r>
            <w:r>
              <w:rPr>
                <w:rFonts w:ascii="宋体" w:hAnsi="宋体"/>
                <w:color w:val="auto"/>
                <w:szCs w:val="21"/>
                <w:highlight w:val="none"/>
              </w:rPr>
              <w:t>应具有</w:t>
            </w:r>
            <w:r>
              <w:rPr>
                <w:rFonts w:hint="eastAsia" w:ascii="宋体" w:hAnsi="宋体"/>
                <w:color w:val="auto"/>
                <w:szCs w:val="21"/>
                <w:highlight w:val="none"/>
                <w:u w:val="single"/>
              </w:rPr>
              <w:t xml:space="preserve">工程类 </w:t>
            </w:r>
            <w:r>
              <w:rPr>
                <w:rFonts w:hint="eastAsia" w:ascii="宋体" w:hAnsi="宋体"/>
                <w:color w:val="auto"/>
                <w:szCs w:val="21"/>
                <w:highlight w:val="none"/>
                <w:u w:val="single"/>
                <w:lang w:val="en-US" w:eastAsia="zh-CN"/>
              </w:rPr>
              <w:t xml:space="preserve">中 </w:t>
            </w:r>
            <w:r>
              <w:rPr>
                <w:rFonts w:ascii="宋体" w:hAnsi="宋体"/>
                <w:color w:val="auto"/>
                <w:szCs w:val="21"/>
                <w:highlight w:val="none"/>
                <w:u w:val="single"/>
              </w:rPr>
              <w:t>级及以上</w:t>
            </w:r>
            <w:r>
              <w:rPr>
                <w:rFonts w:ascii="宋体" w:hAnsi="宋体"/>
                <w:color w:val="auto"/>
                <w:szCs w:val="21"/>
                <w:highlight w:val="none"/>
              </w:rPr>
              <w:t>职称；</w:t>
            </w:r>
          </w:p>
          <w:p>
            <w:pPr>
              <w:autoSpaceDE w:val="0"/>
              <w:autoSpaceDN w:val="0"/>
              <w:adjustRightInd w:val="0"/>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投标人须在投标文件资格审查部分提供拟派技术负责人身份证、职称证及投标人本单位为其缴纳的养老保险证明材料复印件。</w:t>
            </w:r>
          </w:p>
          <w:p>
            <w:pPr>
              <w:autoSpaceDE w:val="0"/>
              <w:autoSpaceDN w:val="0"/>
              <w:adjustRightInd w:val="0"/>
              <w:snapToGrid w:val="0"/>
              <w:spacing w:line="400" w:lineRule="exact"/>
              <w:ind w:firstLine="420" w:firstLineChars="200"/>
              <w:rPr>
                <w:rFonts w:ascii="宋体" w:hAnsi="宋体"/>
                <w:color w:val="auto"/>
                <w:szCs w:val="21"/>
                <w:highlight w:val="none"/>
              </w:rPr>
            </w:pPr>
            <w:r>
              <w:rPr>
                <w:rFonts w:ascii="宋体" w:hAnsi="宋体"/>
                <w:color w:val="auto"/>
                <w:kern w:val="0"/>
                <w:szCs w:val="21"/>
                <w:highlight w:val="none"/>
              </w:rPr>
              <w:t>（2）</w:t>
            </w:r>
            <w:r>
              <w:rPr>
                <w:rFonts w:ascii="宋体" w:hAnsi="宋体"/>
                <w:color w:val="auto"/>
                <w:szCs w:val="21"/>
                <w:highlight w:val="none"/>
              </w:rPr>
              <w:t>主要管理人员：</w:t>
            </w:r>
          </w:p>
          <w:p>
            <w:pPr>
              <w:autoSpaceDE w:val="0"/>
              <w:autoSpaceDN w:val="0"/>
              <w:adjustRightIn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投标人自行承诺中标后在签订合同之前，须按照建设行政主管部门的要求组建施工项目部，</w:t>
            </w:r>
            <w:r>
              <w:rPr>
                <w:rFonts w:hint="eastAsia" w:ascii="宋体" w:hAnsi="宋体" w:eastAsia="宋体" w:cs="Times New Roman"/>
                <w:color w:val="auto"/>
                <w:sz w:val="21"/>
                <w:szCs w:val="21"/>
                <w:highlight w:val="none"/>
                <w:u w:val="single"/>
                <w:lang w:val="en-US" w:eastAsia="zh-CN"/>
              </w:rPr>
              <w:t>分别为“江南春城-阳光水岸项目土石方工程”、“江南春城-水木兰亭项目土石方工程”、“广滨壹号-江枫苑项目土石方工程”</w:t>
            </w:r>
            <w:r>
              <w:rPr>
                <w:rFonts w:hint="eastAsia" w:ascii="宋体" w:hAnsi="宋体"/>
                <w:color w:val="auto"/>
                <w:szCs w:val="21"/>
                <w:highlight w:val="none"/>
              </w:rPr>
              <w:t>配置项目管理班子，出具任命文件。任命文件应当明确施工项目部的职责、岗位设置、人员配备，并书面通知建设单位。相关岗位管理人员应持有建设行政主管部门要求的岗位证书，并提供投标人为其缴纳的养老保险证明材料。中标后不能满足该要求的，招标人可取消其中标资格，给招标人造成损失的，投标人依法承担违约赔偿责任。</w:t>
            </w:r>
          </w:p>
          <w:p>
            <w:pPr>
              <w:autoSpaceDE w:val="0"/>
              <w:autoSpaceDN w:val="0"/>
              <w:adjustRightIn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投标人须在投标文件资格审查部分提供承诺（承诺格式见第八章投标文件格式）。</w:t>
            </w:r>
          </w:p>
          <w:p>
            <w:pPr>
              <w:autoSpaceDE w:val="0"/>
              <w:autoSpaceDN w:val="0"/>
              <w:adjustRightInd w:val="0"/>
              <w:snapToGrid w:val="0"/>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w:t>
            </w:r>
            <w:r>
              <w:rPr>
                <w:rFonts w:hint="eastAsia" w:ascii="宋体" w:hAnsi="宋体"/>
                <w:color w:val="auto"/>
                <w:kern w:val="0"/>
                <w:szCs w:val="21"/>
                <w:highlight w:val="none"/>
              </w:rPr>
              <w:t>3</w:t>
            </w:r>
            <w:r>
              <w:rPr>
                <w:rFonts w:ascii="宋体" w:hAnsi="宋体"/>
                <w:color w:val="auto"/>
                <w:kern w:val="0"/>
                <w:szCs w:val="21"/>
                <w:highlight w:val="none"/>
              </w:rPr>
              <w:t>）委托代理人</w:t>
            </w:r>
            <w:r>
              <w:rPr>
                <w:rFonts w:hint="eastAsia" w:ascii="宋体" w:hAnsi="宋体"/>
                <w:color w:val="auto"/>
                <w:kern w:val="0"/>
                <w:szCs w:val="21"/>
                <w:highlight w:val="none"/>
              </w:rPr>
              <w:t>：</w:t>
            </w:r>
          </w:p>
          <w:p>
            <w:pPr>
              <w:autoSpaceDE w:val="0"/>
              <w:autoSpaceDN w:val="0"/>
              <w:adjustRightInd w:val="0"/>
              <w:snapToGrid w:val="0"/>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委托代理人必须为</w:t>
            </w:r>
            <w:r>
              <w:rPr>
                <w:rFonts w:hint="eastAsia" w:ascii="宋体" w:hAnsi="宋体"/>
                <w:color w:val="auto"/>
                <w:kern w:val="0"/>
                <w:szCs w:val="21"/>
                <w:highlight w:val="none"/>
                <w:lang w:eastAsia="zh-CN"/>
              </w:rPr>
              <w:t>竞选人</w:t>
            </w:r>
            <w:r>
              <w:rPr>
                <w:rFonts w:ascii="宋体" w:hAnsi="宋体"/>
                <w:color w:val="auto"/>
                <w:kern w:val="0"/>
                <w:szCs w:val="21"/>
                <w:highlight w:val="none"/>
              </w:rPr>
              <w:t>本单位</w:t>
            </w:r>
            <w:r>
              <w:rPr>
                <w:rFonts w:hint="eastAsia" w:ascii="宋体" w:hAnsi="宋体"/>
                <w:color w:val="auto"/>
                <w:kern w:val="0"/>
                <w:szCs w:val="21"/>
                <w:highlight w:val="none"/>
              </w:rPr>
              <w:t>人员。</w:t>
            </w:r>
          </w:p>
          <w:p>
            <w:pPr>
              <w:autoSpaceDE w:val="0"/>
              <w:autoSpaceDN w:val="0"/>
              <w:adjustRightInd w:val="0"/>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lang w:eastAsia="zh-CN"/>
              </w:rPr>
              <w:t>竞选人</w:t>
            </w:r>
            <w:r>
              <w:rPr>
                <w:rFonts w:ascii="宋体" w:hAnsi="宋体"/>
                <w:color w:val="auto"/>
                <w:kern w:val="0"/>
                <w:szCs w:val="21"/>
                <w:highlight w:val="none"/>
              </w:rPr>
              <w:t>须</w:t>
            </w:r>
            <w:r>
              <w:rPr>
                <w:rFonts w:hint="eastAsia" w:ascii="宋体" w:hAnsi="宋体"/>
                <w:color w:val="auto"/>
                <w:kern w:val="0"/>
                <w:szCs w:val="21"/>
                <w:highlight w:val="none"/>
              </w:rPr>
              <w:t>在</w:t>
            </w:r>
            <w:r>
              <w:rPr>
                <w:rFonts w:hint="eastAsia" w:ascii="宋体" w:hAnsi="宋体"/>
                <w:color w:val="auto"/>
                <w:kern w:val="0"/>
                <w:szCs w:val="21"/>
                <w:highlight w:val="none"/>
                <w:lang w:eastAsia="zh-CN"/>
              </w:rPr>
              <w:t>竞选文件</w:t>
            </w:r>
            <w:r>
              <w:rPr>
                <w:rFonts w:hint="eastAsia" w:ascii="宋体" w:hAnsi="宋体"/>
                <w:color w:val="auto"/>
                <w:kern w:val="0"/>
                <w:szCs w:val="21"/>
                <w:highlight w:val="none"/>
              </w:rPr>
              <w:t>资格审查部分</w:t>
            </w:r>
            <w:r>
              <w:rPr>
                <w:rFonts w:ascii="宋体" w:hAnsi="宋体"/>
                <w:color w:val="auto"/>
                <w:kern w:val="0"/>
                <w:szCs w:val="21"/>
                <w:highlight w:val="none"/>
              </w:rPr>
              <w:t>提供</w:t>
            </w:r>
            <w:r>
              <w:rPr>
                <w:rFonts w:hint="eastAsia" w:ascii="宋体" w:hAnsi="宋体"/>
                <w:color w:val="auto"/>
                <w:kern w:val="0"/>
                <w:szCs w:val="21"/>
                <w:highlight w:val="none"/>
                <w:lang w:eastAsia="zh-CN"/>
              </w:rPr>
              <w:t>竞选人</w:t>
            </w:r>
            <w:r>
              <w:rPr>
                <w:rFonts w:hint="eastAsia" w:ascii="宋体" w:hAnsi="宋体"/>
                <w:color w:val="auto"/>
                <w:kern w:val="0"/>
                <w:szCs w:val="21"/>
                <w:highlight w:val="none"/>
              </w:rPr>
              <w:t>为该</w:t>
            </w:r>
            <w:r>
              <w:rPr>
                <w:rFonts w:ascii="宋体" w:hAnsi="宋体"/>
                <w:color w:val="auto"/>
                <w:kern w:val="0"/>
                <w:szCs w:val="21"/>
                <w:highlight w:val="none"/>
              </w:rPr>
              <w:t>委托代理人</w:t>
            </w:r>
            <w:r>
              <w:rPr>
                <w:rFonts w:hint="eastAsia" w:ascii="宋体" w:hAnsi="宋体"/>
                <w:color w:val="auto"/>
                <w:kern w:val="0"/>
                <w:szCs w:val="21"/>
                <w:highlight w:val="none"/>
              </w:rPr>
              <w:t>缴纳的养老保险证明复印件。否则，将由评标委员会作否决投标处理。</w:t>
            </w:r>
          </w:p>
          <w:p>
            <w:pPr>
              <w:autoSpaceDE w:val="0"/>
              <w:autoSpaceDN w:val="0"/>
              <w:adjustRightInd w:val="0"/>
              <w:snapToGrid w:val="0"/>
              <w:spacing w:line="400" w:lineRule="exact"/>
              <w:ind w:firstLine="417" w:firstLineChars="198"/>
              <w:rPr>
                <w:rFonts w:ascii="宋体" w:hAnsi="宋体" w:cs="宋体"/>
                <w:b/>
                <w:color w:val="auto"/>
                <w:szCs w:val="21"/>
                <w:highlight w:val="none"/>
              </w:rPr>
            </w:pPr>
            <w:r>
              <w:rPr>
                <w:rFonts w:hint="eastAsia" w:ascii="宋体" w:hAnsi="宋体" w:cs="宋体"/>
                <w:b/>
                <w:color w:val="auto"/>
                <w:szCs w:val="21"/>
                <w:highlight w:val="none"/>
              </w:rPr>
              <w:t>特别说明：</w:t>
            </w:r>
          </w:p>
          <w:p>
            <w:pPr>
              <w:numPr>
                <w:ilvl w:val="0"/>
                <w:numId w:val="1"/>
              </w:numPr>
              <w:autoSpaceDE w:val="0"/>
              <w:autoSpaceDN w:val="0"/>
              <w:adjustRightInd w:val="0"/>
              <w:snapToGrid w:val="0"/>
              <w:spacing w:line="400" w:lineRule="exact"/>
              <w:ind w:firstLine="415" w:firstLineChars="198"/>
              <w:rPr>
                <w:rFonts w:hint="eastAsia" w:ascii="宋体" w:hAnsi="宋体" w:cs="宋体"/>
                <w:color w:val="auto"/>
                <w:szCs w:val="21"/>
                <w:highlight w:val="none"/>
              </w:rPr>
            </w:pPr>
            <w:r>
              <w:rPr>
                <w:rFonts w:hint="eastAsia" w:ascii="宋体" w:hAnsi="宋体" w:cs="宋体"/>
                <w:color w:val="auto"/>
                <w:szCs w:val="21"/>
                <w:highlight w:val="none"/>
              </w:rPr>
              <w:t>上述要求须提交的相关证明材料复印件均应加盖</w:t>
            </w:r>
            <w:r>
              <w:rPr>
                <w:rFonts w:hint="eastAsia" w:ascii="宋体" w:hAnsi="宋体" w:cs="宋体"/>
                <w:color w:val="auto"/>
                <w:szCs w:val="21"/>
                <w:highlight w:val="none"/>
                <w:lang w:val="en-US" w:eastAsia="zh-CN"/>
              </w:rPr>
              <w:t>竞选</w:t>
            </w:r>
            <w:r>
              <w:rPr>
                <w:rFonts w:hint="eastAsia" w:ascii="宋体" w:hAnsi="宋体" w:cs="宋体"/>
                <w:color w:val="auto"/>
                <w:szCs w:val="21"/>
                <w:highlight w:val="none"/>
              </w:rPr>
              <w:t>单位法人章并装入</w:t>
            </w:r>
            <w:r>
              <w:rPr>
                <w:rFonts w:hint="eastAsia" w:ascii="宋体" w:hAnsi="宋体" w:cs="宋体"/>
                <w:color w:val="auto"/>
                <w:szCs w:val="21"/>
                <w:highlight w:val="none"/>
                <w:lang w:val="en-US" w:eastAsia="zh-CN"/>
              </w:rPr>
              <w:t>竞选</w:t>
            </w:r>
            <w:r>
              <w:rPr>
                <w:rFonts w:hint="eastAsia" w:ascii="宋体" w:hAnsi="宋体" w:cs="宋体"/>
                <w:color w:val="auto"/>
                <w:szCs w:val="21"/>
                <w:highlight w:val="none"/>
              </w:rPr>
              <w:t>文件资格审查部分中。</w:t>
            </w:r>
            <w:r>
              <w:rPr>
                <w:rFonts w:hint="eastAsia" w:ascii="宋体" w:hAnsi="宋体" w:cs="宋体"/>
                <w:color w:val="auto"/>
                <w:szCs w:val="21"/>
                <w:highlight w:val="none"/>
                <w:lang w:val="en-US" w:eastAsia="zh-CN"/>
              </w:rPr>
              <w:t>竞选</w:t>
            </w:r>
            <w:r>
              <w:rPr>
                <w:rFonts w:hint="eastAsia" w:ascii="宋体" w:hAnsi="宋体" w:cs="宋体"/>
                <w:color w:val="auto"/>
                <w:szCs w:val="21"/>
                <w:highlight w:val="none"/>
              </w:rPr>
              <w:t>时</w:t>
            </w:r>
            <w:r>
              <w:rPr>
                <w:rFonts w:hint="eastAsia" w:ascii="宋体" w:hAnsi="宋体" w:cs="宋体"/>
                <w:color w:val="auto"/>
                <w:szCs w:val="21"/>
                <w:highlight w:val="none"/>
                <w:lang w:val="en-US" w:eastAsia="zh-CN"/>
              </w:rPr>
              <w:t>竞选</w:t>
            </w:r>
            <w:r>
              <w:rPr>
                <w:rFonts w:hint="eastAsia" w:ascii="宋体" w:hAnsi="宋体" w:cs="宋体"/>
                <w:color w:val="auto"/>
                <w:szCs w:val="21"/>
                <w:highlight w:val="none"/>
              </w:rPr>
              <w:t>人的委托代理人须随身携带以上所有复印件的原件及原件清单（营业执照、资质证书、带二维码的证件、身份证、网页打印件、截图、承诺书、声明除外），在递交投标文件时一次性递交，不得补交，原件袋必须密封。评标委员会审查时必须对有关证明和证件的原件核查，若经审查复印件与原件不一致，或未提交原件的，则投标文件由评标委员会作否决投标处理。上述要求</w:t>
            </w:r>
            <w:r>
              <w:rPr>
                <w:rFonts w:hint="eastAsia" w:ascii="宋体" w:hAnsi="宋体" w:cs="宋体"/>
                <w:color w:val="auto"/>
                <w:kern w:val="0"/>
                <w:szCs w:val="21"/>
                <w:highlight w:val="none"/>
              </w:rPr>
              <w:t>，有一条不满足则</w:t>
            </w:r>
            <w:r>
              <w:rPr>
                <w:rFonts w:hint="eastAsia" w:ascii="宋体" w:hAnsi="宋体" w:cs="宋体"/>
                <w:color w:val="auto"/>
                <w:kern w:val="0"/>
                <w:szCs w:val="21"/>
                <w:highlight w:val="none"/>
                <w:lang w:val="en-US" w:eastAsia="zh-CN"/>
              </w:rPr>
              <w:t>竞选</w:t>
            </w:r>
            <w:r>
              <w:rPr>
                <w:rFonts w:hint="eastAsia" w:ascii="宋体" w:hAnsi="宋体" w:cs="宋体"/>
                <w:color w:val="auto"/>
                <w:kern w:val="0"/>
                <w:szCs w:val="21"/>
                <w:highlight w:val="none"/>
              </w:rPr>
              <w:t>文件由评标委员会</w:t>
            </w:r>
            <w:r>
              <w:rPr>
                <w:rFonts w:hint="eastAsia" w:ascii="宋体" w:hAnsi="宋体" w:cs="宋体"/>
                <w:color w:val="auto"/>
                <w:szCs w:val="21"/>
                <w:highlight w:val="none"/>
              </w:rPr>
              <w:t>作否决投标处理</w:t>
            </w:r>
            <w:r>
              <w:rPr>
                <w:rFonts w:hint="eastAsia" w:ascii="宋体" w:hAnsi="宋体" w:cs="宋体"/>
                <w:color w:val="auto"/>
                <w:kern w:val="0"/>
                <w:szCs w:val="21"/>
                <w:highlight w:val="none"/>
              </w:rPr>
              <w:t>。</w:t>
            </w:r>
          </w:p>
          <w:p>
            <w:pPr>
              <w:numPr>
                <w:ilvl w:val="0"/>
                <w:numId w:val="1"/>
              </w:numPr>
              <w:autoSpaceDE w:val="0"/>
              <w:autoSpaceDN w:val="0"/>
              <w:adjustRightInd w:val="0"/>
              <w:snapToGrid w:val="0"/>
              <w:spacing w:line="400" w:lineRule="exact"/>
              <w:ind w:firstLine="415" w:firstLineChars="198"/>
              <w:rPr>
                <w:rFonts w:ascii="宋体" w:hAnsi="宋体" w:cs="宋体"/>
                <w:color w:val="auto"/>
                <w:kern w:val="0"/>
                <w:szCs w:val="21"/>
                <w:highlight w:val="none"/>
              </w:rPr>
            </w:pP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须自行承诺其提供的上述相关证明材料真实有效，不存在弄虚作假情形（格式见第八章</w:t>
            </w:r>
            <w:r>
              <w:rPr>
                <w:rFonts w:hint="eastAsia" w:ascii="宋体" w:hAnsi="宋体" w:cs="宋体"/>
                <w:color w:val="auto"/>
                <w:szCs w:val="21"/>
                <w:highlight w:val="none"/>
                <w:lang w:eastAsia="zh-CN"/>
              </w:rPr>
              <w:t>竞选文件</w:t>
            </w:r>
            <w:r>
              <w:rPr>
                <w:rFonts w:hint="eastAsia" w:ascii="宋体" w:hAnsi="宋体" w:cs="宋体"/>
                <w:color w:val="auto"/>
                <w:szCs w:val="21"/>
                <w:highlight w:val="none"/>
              </w:rPr>
              <w:t>格式）。</w:t>
            </w:r>
            <w:r>
              <w:rPr>
                <w:rFonts w:hint="eastAsia" w:ascii="宋体" w:hAnsi="宋体" w:cs="宋体"/>
                <w:color w:val="auto"/>
                <w:szCs w:val="21"/>
                <w:highlight w:val="none"/>
                <w:u w:val="single"/>
                <w:lang w:eastAsia="zh-CN"/>
              </w:rPr>
              <w:t>比选人</w:t>
            </w:r>
            <w:r>
              <w:rPr>
                <w:rFonts w:hint="eastAsia" w:ascii="宋体" w:hAnsi="宋体" w:cs="宋体"/>
                <w:color w:val="auto"/>
                <w:szCs w:val="21"/>
                <w:highlight w:val="none"/>
                <w:u w:val="single"/>
              </w:rPr>
              <w:t>在合同签订前均有权对</w:t>
            </w:r>
            <w:r>
              <w:rPr>
                <w:rFonts w:hint="eastAsia" w:ascii="宋体" w:hAnsi="宋体" w:cs="宋体"/>
                <w:color w:val="auto"/>
                <w:szCs w:val="21"/>
                <w:highlight w:val="none"/>
                <w:u w:val="single"/>
                <w:lang w:eastAsia="zh-CN"/>
              </w:rPr>
              <w:t>竞选人</w:t>
            </w:r>
            <w:r>
              <w:rPr>
                <w:rFonts w:hint="eastAsia" w:ascii="宋体" w:hAnsi="宋体" w:cs="宋体"/>
                <w:color w:val="auto"/>
                <w:szCs w:val="21"/>
                <w:highlight w:val="none"/>
                <w:u w:val="single"/>
              </w:rPr>
              <w:t>提供的资料进行核实，若发现弄虚作假，</w:t>
            </w:r>
            <w:r>
              <w:rPr>
                <w:rFonts w:hint="eastAsia" w:ascii="宋体" w:hAnsi="宋体" w:cs="宋体"/>
                <w:color w:val="auto"/>
                <w:szCs w:val="21"/>
                <w:highlight w:val="none"/>
                <w:u w:val="single"/>
                <w:lang w:val="en-US" w:eastAsia="zh-CN"/>
              </w:rPr>
              <w:t>按相关规定</w:t>
            </w:r>
            <w:r>
              <w:rPr>
                <w:rFonts w:hint="eastAsia" w:ascii="宋体" w:hAnsi="宋体" w:cs="宋体"/>
                <w:color w:val="auto"/>
                <w:szCs w:val="21"/>
                <w:highlight w:val="none"/>
                <w:u w:val="single"/>
              </w:rPr>
              <w:t>取消其中标资格，并按相关法律法规报招标投标监督部门，其投标保证金不予退还，</w:t>
            </w:r>
            <w:r>
              <w:rPr>
                <w:rFonts w:hint="eastAsia" w:ascii="宋体" w:hAnsi="宋体" w:cs="宋体"/>
                <w:color w:val="auto"/>
                <w:szCs w:val="21"/>
                <w:highlight w:val="none"/>
                <w:u w:val="single"/>
                <w:lang w:eastAsia="zh-CN"/>
              </w:rPr>
              <w:t>竞选人</w:t>
            </w:r>
            <w:r>
              <w:rPr>
                <w:rFonts w:hint="eastAsia" w:ascii="宋体" w:hAnsi="宋体" w:cs="宋体"/>
                <w:color w:val="auto"/>
                <w:szCs w:val="21"/>
                <w:highlight w:val="none"/>
                <w:u w:val="single"/>
              </w:rPr>
              <w:t>承担因此造成的相关责任并赔偿相应损失</w:t>
            </w:r>
            <w:r>
              <w:rPr>
                <w:rFonts w:hint="eastAsia" w:ascii="宋体" w:hAnsi="宋体" w:cs="宋体"/>
                <w:color w:val="auto"/>
                <w:szCs w:val="21"/>
                <w:highlight w:val="none"/>
              </w:rPr>
              <w:t>。</w:t>
            </w:r>
          </w:p>
          <w:p>
            <w:pPr>
              <w:spacing w:line="400" w:lineRule="exact"/>
              <w:ind w:firstLine="420" w:firstLineChars="200"/>
              <w:rPr>
                <w:rFonts w:ascii="宋体" w:hAnsi="宋体"/>
                <w:bCs/>
                <w:color w:val="auto"/>
                <w:kern w:val="0"/>
                <w:szCs w:val="21"/>
                <w:highlight w:val="none"/>
              </w:rPr>
            </w:pPr>
            <w:r>
              <w:rPr>
                <w:rFonts w:hint="eastAsia" w:ascii="宋体" w:hAnsi="宋体"/>
                <w:bCs/>
                <w:color w:val="auto"/>
                <w:kern w:val="0"/>
                <w:szCs w:val="21"/>
                <w:highlight w:val="none"/>
              </w:rPr>
              <w:t>（3）</w:t>
            </w:r>
            <w:r>
              <w:rPr>
                <w:rFonts w:ascii="宋体" w:hAnsi="宋体"/>
                <w:bCs/>
                <w:color w:val="auto"/>
                <w:kern w:val="0"/>
                <w:szCs w:val="21"/>
                <w:highlight w:val="none"/>
              </w:rPr>
              <w:t>本招标文件中所要求的人员</w:t>
            </w:r>
            <w:r>
              <w:rPr>
                <w:rFonts w:hint="eastAsia" w:ascii="宋体" w:hAnsi="宋体"/>
                <w:bCs/>
                <w:color w:val="auto"/>
                <w:kern w:val="0"/>
                <w:szCs w:val="21"/>
                <w:highlight w:val="none"/>
              </w:rPr>
              <w:t>养老保险</w:t>
            </w:r>
            <w:r>
              <w:rPr>
                <w:rFonts w:ascii="宋体" w:hAnsi="宋体"/>
                <w:bCs/>
                <w:color w:val="auto"/>
                <w:kern w:val="0"/>
                <w:szCs w:val="21"/>
                <w:highlight w:val="none"/>
              </w:rPr>
              <w:t>证明要求如下：</w:t>
            </w:r>
          </w:p>
          <w:p>
            <w:pPr>
              <w:spacing w:line="400" w:lineRule="exact"/>
              <w:ind w:firstLine="420" w:firstLineChars="200"/>
              <w:rPr>
                <w:rFonts w:ascii="宋体" w:hAnsi="宋体"/>
                <w:bCs/>
                <w:color w:val="auto"/>
                <w:kern w:val="0"/>
                <w:szCs w:val="21"/>
                <w:highlight w:val="none"/>
              </w:rPr>
            </w:pPr>
            <w:r>
              <w:rPr>
                <w:rFonts w:ascii="宋体" w:hAnsi="宋体"/>
                <w:bCs/>
                <w:color w:val="auto"/>
                <w:kern w:val="0"/>
                <w:szCs w:val="21"/>
                <w:highlight w:val="none"/>
              </w:rPr>
              <w:t>①</w:t>
            </w:r>
            <w:r>
              <w:rPr>
                <w:rFonts w:hint="eastAsia" w:ascii="宋体" w:hAnsi="宋体"/>
                <w:bCs/>
                <w:color w:val="auto"/>
                <w:kern w:val="0"/>
                <w:szCs w:val="21"/>
                <w:highlight w:val="none"/>
                <w:lang w:val="en-US" w:eastAsia="zh-CN"/>
              </w:rPr>
              <w:t>企业</w:t>
            </w:r>
            <w:r>
              <w:rPr>
                <w:rFonts w:ascii="宋体" w:hAnsi="宋体"/>
                <w:bCs/>
                <w:color w:val="auto"/>
                <w:kern w:val="0"/>
                <w:szCs w:val="21"/>
                <w:highlight w:val="none"/>
              </w:rPr>
              <w:t>提供</w:t>
            </w:r>
            <w:r>
              <w:rPr>
                <w:rFonts w:hint="eastAsia" w:ascii="宋体" w:hAnsi="宋体"/>
                <w:bCs/>
                <w:color w:val="auto"/>
                <w:kern w:val="0"/>
                <w:szCs w:val="21"/>
                <w:highlight w:val="none"/>
              </w:rPr>
              <w:t>养老保险</w:t>
            </w:r>
            <w:r>
              <w:rPr>
                <w:rFonts w:ascii="宋体" w:hAnsi="宋体"/>
                <w:bCs/>
                <w:color w:val="auto"/>
                <w:kern w:val="0"/>
                <w:szCs w:val="21"/>
                <w:highlight w:val="none"/>
              </w:rPr>
              <w:t>证明，事业单位提供</w:t>
            </w:r>
            <w:r>
              <w:rPr>
                <w:rFonts w:hint="eastAsia" w:ascii="宋体" w:hAnsi="宋体"/>
                <w:bCs/>
                <w:color w:val="auto"/>
                <w:kern w:val="0"/>
                <w:szCs w:val="21"/>
                <w:highlight w:val="none"/>
              </w:rPr>
              <w:t>养老保险</w:t>
            </w:r>
            <w:r>
              <w:rPr>
                <w:rFonts w:ascii="宋体" w:hAnsi="宋体"/>
                <w:bCs/>
                <w:color w:val="auto"/>
                <w:kern w:val="0"/>
                <w:szCs w:val="21"/>
                <w:highlight w:val="none"/>
              </w:rPr>
              <w:t>证明或行政主管部门在编证明。</w:t>
            </w:r>
          </w:p>
          <w:p>
            <w:pPr>
              <w:spacing w:line="400" w:lineRule="exact"/>
              <w:ind w:firstLine="420" w:firstLineChars="200"/>
              <w:rPr>
                <w:rFonts w:ascii="宋体" w:hAnsi="宋体"/>
                <w:bCs/>
                <w:snapToGrid w:val="0"/>
                <w:color w:val="auto"/>
                <w:kern w:val="0"/>
                <w:szCs w:val="21"/>
                <w:highlight w:val="none"/>
              </w:rPr>
            </w:pPr>
            <w:r>
              <w:rPr>
                <w:rFonts w:ascii="宋体" w:hAnsi="宋体"/>
                <w:bCs/>
                <w:color w:val="auto"/>
                <w:kern w:val="0"/>
                <w:szCs w:val="21"/>
                <w:highlight w:val="none"/>
              </w:rPr>
              <w:t>②</w:t>
            </w:r>
            <w:r>
              <w:rPr>
                <w:rFonts w:hint="eastAsia" w:ascii="宋体" w:hAnsi="宋体"/>
                <w:bCs/>
                <w:snapToGrid w:val="0"/>
                <w:color w:val="auto"/>
                <w:kern w:val="0"/>
                <w:szCs w:val="21"/>
                <w:highlight w:val="none"/>
              </w:rPr>
              <w:t>项目经理、</w:t>
            </w:r>
            <w:r>
              <w:rPr>
                <w:rFonts w:ascii="宋体" w:hAnsi="宋体"/>
                <w:bCs/>
                <w:snapToGrid w:val="0"/>
                <w:color w:val="auto"/>
                <w:kern w:val="0"/>
                <w:szCs w:val="21"/>
                <w:highlight w:val="none"/>
              </w:rPr>
              <w:t>项目技术负责人和委托代理人的</w:t>
            </w:r>
            <w:r>
              <w:rPr>
                <w:rFonts w:hint="eastAsia" w:ascii="宋体" w:hAnsi="宋体"/>
                <w:bCs/>
                <w:snapToGrid w:val="0"/>
                <w:color w:val="auto"/>
                <w:kern w:val="0"/>
                <w:szCs w:val="21"/>
                <w:highlight w:val="none"/>
              </w:rPr>
              <w:t>连续养老保险</w:t>
            </w:r>
            <w:r>
              <w:rPr>
                <w:rFonts w:ascii="宋体" w:hAnsi="宋体"/>
                <w:bCs/>
                <w:snapToGrid w:val="0"/>
                <w:color w:val="auto"/>
                <w:kern w:val="0"/>
                <w:szCs w:val="21"/>
                <w:highlight w:val="none"/>
              </w:rPr>
              <w:t>证明期限</w:t>
            </w:r>
            <w:r>
              <w:rPr>
                <w:rFonts w:hint="eastAsia" w:ascii="宋体" w:hAnsi="宋体"/>
                <w:bCs/>
                <w:snapToGrid w:val="0"/>
                <w:color w:val="auto"/>
                <w:kern w:val="0"/>
                <w:szCs w:val="21"/>
                <w:highlight w:val="none"/>
                <w:lang w:val="en-US" w:eastAsia="zh-CN"/>
              </w:rPr>
              <w:t>须包含</w:t>
            </w:r>
            <w:r>
              <w:rPr>
                <w:rFonts w:hint="eastAsia" w:ascii="宋体" w:hAnsi="宋体"/>
                <w:bCs/>
                <w:snapToGrid w:val="0"/>
                <w:color w:val="auto"/>
                <w:kern w:val="0"/>
                <w:szCs w:val="21"/>
                <w:highlight w:val="none"/>
                <w:u w:val="single"/>
                <w:lang w:val="en-US" w:eastAsia="zh-CN"/>
              </w:rPr>
              <w:t>2022</w:t>
            </w:r>
            <w:r>
              <w:rPr>
                <w:rFonts w:ascii="宋体" w:hAnsi="宋体"/>
                <w:bCs/>
                <w:snapToGrid w:val="0"/>
                <w:color w:val="auto"/>
                <w:kern w:val="0"/>
                <w:szCs w:val="21"/>
                <w:highlight w:val="none"/>
              </w:rPr>
              <w:t>年</w:t>
            </w:r>
            <w:r>
              <w:rPr>
                <w:rFonts w:hint="eastAsia" w:ascii="宋体" w:hAnsi="宋体"/>
                <w:bCs/>
                <w:snapToGrid w:val="0"/>
                <w:color w:val="auto"/>
                <w:kern w:val="0"/>
                <w:szCs w:val="21"/>
                <w:highlight w:val="none"/>
                <w:u w:val="single"/>
                <w:lang w:val="en-US" w:eastAsia="zh-CN"/>
              </w:rPr>
              <w:t>12</w:t>
            </w:r>
            <w:r>
              <w:rPr>
                <w:rFonts w:ascii="宋体" w:hAnsi="宋体"/>
                <w:bCs/>
                <w:snapToGrid w:val="0"/>
                <w:color w:val="auto"/>
                <w:kern w:val="0"/>
                <w:szCs w:val="21"/>
                <w:highlight w:val="none"/>
              </w:rPr>
              <w:t>月至</w:t>
            </w:r>
            <w:r>
              <w:rPr>
                <w:rFonts w:hint="eastAsia" w:ascii="宋体" w:hAnsi="宋体"/>
                <w:bCs/>
                <w:snapToGrid w:val="0"/>
                <w:color w:val="auto"/>
                <w:kern w:val="0"/>
                <w:szCs w:val="21"/>
                <w:highlight w:val="none"/>
                <w:u w:val="single"/>
                <w:lang w:val="en-US" w:eastAsia="zh-CN"/>
              </w:rPr>
              <w:t>2023</w:t>
            </w:r>
            <w:r>
              <w:rPr>
                <w:rFonts w:ascii="宋体" w:hAnsi="宋体"/>
                <w:bCs/>
                <w:snapToGrid w:val="0"/>
                <w:color w:val="auto"/>
                <w:kern w:val="0"/>
                <w:szCs w:val="21"/>
                <w:highlight w:val="none"/>
              </w:rPr>
              <w:t>年</w:t>
            </w:r>
            <w:r>
              <w:rPr>
                <w:rFonts w:hint="eastAsia" w:ascii="宋体" w:hAnsi="宋体"/>
                <w:bCs/>
                <w:snapToGrid w:val="0"/>
                <w:color w:val="auto"/>
                <w:kern w:val="0"/>
                <w:szCs w:val="21"/>
                <w:highlight w:val="none"/>
                <w:u w:val="single"/>
                <w:lang w:val="en-US" w:eastAsia="zh-CN"/>
              </w:rPr>
              <w:t>5</w:t>
            </w:r>
            <w:r>
              <w:rPr>
                <w:rFonts w:ascii="宋体" w:hAnsi="宋体"/>
                <w:bCs/>
                <w:snapToGrid w:val="0"/>
                <w:color w:val="auto"/>
                <w:kern w:val="0"/>
                <w:szCs w:val="21"/>
                <w:highlight w:val="none"/>
              </w:rPr>
              <w:t>月</w:t>
            </w:r>
            <w:r>
              <w:rPr>
                <w:rFonts w:hint="eastAsia" w:ascii="宋体" w:hAnsi="宋体"/>
                <w:bCs/>
                <w:color w:val="auto"/>
                <w:szCs w:val="21"/>
                <w:highlight w:val="none"/>
              </w:rPr>
              <w:t>。养老保险证明原件必须加盖社保部门公章，提供的养老保险参保证明须体现上述人员的姓名、身份证号（或社保号）、单位名称、本单位参保时间（或起始参保时间）。为确保对所有</w:t>
            </w:r>
            <w:r>
              <w:rPr>
                <w:rFonts w:hint="eastAsia" w:ascii="宋体" w:hAnsi="宋体"/>
                <w:bCs/>
                <w:color w:val="auto"/>
                <w:szCs w:val="21"/>
                <w:highlight w:val="none"/>
                <w:lang w:eastAsia="zh-CN"/>
              </w:rPr>
              <w:t>竞选人</w:t>
            </w:r>
            <w:r>
              <w:rPr>
                <w:rFonts w:hint="eastAsia" w:ascii="宋体" w:hAnsi="宋体"/>
                <w:bCs/>
                <w:color w:val="auto"/>
                <w:szCs w:val="21"/>
                <w:highlight w:val="none"/>
              </w:rPr>
              <w:t>的公开、公平、公正，</w:t>
            </w:r>
            <w:r>
              <w:rPr>
                <w:rFonts w:hint="eastAsia" w:ascii="宋体" w:hAnsi="宋体"/>
                <w:bCs/>
                <w:color w:val="auto"/>
                <w:szCs w:val="21"/>
                <w:highlight w:val="none"/>
                <w:lang w:eastAsia="zh-CN"/>
              </w:rPr>
              <w:t>竞选人</w:t>
            </w:r>
            <w:r>
              <w:rPr>
                <w:rFonts w:hint="eastAsia" w:ascii="宋体" w:hAnsi="宋体"/>
                <w:bCs/>
                <w:color w:val="auto"/>
                <w:szCs w:val="21"/>
                <w:highlight w:val="none"/>
              </w:rPr>
              <w:t>如果提供网上打印的养老保险证明材料含有电子印章且提供了该地区政府或人社局发布的相关推行参保人员社保证明电子化的佐证材料（可不要求为原件，但必须网上能查询文件属实），可视为原件，不需加盖社保部门公章，投标有效，否则由评标委员会作否决投标处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1.4.2</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是否接受联合体投标</w:t>
            </w:r>
          </w:p>
        </w:tc>
        <w:tc>
          <w:tcPr>
            <w:tcW w:w="6490" w:type="dxa"/>
            <w:vAlign w:val="center"/>
          </w:tcPr>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lang w:eastAsia="zh-CN"/>
              </w:rPr>
              <w:t>☑</w:t>
            </w:r>
            <w:r>
              <w:rPr>
                <w:rFonts w:ascii="宋体" w:hAnsi="宋体"/>
                <w:color w:val="auto"/>
                <w:kern w:val="0"/>
                <w:szCs w:val="21"/>
                <w:highlight w:val="none"/>
              </w:rPr>
              <w:t>不接受</w:t>
            </w:r>
          </w:p>
          <w:p>
            <w:pPr>
              <w:snapToGrid w:val="0"/>
              <w:spacing w:after="15" w:afterLines="5"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接受，应满足下列要求：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1.9.1</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踏勘现场</w:t>
            </w:r>
          </w:p>
        </w:tc>
        <w:tc>
          <w:tcPr>
            <w:tcW w:w="6490" w:type="dxa"/>
            <w:vAlign w:val="center"/>
          </w:tcPr>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lang w:eastAsia="zh-CN"/>
              </w:rPr>
              <w:t>☑</w:t>
            </w:r>
            <w:r>
              <w:rPr>
                <w:rFonts w:ascii="宋体" w:hAnsi="宋体"/>
                <w:color w:val="auto"/>
                <w:kern w:val="0"/>
                <w:szCs w:val="21"/>
                <w:highlight w:val="none"/>
              </w:rPr>
              <w:t>不组织</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组织，</w:t>
            </w:r>
            <w:r>
              <w:rPr>
                <w:rFonts w:hint="eastAsia" w:ascii="宋体" w:hAnsi="宋体"/>
                <w:color w:val="auto"/>
                <w:kern w:val="0"/>
                <w:szCs w:val="21"/>
                <w:highlight w:val="none"/>
              </w:rPr>
              <w:t>集中</w:t>
            </w:r>
            <w:r>
              <w:rPr>
                <w:rFonts w:ascii="宋体" w:hAnsi="宋体"/>
                <w:color w:val="auto"/>
                <w:kern w:val="0"/>
                <w:szCs w:val="21"/>
                <w:highlight w:val="none"/>
              </w:rPr>
              <w:t>踏勘时间：</w:t>
            </w:r>
          </w:p>
          <w:p>
            <w:pPr>
              <w:snapToGrid w:val="0"/>
              <w:spacing w:line="400" w:lineRule="exact"/>
              <w:ind w:firstLine="1260" w:firstLineChars="600"/>
              <w:rPr>
                <w:rFonts w:ascii="宋体" w:hAnsi="宋体"/>
                <w:color w:val="auto"/>
                <w:kern w:val="0"/>
                <w:szCs w:val="21"/>
                <w:highlight w:val="none"/>
              </w:rPr>
            </w:pPr>
            <w:r>
              <w:rPr>
                <w:rFonts w:ascii="宋体" w:hAnsi="宋体"/>
                <w:color w:val="auto"/>
                <w:kern w:val="0"/>
                <w:szCs w:val="21"/>
                <w:highlight w:val="none"/>
              </w:rPr>
              <w:t>集中踏勘地点：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1.10.1</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投标预备会</w:t>
            </w:r>
          </w:p>
        </w:tc>
        <w:tc>
          <w:tcPr>
            <w:tcW w:w="6490" w:type="dxa"/>
            <w:vAlign w:val="center"/>
          </w:tcPr>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lang w:eastAsia="zh-CN"/>
              </w:rPr>
              <w:t>☑</w:t>
            </w:r>
            <w:r>
              <w:rPr>
                <w:rFonts w:ascii="宋体" w:hAnsi="宋体"/>
                <w:color w:val="auto"/>
                <w:kern w:val="0"/>
                <w:szCs w:val="21"/>
                <w:highlight w:val="none"/>
              </w:rPr>
              <w:t>不召开</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召开，召开时间：</w:t>
            </w:r>
          </w:p>
          <w:p>
            <w:pPr>
              <w:snapToGrid w:val="0"/>
              <w:spacing w:after="15" w:afterLines="5" w:line="400" w:lineRule="exact"/>
              <w:ind w:firstLine="1260" w:firstLineChars="600"/>
              <w:rPr>
                <w:rFonts w:ascii="宋体" w:hAnsi="宋体"/>
                <w:color w:val="auto"/>
                <w:kern w:val="0"/>
                <w:szCs w:val="21"/>
                <w:highlight w:val="none"/>
              </w:rPr>
            </w:pPr>
            <w:r>
              <w:rPr>
                <w:rFonts w:ascii="宋体" w:hAnsi="宋体"/>
                <w:color w:val="auto"/>
                <w:kern w:val="0"/>
                <w:szCs w:val="21"/>
                <w:highlight w:val="none"/>
              </w:rPr>
              <w:t>召开地点：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1.11</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分包</w:t>
            </w:r>
          </w:p>
        </w:tc>
        <w:tc>
          <w:tcPr>
            <w:tcW w:w="6490" w:type="dxa"/>
            <w:vAlign w:val="center"/>
          </w:tcPr>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lang w:eastAsia="zh-CN"/>
              </w:rPr>
              <w:t>☑</w:t>
            </w:r>
            <w:r>
              <w:rPr>
                <w:rFonts w:ascii="宋体" w:hAnsi="宋体"/>
                <w:color w:val="auto"/>
                <w:kern w:val="0"/>
                <w:szCs w:val="21"/>
                <w:highlight w:val="none"/>
              </w:rPr>
              <w:t>不允许</w:t>
            </w:r>
          </w:p>
          <w:p>
            <w:pPr>
              <w:snapToGrid w:val="0"/>
              <w:spacing w:line="400" w:lineRule="exact"/>
              <w:ind w:firstLine="420" w:firstLineChars="200"/>
              <w:rPr>
                <w:rFonts w:hint="eastAsia" w:ascii="宋体" w:hAnsi="宋体" w:eastAsia="宋体"/>
                <w:color w:val="auto"/>
                <w:kern w:val="0"/>
                <w:szCs w:val="21"/>
                <w:highlight w:val="none"/>
                <w:lang w:val="en-US" w:eastAsia="zh-CN"/>
              </w:rPr>
            </w:pPr>
            <w:r>
              <w:rPr>
                <w:rFonts w:hint="eastAsia" w:ascii="宋体" w:hAnsi="宋体"/>
                <w:color w:val="auto"/>
                <w:kern w:val="0"/>
                <w:szCs w:val="21"/>
                <w:highlight w:val="none"/>
              </w:rPr>
              <w:t>□</w:t>
            </w:r>
            <w:r>
              <w:rPr>
                <w:rFonts w:ascii="宋体" w:hAnsi="宋体"/>
                <w:color w:val="auto"/>
                <w:kern w:val="0"/>
                <w:szCs w:val="21"/>
                <w:highlight w:val="none"/>
              </w:rPr>
              <w:t>允许，分包内容要求：</w:t>
            </w:r>
            <w:r>
              <w:rPr>
                <w:rFonts w:hint="eastAsia" w:ascii="宋体" w:hAnsi="宋体"/>
                <w:color w:val="auto"/>
                <w:kern w:val="0"/>
                <w:szCs w:val="21"/>
                <w:highlight w:val="none"/>
                <w:lang w:val="en-US" w:eastAsia="zh-CN"/>
              </w:rPr>
              <w:t>/</w:t>
            </w:r>
          </w:p>
          <w:p>
            <w:pPr>
              <w:snapToGrid w:val="0"/>
              <w:spacing w:line="400" w:lineRule="exact"/>
              <w:ind w:firstLine="1260" w:firstLineChars="600"/>
              <w:rPr>
                <w:rFonts w:hint="eastAsia" w:ascii="宋体" w:hAnsi="宋体" w:eastAsia="宋体"/>
                <w:color w:val="auto"/>
                <w:kern w:val="0"/>
                <w:szCs w:val="21"/>
                <w:highlight w:val="none"/>
                <w:lang w:val="en-US" w:eastAsia="zh-CN"/>
              </w:rPr>
            </w:pPr>
            <w:r>
              <w:rPr>
                <w:rFonts w:ascii="宋体" w:hAnsi="宋体"/>
                <w:color w:val="auto"/>
                <w:kern w:val="0"/>
                <w:szCs w:val="21"/>
                <w:highlight w:val="none"/>
              </w:rPr>
              <w:t>分包金额要求：</w:t>
            </w:r>
            <w:r>
              <w:rPr>
                <w:rFonts w:hint="eastAsia" w:ascii="宋体" w:hAnsi="宋体"/>
                <w:color w:val="auto"/>
                <w:kern w:val="0"/>
                <w:szCs w:val="21"/>
                <w:highlight w:val="none"/>
                <w:lang w:val="en-US" w:eastAsia="zh-CN"/>
              </w:rPr>
              <w:t>/</w:t>
            </w:r>
          </w:p>
          <w:p>
            <w:pPr>
              <w:snapToGrid w:val="0"/>
              <w:spacing w:after="15" w:afterLines="5" w:line="400" w:lineRule="exact"/>
              <w:rPr>
                <w:rFonts w:hint="eastAsia" w:ascii="宋体" w:hAnsi="宋体" w:eastAsia="宋体"/>
                <w:color w:val="auto"/>
                <w:kern w:val="0"/>
                <w:szCs w:val="21"/>
                <w:highlight w:val="none"/>
                <w:lang w:val="en-US" w:eastAsia="zh-CN"/>
              </w:rPr>
            </w:pPr>
            <w:r>
              <w:rPr>
                <w:rFonts w:ascii="宋体" w:hAnsi="宋体"/>
                <w:color w:val="auto"/>
                <w:kern w:val="0"/>
                <w:szCs w:val="21"/>
                <w:highlight w:val="none"/>
              </w:rPr>
              <w:t>接受分包的第三人资质要求：</w:t>
            </w:r>
            <w:r>
              <w:rPr>
                <w:rFonts w:hint="eastAsia" w:ascii="宋体" w:hAnsi="宋体"/>
                <w:color w:val="auto"/>
                <w:kern w:val="0"/>
                <w:szCs w:val="21"/>
                <w:highlight w:val="none"/>
                <w:lang w:val="en-US" w:eastAsia="zh-CN"/>
              </w:rPr>
              <w:t>/</w:t>
            </w:r>
          </w:p>
          <w:p>
            <w:pPr>
              <w:snapToGrid w:val="0"/>
              <w:spacing w:after="15" w:afterLines="5" w:line="400" w:lineRule="exact"/>
              <w:rPr>
                <w:rFonts w:ascii="宋体" w:hAnsi="宋体"/>
                <w:color w:val="auto"/>
                <w:kern w:val="0"/>
                <w:szCs w:val="21"/>
                <w:highlight w:val="none"/>
              </w:rPr>
            </w:pPr>
            <w:r>
              <w:rPr>
                <w:rFonts w:hint="eastAsia" w:ascii="宋体" w:hAnsi="宋体"/>
                <w:color w:val="auto"/>
                <w:kern w:val="0"/>
                <w:szCs w:val="21"/>
                <w:highlight w:val="none"/>
              </w:rPr>
              <w:t>注：分包应按照相关法律法规及规范性文件执行，不得违法分包。</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2.1</w:t>
            </w:r>
          </w:p>
        </w:tc>
        <w:tc>
          <w:tcPr>
            <w:tcW w:w="1644" w:type="dxa"/>
            <w:vAlign w:val="center"/>
          </w:tcPr>
          <w:p>
            <w:pPr>
              <w:snapToGrid w:val="0"/>
              <w:spacing w:after="15" w:afterLines="5" w:line="400" w:lineRule="exact"/>
              <w:jc w:val="center"/>
              <w:rPr>
                <w:rFonts w:ascii="宋体" w:hAnsi="宋体"/>
                <w:color w:val="auto"/>
                <w:kern w:val="0"/>
                <w:szCs w:val="21"/>
                <w:highlight w:val="none"/>
              </w:rPr>
            </w:pPr>
            <w:r>
              <w:rPr>
                <w:rFonts w:ascii="宋体" w:hAnsi="宋体"/>
                <w:color w:val="auto"/>
                <w:kern w:val="0"/>
                <w:szCs w:val="21"/>
                <w:highlight w:val="none"/>
              </w:rPr>
              <w:t>构成招标文件的其他材料</w:t>
            </w:r>
          </w:p>
        </w:tc>
        <w:tc>
          <w:tcPr>
            <w:tcW w:w="6490" w:type="dxa"/>
            <w:vAlign w:val="center"/>
          </w:tcPr>
          <w:p>
            <w:pPr>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lang w:eastAsia="zh-CN"/>
              </w:rPr>
              <w:t>比选人</w:t>
            </w:r>
            <w:r>
              <w:rPr>
                <w:rFonts w:ascii="宋体" w:hAnsi="宋体"/>
                <w:color w:val="auto"/>
                <w:szCs w:val="21"/>
                <w:highlight w:val="none"/>
              </w:rPr>
              <w:t>发出的</w:t>
            </w:r>
            <w:r>
              <w:rPr>
                <w:rFonts w:hint="eastAsia" w:ascii="宋体" w:hAnsi="宋体"/>
                <w:color w:val="auto"/>
                <w:szCs w:val="21"/>
                <w:highlight w:val="none"/>
              </w:rPr>
              <w:t>澄清</w:t>
            </w:r>
            <w:r>
              <w:rPr>
                <w:rFonts w:ascii="宋体" w:hAnsi="宋体"/>
                <w:color w:val="auto"/>
                <w:szCs w:val="21"/>
                <w:highlight w:val="none"/>
              </w:rPr>
              <w:t>及</w:t>
            </w:r>
            <w:r>
              <w:rPr>
                <w:rFonts w:hint="eastAsia" w:ascii="宋体" w:hAnsi="宋体"/>
                <w:color w:val="auto"/>
                <w:szCs w:val="21"/>
                <w:highlight w:val="none"/>
              </w:rPr>
              <w:t>修改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rPr>
              <w:t>2</w:t>
            </w:r>
            <w:r>
              <w:rPr>
                <w:rFonts w:ascii="宋体" w:hAnsi="宋体"/>
                <w:color w:val="auto"/>
                <w:kern w:val="0"/>
                <w:szCs w:val="21"/>
                <w:highlight w:val="none"/>
              </w:rPr>
              <w:t>.</w:t>
            </w:r>
            <w:r>
              <w:rPr>
                <w:rFonts w:hint="eastAsia" w:ascii="宋体" w:hAnsi="宋体"/>
                <w:color w:val="auto"/>
                <w:kern w:val="0"/>
                <w:szCs w:val="21"/>
                <w:highlight w:val="none"/>
              </w:rPr>
              <w:t>2</w:t>
            </w:r>
            <w:r>
              <w:rPr>
                <w:rFonts w:ascii="宋体" w:hAnsi="宋体"/>
                <w:color w:val="auto"/>
                <w:kern w:val="0"/>
                <w:szCs w:val="21"/>
                <w:highlight w:val="none"/>
              </w:rPr>
              <w:t>.</w:t>
            </w:r>
            <w:r>
              <w:rPr>
                <w:rFonts w:hint="eastAsia" w:ascii="宋体" w:hAnsi="宋体"/>
                <w:color w:val="auto"/>
                <w:kern w:val="0"/>
                <w:szCs w:val="21"/>
                <w:highlight w:val="none"/>
              </w:rPr>
              <w:t>1</w:t>
            </w:r>
          </w:p>
        </w:tc>
        <w:tc>
          <w:tcPr>
            <w:tcW w:w="1644" w:type="dxa"/>
            <w:tcBorders>
              <w:bottom w:val="single" w:color="auto" w:sz="4" w:space="0"/>
            </w:tcBorders>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lang w:eastAsia="zh-CN"/>
              </w:rPr>
              <w:t>竞选人</w:t>
            </w:r>
            <w:r>
              <w:rPr>
                <w:rFonts w:ascii="宋体" w:hAnsi="宋体"/>
                <w:color w:val="auto"/>
                <w:kern w:val="0"/>
                <w:szCs w:val="21"/>
                <w:highlight w:val="none"/>
              </w:rPr>
              <w:t>对招标文件提出</w:t>
            </w:r>
            <w:r>
              <w:rPr>
                <w:rFonts w:hint="eastAsia" w:ascii="宋体" w:hAnsi="宋体"/>
                <w:color w:val="auto"/>
                <w:kern w:val="0"/>
                <w:szCs w:val="21"/>
                <w:highlight w:val="none"/>
              </w:rPr>
              <w:t>疑问</w:t>
            </w:r>
            <w:r>
              <w:rPr>
                <w:rFonts w:ascii="宋体" w:hAnsi="宋体"/>
                <w:color w:val="auto"/>
                <w:kern w:val="0"/>
                <w:szCs w:val="21"/>
                <w:highlight w:val="none"/>
              </w:rPr>
              <w:t>的截止时间</w:t>
            </w:r>
          </w:p>
        </w:tc>
        <w:tc>
          <w:tcPr>
            <w:tcW w:w="6490" w:type="dxa"/>
            <w:vAlign w:val="center"/>
          </w:tcPr>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lang w:eastAsia="zh-CN"/>
              </w:rPr>
              <w:t>竞选人</w:t>
            </w:r>
            <w:r>
              <w:rPr>
                <w:rFonts w:ascii="宋体" w:hAnsi="宋体"/>
                <w:color w:val="auto"/>
                <w:kern w:val="0"/>
                <w:szCs w:val="21"/>
                <w:highlight w:val="none"/>
              </w:rPr>
              <w:t>应仔细</w:t>
            </w:r>
            <w:r>
              <w:rPr>
                <w:rFonts w:hint="eastAsia" w:ascii="宋体" w:hAnsi="宋体"/>
                <w:color w:val="auto"/>
                <w:kern w:val="0"/>
                <w:szCs w:val="21"/>
                <w:highlight w:val="none"/>
              </w:rPr>
              <w:t>阅读</w:t>
            </w:r>
            <w:r>
              <w:rPr>
                <w:rFonts w:ascii="宋体" w:hAnsi="宋体"/>
                <w:color w:val="auto"/>
                <w:kern w:val="0"/>
                <w:szCs w:val="21"/>
                <w:highlight w:val="none"/>
              </w:rPr>
              <w:t>招标文件</w:t>
            </w:r>
            <w:r>
              <w:rPr>
                <w:rFonts w:hint="eastAsia" w:ascii="宋体" w:hAnsi="宋体"/>
                <w:color w:val="auto"/>
                <w:kern w:val="0"/>
                <w:szCs w:val="21"/>
                <w:highlight w:val="none"/>
              </w:rPr>
              <w:t>及附件</w:t>
            </w:r>
            <w:r>
              <w:rPr>
                <w:rFonts w:ascii="宋体" w:hAnsi="宋体"/>
                <w:color w:val="auto"/>
                <w:kern w:val="0"/>
                <w:szCs w:val="21"/>
                <w:highlight w:val="none"/>
              </w:rPr>
              <w:t>的所有内容，如有文字表述不清，图纸尺寸标注不明以及存在错、漏、缺、概念模糊和有可能出现歧义或理解上的偏差的内容等应</w:t>
            </w:r>
            <w:r>
              <w:rPr>
                <w:rFonts w:hint="eastAsia" w:ascii="宋体" w:hAnsi="宋体" w:cs="宋体"/>
                <w:color w:val="auto"/>
                <w:kern w:val="0"/>
                <w:szCs w:val="21"/>
                <w:highlight w:val="none"/>
              </w:rPr>
              <w:t>在</w:t>
            </w:r>
            <w:r>
              <w:rPr>
                <w:rFonts w:hint="eastAsia" w:ascii="宋体" w:hAnsi="宋体" w:cs="宋体"/>
                <w:color w:val="auto"/>
                <w:kern w:val="0"/>
                <w:szCs w:val="21"/>
                <w:highlight w:val="none"/>
                <w:lang w:eastAsia="zh-CN"/>
              </w:rPr>
              <w:t>比选公告</w:t>
            </w:r>
            <w:r>
              <w:rPr>
                <w:rFonts w:hint="eastAsia" w:ascii="宋体" w:hAnsi="宋体" w:cs="宋体"/>
                <w:color w:val="auto"/>
                <w:kern w:val="0"/>
                <w:szCs w:val="21"/>
                <w:highlight w:val="none"/>
              </w:rPr>
              <w:t>规定的时间</w:t>
            </w:r>
            <w:r>
              <w:rPr>
                <w:rFonts w:ascii="宋体" w:hAnsi="宋体"/>
                <w:color w:val="auto"/>
                <w:kern w:val="0"/>
                <w:szCs w:val="21"/>
                <w:highlight w:val="none"/>
              </w:rPr>
              <w:t>前</w:t>
            </w:r>
            <w:r>
              <w:rPr>
                <w:rFonts w:hint="eastAsia" w:ascii="宋体" w:hAnsi="宋体"/>
                <w:snapToGrid w:val="0"/>
                <w:color w:val="auto"/>
                <w:kern w:val="0"/>
                <w:szCs w:val="21"/>
                <w:highlight w:val="none"/>
                <w:u w:val="none"/>
                <w:lang w:val="en-US" w:eastAsia="zh-CN"/>
              </w:rPr>
              <w:t>向代理机构或比选人</w:t>
            </w:r>
            <w:r>
              <w:rPr>
                <w:rFonts w:hint="eastAsia" w:ascii="宋体" w:hAnsi="宋体"/>
                <w:snapToGrid w:val="0"/>
                <w:color w:val="auto"/>
                <w:kern w:val="0"/>
                <w:szCs w:val="21"/>
                <w:highlight w:val="none"/>
                <w:u w:val="none"/>
              </w:rPr>
              <w:t>提出疑问</w:t>
            </w:r>
            <w:r>
              <w:rPr>
                <w:rFonts w:hint="eastAsia" w:ascii="宋体" w:hAnsi="宋体"/>
                <w:snapToGrid w:val="0"/>
                <w:color w:val="auto"/>
                <w:kern w:val="0"/>
                <w:szCs w:val="21"/>
                <w:highlight w:val="none"/>
                <w:u w:val="none"/>
                <w:lang w:eastAsia="zh-CN"/>
              </w:rPr>
              <w:t>（</w:t>
            </w:r>
            <w:r>
              <w:rPr>
                <w:rFonts w:hint="eastAsia" w:ascii="宋体" w:hAnsi="宋体"/>
                <w:snapToGrid w:val="0"/>
                <w:color w:val="auto"/>
                <w:kern w:val="0"/>
                <w:szCs w:val="21"/>
                <w:highlight w:val="none"/>
                <w:u w:val="none"/>
                <w:lang w:val="en-US" w:eastAsia="zh-CN"/>
              </w:rPr>
              <w:t>纸质形式</w:t>
            </w:r>
            <w:r>
              <w:rPr>
                <w:rFonts w:hint="eastAsia" w:ascii="宋体" w:hAnsi="宋体"/>
                <w:snapToGrid w:val="0"/>
                <w:color w:val="auto"/>
                <w:kern w:val="0"/>
                <w:szCs w:val="21"/>
                <w:highlight w:val="none"/>
                <w:u w:val="none"/>
                <w:lang w:eastAsia="zh-CN"/>
              </w:rPr>
              <w:t>）</w:t>
            </w:r>
            <w:r>
              <w:rPr>
                <w:rFonts w:ascii="宋体" w:hAnsi="宋体"/>
                <w:color w:val="auto"/>
                <w:kern w:val="0"/>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75" w:hRule="atLeast"/>
          <w:jc w:val="center"/>
        </w:trPr>
        <w:tc>
          <w:tcPr>
            <w:tcW w:w="1335" w:type="dxa"/>
            <w:vMerge w:val="restart"/>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2.2.2</w:t>
            </w:r>
          </w:p>
        </w:tc>
        <w:tc>
          <w:tcPr>
            <w:tcW w:w="1644" w:type="dxa"/>
            <w:tcBorders>
              <w:top w:val="single" w:color="auto" w:sz="4" w:space="0"/>
            </w:tcBorders>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lang w:eastAsia="zh-CN"/>
              </w:rPr>
              <w:t>比选人</w:t>
            </w:r>
            <w:r>
              <w:rPr>
                <w:rFonts w:ascii="宋体" w:hAnsi="宋体"/>
                <w:color w:val="auto"/>
                <w:kern w:val="0"/>
                <w:szCs w:val="21"/>
                <w:highlight w:val="none"/>
              </w:rPr>
              <w:t>对招标文件</w:t>
            </w:r>
            <w:r>
              <w:rPr>
                <w:rFonts w:hint="eastAsia" w:ascii="宋体" w:hAnsi="宋体"/>
                <w:color w:val="auto"/>
                <w:kern w:val="0"/>
                <w:szCs w:val="21"/>
                <w:highlight w:val="none"/>
              </w:rPr>
              <w:t>澄清</w:t>
            </w:r>
            <w:r>
              <w:rPr>
                <w:rFonts w:ascii="宋体" w:hAnsi="宋体"/>
                <w:color w:val="auto"/>
                <w:kern w:val="0"/>
                <w:szCs w:val="21"/>
                <w:highlight w:val="none"/>
              </w:rPr>
              <w:t>的截止时间</w:t>
            </w:r>
          </w:p>
        </w:tc>
        <w:tc>
          <w:tcPr>
            <w:tcW w:w="6490" w:type="dxa"/>
            <w:vAlign w:val="center"/>
          </w:tcPr>
          <w:p>
            <w:pPr>
              <w:snapToGrid w:val="0"/>
              <w:spacing w:line="400" w:lineRule="exact"/>
              <w:ind w:firstLine="420" w:firstLineChars="200"/>
              <w:rPr>
                <w:rFonts w:ascii="宋体" w:hAnsi="宋体"/>
                <w:snapToGrid w:val="0"/>
                <w:color w:val="auto"/>
                <w:kern w:val="0"/>
                <w:szCs w:val="21"/>
                <w:highlight w:val="none"/>
              </w:rPr>
            </w:pPr>
            <w:r>
              <w:rPr>
                <w:rFonts w:hint="eastAsia" w:ascii="宋体" w:hAnsi="宋体"/>
                <w:color w:val="auto"/>
                <w:szCs w:val="21"/>
                <w:highlight w:val="none"/>
                <w:lang w:eastAsia="zh-CN"/>
              </w:rPr>
              <w:t>比选人</w:t>
            </w:r>
            <w:r>
              <w:rPr>
                <w:rFonts w:hint="eastAsia" w:ascii="宋体" w:hAnsi="宋体"/>
                <w:color w:val="auto"/>
                <w:szCs w:val="21"/>
                <w:highlight w:val="none"/>
              </w:rPr>
              <w:t>应在</w:t>
            </w:r>
            <w:r>
              <w:rPr>
                <w:rFonts w:hint="eastAsia" w:ascii="宋体" w:hAnsi="宋体"/>
                <w:color w:val="auto"/>
                <w:szCs w:val="21"/>
                <w:highlight w:val="none"/>
                <w:lang w:eastAsia="zh-CN"/>
              </w:rPr>
              <w:t>比选公告</w:t>
            </w:r>
            <w:r>
              <w:rPr>
                <w:rFonts w:hint="eastAsia" w:ascii="宋体" w:hAnsi="宋体"/>
                <w:color w:val="auto"/>
                <w:szCs w:val="21"/>
                <w:highlight w:val="none"/>
              </w:rPr>
              <w:t>规定的时间前</w:t>
            </w:r>
            <w:r>
              <w:rPr>
                <w:rFonts w:ascii="宋体" w:hAnsi="宋体"/>
                <w:color w:val="auto"/>
                <w:szCs w:val="21"/>
                <w:highlight w:val="none"/>
              </w:rPr>
              <w:t>，</w:t>
            </w:r>
            <w:r>
              <w:rPr>
                <w:rFonts w:ascii="宋体" w:hAnsi="宋体"/>
                <w:color w:val="auto"/>
                <w:kern w:val="0"/>
                <w:szCs w:val="21"/>
                <w:highlight w:val="none"/>
              </w:rPr>
              <w:t>在</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eastAsia="zh-CN"/>
              </w:rPr>
              <w:t>重庆经开区投资集团有限公司(http://www.cetzig.com/）</w:t>
            </w:r>
            <w:r>
              <w:rPr>
                <w:rFonts w:ascii="宋体" w:hAnsi="宋体"/>
                <w:color w:val="auto"/>
                <w:kern w:val="0"/>
                <w:szCs w:val="21"/>
                <w:highlight w:val="none"/>
              </w:rPr>
              <w:t>发布</w:t>
            </w:r>
            <w:r>
              <w:rPr>
                <w:rFonts w:hint="eastAsia" w:ascii="宋体" w:hAnsi="宋体"/>
                <w:color w:val="auto"/>
                <w:kern w:val="0"/>
                <w:szCs w:val="21"/>
                <w:highlight w:val="none"/>
              </w:rPr>
              <w:t>澄清</w:t>
            </w:r>
            <w:r>
              <w:rPr>
                <w:rFonts w:ascii="宋体" w:hAnsi="宋体"/>
                <w:color w:val="auto"/>
                <w:kern w:val="0"/>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1335" w:type="dxa"/>
            <w:vMerge w:val="continue"/>
            <w:vAlign w:val="center"/>
          </w:tcPr>
          <w:p>
            <w:pPr>
              <w:snapToGrid w:val="0"/>
              <w:spacing w:line="400" w:lineRule="exact"/>
              <w:jc w:val="center"/>
              <w:rPr>
                <w:rFonts w:ascii="宋体" w:hAnsi="宋体"/>
                <w:color w:val="auto"/>
                <w:kern w:val="0"/>
                <w:szCs w:val="21"/>
                <w:highlight w:val="none"/>
              </w:rPr>
            </w:pPr>
          </w:p>
        </w:tc>
        <w:tc>
          <w:tcPr>
            <w:tcW w:w="1644" w:type="dxa"/>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rPr>
              <w:t>投标截止时间</w:t>
            </w:r>
          </w:p>
        </w:tc>
        <w:tc>
          <w:tcPr>
            <w:tcW w:w="6490" w:type="dxa"/>
            <w:vAlign w:val="center"/>
          </w:tcPr>
          <w:p>
            <w:pPr>
              <w:snapToGrid w:val="0"/>
              <w:spacing w:line="400" w:lineRule="exact"/>
              <w:ind w:firstLine="420" w:firstLineChars="200"/>
              <w:rPr>
                <w:rFonts w:ascii="宋体" w:hAnsi="宋体"/>
                <w:color w:val="auto"/>
                <w:szCs w:val="21"/>
                <w:highlight w:val="none"/>
                <w:u w:val="single"/>
              </w:rPr>
            </w:pPr>
            <w:r>
              <w:rPr>
                <w:rFonts w:hint="eastAsia" w:ascii="宋体" w:hAnsi="宋体"/>
                <w:color w:val="auto"/>
                <w:szCs w:val="21"/>
                <w:highlight w:val="none"/>
              </w:rPr>
              <w:t>详见</w:t>
            </w:r>
            <w:r>
              <w:rPr>
                <w:rFonts w:hint="eastAsia" w:ascii="宋体" w:hAnsi="宋体"/>
                <w:color w:val="auto"/>
                <w:szCs w:val="21"/>
                <w:highlight w:val="none"/>
                <w:lang w:eastAsia="zh-CN"/>
              </w:rPr>
              <w:t>比选公告</w:t>
            </w:r>
            <w:r>
              <w:rPr>
                <w:rFonts w:hint="eastAsia" w:ascii="宋体" w:hAnsi="宋体"/>
                <w:color w:val="auto"/>
                <w:szCs w:val="21"/>
                <w:highlight w:val="none"/>
              </w:rPr>
              <w:t>规定的投标截止时间。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2.2.3</w:t>
            </w:r>
          </w:p>
        </w:tc>
        <w:tc>
          <w:tcPr>
            <w:tcW w:w="1644" w:type="dxa"/>
            <w:vAlign w:val="center"/>
          </w:tcPr>
          <w:p>
            <w:pPr>
              <w:snapToGrid w:val="0"/>
              <w:spacing w:after="15" w:afterLines="5" w:line="400" w:lineRule="exact"/>
              <w:jc w:val="center"/>
              <w:rPr>
                <w:rFonts w:ascii="宋体" w:hAnsi="宋体"/>
                <w:color w:val="auto"/>
                <w:kern w:val="0"/>
                <w:szCs w:val="21"/>
                <w:highlight w:val="none"/>
              </w:rPr>
            </w:pPr>
            <w:r>
              <w:rPr>
                <w:rFonts w:hint="eastAsia" w:ascii="宋体" w:hAnsi="宋体"/>
                <w:color w:val="auto"/>
                <w:kern w:val="0"/>
                <w:szCs w:val="21"/>
                <w:highlight w:val="none"/>
                <w:lang w:eastAsia="zh-CN"/>
              </w:rPr>
              <w:t>比选人</w:t>
            </w:r>
            <w:r>
              <w:rPr>
                <w:rFonts w:ascii="宋体" w:hAnsi="宋体"/>
                <w:color w:val="auto"/>
                <w:kern w:val="0"/>
                <w:szCs w:val="21"/>
                <w:highlight w:val="none"/>
              </w:rPr>
              <w:t>对招标文件进行</w:t>
            </w:r>
            <w:r>
              <w:rPr>
                <w:rFonts w:hint="eastAsia" w:ascii="宋体" w:hAnsi="宋体"/>
                <w:color w:val="auto"/>
                <w:kern w:val="0"/>
                <w:szCs w:val="21"/>
                <w:highlight w:val="none"/>
              </w:rPr>
              <w:t>修改</w:t>
            </w:r>
            <w:r>
              <w:rPr>
                <w:rFonts w:ascii="宋体" w:hAnsi="宋体"/>
                <w:color w:val="auto"/>
                <w:kern w:val="0"/>
                <w:szCs w:val="21"/>
                <w:highlight w:val="none"/>
              </w:rPr>
              <w:t>的时间</w:t>
            </w:r>
          </w:p>
        </w:tc>
        <w:tc>
          <w:tcPr>
            <w:tcW w:w="6490" w:type="dxa"/>
            <w:vAlign w:val="center"/>
          </w:tcPr>
          <w:p>
            <w:pPr>
              <w:snapToGrid w:val="0"/>
              <w:spacing w:line="400" w:lineRule="exact"/>
              <w:ind w:firstLine="420" w:firstLineChars="200"/>
              <w:rPr>
                <w:rFonts w:ascii="宋体" w:hAnsi="宋体"/>
                <w:color w:val="auto"/>
                <w:szCs w:val="21"/>
                <w:highlight w:val="none"/>
              </w:rPr>
            </w:pPr>
            <w:r>
              <w:rPr>
                <w:rFonts w:hint="eastAsia" w:ascii="宋体" w:hAnsi="宋体"/>
                <w:snapToGrid w:val="0"/>
                <w:color w:val="auto"/>
                <w:kern w:val="0"/>
                <w:szCs w:val="21"/>
                <w:highlight w:val="none"/>
              </w:rPr>
              <w:t>修改</w:t>
            </w:r>
            <w:r>
              <w:rPr>
                <w:rFonts w:ascii="宋体" w:hAnsi="宋体"/>
                <w:snapToGrid w:val="0"/>
                <w:color w:val="auto"/>
                <w:kern w:val="0"/>
                <w:szCs w:val="21"/>
                <w:highlight w:val="none"/>
              </w:rPr>
              <w:t>内容可能影响</w:t>
            </w:r>
            <w:r>
              <w:rPr>
                <w:rFonts w:hint="eastAsia" w:ascii="宋体" w:hAnsi="宋体"/>
                <w:snapToGrid w:val="0"/>
                <w:color w:val="auto"/>
                <w:kern w:val="0"/>
                <w:szCs w:val="21"/>
                <w:highlight w:val="none"/>
                <w:lang w:eastAsia="zh-CN"/>
              </w:rPr>
              <w:t>竞选文件</w:t>
            </w:r>
            <w:r>
              <w:rPr>
                <w:rFonts w:ascii="宋体" w:hAnsi="宋体"/>
                <w:snapToGrid w:val="0"/>
                <w:color w:val="auto"/>
                <w:kern w:val="0"/>
                <w:szCs w:val="21"/>
                <w:highlight w:val="none"/>
              </w:rPr>
              <w:t>编制的，须在投标截止时间</w:t>
            </w:r>
            <w:r>
              <w:rPr>
                <w:rFonts w:hint="eastAsia" w:ascii="宋体" w:hAnsi="宋体"/>
                <w:snapToGrid w:val="0"/>
                <w:color w:val="auto"/>
                <w:kern w:val="0"/>
                <w:szCs w:val="21"/>
                <w:highlight w:val="none"/>
                <w:lang w:val="en-US" w:eastAsia="zh-CN"/>
              </w:rPr>
              <w:t>1</w:t>
            </w:r>
            <w:r>
              <w:rPr>
                <w:rFonts w:ascii="宋体" w:hAnsi="宋体"/>
                <w:snapToGrid w:val="0"/>
                <w:color w:val="auto"/>
                <w:kern w:val="0"/>
                <w:szCs w:val="21"/>
                <w:highlight w:val="none"/>
              </w:rPr>
              <w:t>日前发布，发布时间至投标截止时间不足</w:t>
            </w:r>
            <w:r>
              <w:rPr>
                <w:rFonts w:hint="eastAsia" w:ascii="宋体" w:hAnsi="宋体"/>
                <w:snapToGrid w:val="0"/>
                <w:color w:val="auto"/>
                <w:kern w:val="0"/>
                <w:szCs w:val="21"/>
                <w:highlight w:val="none"/>
                <w:lang w:val="en-US" w:eastAsia="zh-CN"/>
              </w:rPr>
              <w:t>1</w:t>
            </w:r>
            <w:r>
              <w:rPr>
                <w:rFonts w:ascii="宋体" w:hAnsi="宋体"/>
                <w:snapToGrid w:val="0"/>
                <w:color w:val="auto"/>
                <w:kern w:val="0"/>
                <w:szCs w:val="21"/>
                <w:highlight w:val="none"/>
              </w:rPr>
              <w:t>日的，须相应延后投标截止时间。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3.1.1</w:t>
            </w:r>
          </w:p>
        </w:tc>
        <w:tc>
          <w:tcPr>
            <w:tcW w:w="1644" w:type="dxa"/>
            <w:vAlign w:val="center"/>
          </w:tcPr>
          <w:p>
            <w:pPr>
              <w:snapToGrid w:val="0"/>
              <w:spacing w:after="31" w:afterLines="10" w:line="400" w:lineRule="exact"/>
              <w:jc w:val="center"/>
              <w:rPr>
                <w:rFonts w:ascii="宋体" w:hAnsi="宋体"/>
                <w:color w:val="auto"/>
                <w:kern w:val="0"/>
                <w:szCs w:val="21"/>
                <w:highlight w:val="none"/>
              </w:rPr>
            </w:pPr>
            <w:r>
              <w:rPr>
                <w:rFonts w:ascii="宋体" w:hAnsi="宋体"/>
                <w:color w:val="auto"/>
                <w:kern w:val="0"/>
                <w:szCs w:val="21"/>
                <w:highlight w:val="none"/>
              </w:rPr>
              <w:t>构成</w:t>
            </w:r>
            <w:r>
              <w:rPr>
                <w:rFonts w:hint="eastAsia" w:ascii="宋体" w:hAnsi="宋体"/>
                <w:color w:val="auto"/>
                <w:kern w:val="0"/>
                <w:szCs w:val="21"/>
                <w:highlight w:val="none"/>
                <w:lang w:eastAsia="zh-CN"/>
              </w:rPr>
              <w:t>竞选文件</w:t>
            </w:r>
            <w:r>
              <w:rPr>
                <w:rFonts w:ascii="宋体" w:hAnsi="宋体"/>
                <w:color w:val="auto"/>
                <w:kern w:val="0"/>
                <w:szCs w:val="21"/>
                <w:highlight w:val="none"/>
              </w:rPr>
              <w:t>的其他材料</w:t>
            </w:r>
          </w:p>
        </w:tc>
        <w:tc>
          <w:tcPr>
            <w:tcW w:w="6490" w:type="dxa"/>
            <w:vAlign w:val="center"/>
          </w:tcPr>
          <w:p>
            <w:pPr>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lang w:eastAsia="zh-CN"/>
              </w:rPr>
              <w:t>竞选人</w:t>
            </w:r>
            <w:r>
              <w:rPr>
                <w:rFonts w:ascii="宋体" w:hAnsi="宋体"/>
                <w:color w:val="auto"/>
                <w:szCs w:val="21"/>
                <w:highlight w:val="none"/>
              </w:rPr>
              <w:t>的书面澄清、说明和补正（但不得改变</w:t>
            </w:r>
            <w:r>
              <w:rPr>
                <w:rFonts w:hint="eastAsia" w:ascii="宋体" w:hAnsi="宋体"/>
                <w:color w:val="auto"/>
                <w:szCs w:val="21"/>
                <w:highlight w:val="none"/>
                <w:lang w:eastAsia="zh-CN"/>
              </w:rPr>
              <w:t>竞选文件</w:t>
            </w:r>
            <w:r>
              <w:rPr>
                <w:rFonts w:ascii="宋体" w:hAnsi="宋体"/>
                <w:color w:val="auto"/>
                <w:szCs w:val="21"/>
                <w:highlight w:val="none"/>
              </w:rPr>
              <w:t>的实质性内容）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3.2</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投标报价</w:t>
            </w:r>
          </w:p>
        </w:tc>
        <w:tc>
          <w:tcPr>
            <w:tcW w:w="6490" w:type="dxa"/>
            <w:vAlign w:val="center"/>
          </w:tcPr>
          <w:p>
            <w:pPr>
              <w:pStyle w:val="2"/>
              <w:tabs>
                <w:tab w:val="left" w:pos="546"/>
                <w:tab w:val="left" w:pos="711"/>
              </w:tabs>
              <w:snapToGrid w:val="0"/>
              <w:spacing w:after="0" w:line="400" w:lineRule="exact"/>
              <w:ind w:firstLine="420" w:firstLineChars="200"/>
              <w:rPr>
                <w:rFonts w:ascii="宋体" w:hAnsi="宋体" w:cs="宋体"/>
                <w:color w:val="auto"/>
                <w:szCs w:val="21"/>
                <w:highlight w:val="none"/>
              </w:rPr>
            </w:pPr>
            <w:r>
              <w:rPr>
                <w:rFonts w:ascii="宋体" w:hAnsi="宋体"/>
                <w:color w:val="auto"/>
                <w:szCs w:val="21"/>
                <w:highlight w:val="none"/>
              </w:rPr>
              <w:t>1.</w:t>
            </w:r>
            <w:r>
              <w:rPr>
                <w:rFonts w:hint="eastAsia" w:ascii="宋体" w:hAnsi="宋体" w:cs="宋体"/>
                <w:color w:val="auto"/>
                <w:szCs w:val="21"/>
                <w:highlight w:val="none"/>
              </w:rPr>
              <w:t>使用国有资金投资的建设工程发承包，必须采用工程量清单计价。工程量清单应采用综合单价计价。</w:t>
            </w:r>
          </w:p>
          <w:p>
            <w:pPr>
              <w:pStyle w:val="2"/>
              <w:tabs>
                <w:tab w:val="left" w:pos="546"/>
                <w:tab w:val="left" w:pos="711"/>
              </w:tabs>
              <w:snapToGrid w:val="0"/>
              <w:spacing w:after="0" w:line="400" w:lineRule="exact"/>
              <w:ind w:left="6" w:leftChars="3" w:firstLine="420" w:firstLineChars="200"/>
              <w:rPr>
                <w:rFonts w:ascii="宋体" w:hAnsi="宋体" w:cs="宋体"/>
                <w:color w:val="auto"/>
                <w:szCs w:val="21"/>
                <w:highlight w:val="none"/>
              </w:rPr>
            </w:pPr>
            <w:r>
              <w:rPr>
                <w:rFonts w:ascii="宋体" w:hAnsi="宋体" w:cs="宋体"/>
                <w:color w:val="auto"/>
                <w:szCs w:val="21"/>
                <w:highlight w:val="none"/>
              </w:rPr>
              <w:t>2.</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应按《建设工程工程量清单计价规范》（GB50500-2013）及重庆市相关工程量清单计价规则的要求填写相应清单表格。</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应按本须知、《重庆市建设工程费用定额》（CQFYDE-2018）、《重庆市住房和城乡建设委员会关于适用增值税新税率调整建设工程计价依据的通知》（渝建〔2019〕143号）和第五章“工程量清单”的要求填写相应清单表格。</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的投标报价应是本章</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须知前附表第1.3.1项中所述的本工程合同段招标范围内的全部工程的投标报价，并以</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在工程量清单中提出的单价或总价</w:t>
            </w:r>
            <w:r>
              <w:rPr>
                <w:rFonts w:ascii="宋体" w:hAnsi="宋体" w:cs="宋体"/>
                <w:color w:val="auto"/>
                <w:szCs w:val="21"/>
                <w:highlight w:val="none"/>
              </w:rPr>
              <w:footnoteReference w:id="0"/>
            </w:r>
            <w:r>
              <w:rPr>
                <w:rFonts w:hint="eastAsia" w:ascii="宋体" w:hAnsi="宋体" w:cs="宋体"/>
                <w:color w:val="auto"/>
                <w:szCs w:val="21"/>
                <w:highlight w:val="none"/>
              </w:rPr>
              <w:t>为依据。</w:t>
            </w:r>
          </w:p>
          <w:p>
            <w:pPr>
              <w:tabs>
                <w:tab w:val="left" w:pos="546"/>
                <w:tab w:val="left" w:pos="711"/>
              </w:tabs>
              <w:snapToGrid w:val="0"/>
              <w:spacing w:line="400" w:lineRule="exact"/>
              <w:ind w:left="6" w:leftChars="3" w:firstLine="420" w:firstLineChars="200"/>
              <w:rPr>
                <w:rFonts w:ascii="宋体" w:hAnsi="宋体"/>
                <w:color w:val="auto"/>
                <w:szCs w:val="21"/>
                <w:highlight w:val="none"/>
              </w:rPr>
            </w:pPr>
            <w:r>
              <w:rPr>
                <w:rFonts w:ascii="宋体" w:hAnsi="宋体" w:cs="宋体"/>
                <w:color w:val="auto"/>
                <w:szCs w:val="21"/>
                <w:highlight w:val="none"/>
              </w:rPr>
              <w:t>3.</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应认真填写工程量清单中所列的本合同各工程子目的单价或总价。</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没有填入单价或总价的工程子目，</w:t>
            </w:r>
            <w:r>
              <w:rPr>
                <w:rFonts w:hint="eastAsia" w:ascii="宋体" w:hAnsi="宋体" w:cs="宋体"/>
                <w:color w:val="auto"/>
                <w:szCs w:val="21"/>
                <w:highlight w:val="none"/>
                <w:lang w:eastAsia="zh-CN"/>
              </w:rPr>
              <w:t>比选人</w:t>
            </w:r>
            <w:r>
              <w:rPr>
                <w:rFonts w:hint="eastAsia" w:ascii="宋体" w:hAnsi="宋体" w:cs="宋体"/>
                <w:color w:val="auto"/>
                <w:szCs w:val="21"/>
                <w:highlight w:val="none"/>
              </w:rPr>
              <w:t>将认为该子目的价款已包括在工程量清单其他子目的单价和总价中。</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必须按招标工程量清单填报价格。项目编码、项目名称、项目特征、计量单位、工程量必须与招标工程量清单一致。</w:t>
            </w:r>
          </w:p>
          <w:p>
            <w:pPr>
              <w:tabs>
                <w:tab w:val="left" w:pos="546"/>
                <w:tab w:val="left" w:pos="711"/>
              </w:tabs>
              <w:snapToGrid w:val="0"/>
              <w:spacing w:line="400" w:lineRule="exact"/>
              <w:ind w:left="6" w:leftChars="3" w:firstLine="420" w:firstLineChars="200"/>
              <w:rPr>
                <w:rFonts w:ascii="宋体" w:hAnsi="宋体" w:cs="宋体"/>
                <w:color w:val="auto"/>
                <w:szCs w:val="21"/>
                <w:highlight w:val="none"/>
              </w:rPr>
            </w:pPr>
            <w:r>
              <w:rPr>
                <w:rFonts w:ascii="宋体" w:hAnsi="宋体" w:cs="宋体"/>
                <w:color w:val="auto"/>
                <w:szCs w:val="21"/>
                <w:highlight w:val="none"/>
              </w:rPr>
              <w:t>4.</w:t>
            </w:r>
            <w:r>
              <w:rPr>
                <w:rFonts w:hint="eastAsia" w:ascii="宋体" w:hAnsi="宋体" w:cs="宋体"/>
                <w:color w:val="auto"/>
                <w:szCs w:val="21"/>
                <w:highlight w:val="none"/>
                <w:lang w:eastAsia="zh-CN"/>
              </w:rPr>
              <w:t>竞选函</w:t>
            </w:r>
            <w:r>
              <w:rPr>
                <w:rFonts w:hint="eastAsia" w:ascii="宋体" w:hAnsi="宋体" w:cs="宋体"/>
                <w:color w:val="auto"/>
                <w:szCs w:val="21"/>
                <w:highlight w:val="none"/>
              </w:rPr>
              <w:t>中的总报价必须与已标价工程量清单总报价一致。否则由评标委员会作否决投标处理。</w:t>
            </w:r>
          </w:p>
          <w:p>
            <w:pPr>
              <w:pStyle w:val="2"/>
              <w:tabs>
                <w:tab w:val="left" w:pos="546"/>
                <w:tab w:val="left" w:pos="711"/>
              </w:tabs>
              <w:snapToGrid w:val="0"/>
              <w:spacing w:after="0" w:line="400" w:lineRule="exact"/>
              <w:ind w:left="6" w:leftChars="3" w:firstLine="420" w:firstLineChars="200"/>
              <w:rPr>
                <w:rFonts w:ascii="宋体" w:hAnsi="宋体" w:cs="宋体"/>
                <w:color w:val="auto"/>
                <w:szCs w:val="21"/>
                <w:highlight w:val="none"/>
              </w:rPr>
            </w:pPr>
            <w:r>
              <w:rPr>
                <w:rFonts w:ascii="宋体" w:hAnsi="宋体" w:cs="宋体"/>
                <w:color w:val="auto"/>
                <w:szCs w:val="21"/>
                <w:highlight w:val="none"/>
              </w:rPr>
              <w:t>5.</w:t>
            </w:r>
            <w:r>
              <w:rPr>
                <w:rFonts w:hint="eastAsia" w:ascii="宋体" w:hAnsi="宋体" w:cs="宋体"/>
                <w:color w:val="auto"/>
                <w:szCs w:val="21"/>
                <w:highlight w:val="none"/>
                <w:u w:val="single"/>
              </w:rPr>
              <w:t>（1）在合同实施期间，单价和总价按专用合同条款第11条的规定可调整</w:t>
            </w:r>
            <w:r>
              <w:rPr>
                <w:rFonts w:hint="eastAsia" w:ascii="宋体" w:hAnsi="宋体" w:cs="宋体"/>
                <w:color w:val="auto"/>
                <w:szCs w:val="21"/>
                <w:highlight w:val="none"/>
              </w:rPr>
              <w:t>。</w:t>
            </w:r>
          </w:p>
          <w:p>
            <w:pPr>
              <w:pStyle w:val="2"/>
              <w:tabs>
                <w:tab w:val="left" w:pos="546"/>
                <w:tab w:val="left" w:pos="711"/>
              </w:tabs>
              <w:snapToGrid w:val="0"/>
              <w:spacing w:after="0" w:line="400" w:lineRule="exact"/>
              <w:ind w:left="6" w:leftChars="3" w:firstLine="420" w:firstLineChars="200"/>
              <w:rPr>
                <w:rFonts w:ascii="宋体" w:hAnsi="宋体" w:cs="宋体"/>
                <w:color w:val="auto"/>
                <w:szCs w:val="21"/>
                <w:highlight w:val="none"/>
              </w:rPr>
            </w:pPr>
            <w:r>
              <w:rPr>
                <w:rFonts w:hint="eastAsia" w:ascii="宋体" w:hAnsi="宋体" w:cs="宋体"/>
                <w:color w:val="auto"/>
                <w:szCs w:val="21"/>
                <w:highlight w:val="none"/>
              </w:rPr>
              <w:t>（2）增值税计税方法由</w:t>
            </w:r>
            <w:r>
              <w:rPr>
                <w:rFonts w:hint="eastAsia" w:ascii="宋体" w:hAnsi="宋体" w:cs="宋体"/>
                <w:color w:val="auto"/>
                <w:szCs w:val="21"/>
                <w:highlight w:val="none"/>
                <w:lang w:eastAsia="zh-CN"/>
              </w:rPr>
              <w:t>比选人</w:t>
            </w:r>
            <w:r>
              <w:rPr>
                <w:rFonts w:hint="eastAsia" w:ascii="宋体" w:hAnsi="宋体" w:cs="宋体"/>
                <w:color w:val="auto"/>
                <w:szCs w:val="21"/>
                <w:highlight w:val="none"/>
              </w:rPr>
              <w:t>依据国家税法规定选择：</w:t>
            </w:r>
          </w:p>
          <w:p>
            <w:pPr>
              <w:pStyle w:val="2"/>
              <w:tabs>
                <w:tab w:val="left" w:pos="546"/>
                <w:tab w:val="left" w:pos="711"/>
              </w:tabs>
              <w:snapToGrid w:val="0"/>
              <w:spacing w:after="0" w:line="400" w:lineRule="exact"/>
              <w:ind w:left="6" w:leftChars="3"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w:t>
            </w:r>
            <w:r>
              <w:rPr>
                <w:rFonts w:hint="eastAsia" w:ascii="宋体" w:hAnsi="宋体" w:cs="宋体"/>
                <w:color w:val="auto"/>
                <w:szCs w:val="21"/>
                <w:highlight w:val="none"/>
              </w:rPr>
              <w:t>一般计税法</w:t>
            </w:r>
          </w:p>
          <w:p>
            <w:pPr>
              <w:pStyle w:val="2"/>
              <w:tabs>
                <w:tab w:val="left" w:pos="546"/>
                <w:tab w:val="left" w:pos="711"/>
              </w:tabs>
              <w:snapToGrid w:val="0"/>
              <w:spacing w:after="0" w:line="400" w:lineRule="exact"/>
              <w:ind w:left="6" w:leftChars="3" w:firstLine="420" w:firstLineChars="200"/>
              <w:rPr>
                <w:rFonts w:ascii="宋体" w:hAnsi="宋体" w:cs="宋体"/>
                <w:color w:val="auto"/>
                <w:szCs w:val="21"/>
                <w:highlight w:val="none"/>
              </w:rPr>
            </w:pPr>
            <w:r>
              <w:rPr>
                <w:rFonts w:ascii="宋体" w:hAnsi="宋体" w:cs="宋体"/>
                <w:color w:val="auto"/>
                <w:szCs w:val="21"/>
                <w:highlight w:val="none"/>
              </w:rPr>
              <w:t>6.</w:t>
            </w:r>
            <w:r>
              <w:rPr>
                <w:rFonts w:hint="eastAsia" w:ascii="宋体" w:hAnsi="宋体" w:cs="宋体"/>
                <w:color w:val="auto"/>
                <w:szCs w:val="21"/>
                <w:highlight w:val="none"/>
              </w:rPr>
              <w:t>如发现工程量清单中的数量与图纸中数量不一致，应于本须知第2.2.1项中规定的时间前书面通知</w:t>
            </w:r>
            <w:r>
              <w:rPr>
                <w:rFonts w:hint="eastAsia" w:ascii="宋体" w:hAnsi="宋体" w:cs="宋体"/>
                <w:color w:val="auto"/>
                <w:szCs w:val="21"/>
                <w:highlight w:val="none"/>
                <w:lang w:eastAsia="zh-CN"/>
              </w:rPr>
              <w:t>比选人</w:t>
            </w:r>
            <w:r>
              <w:rPr>
                <w:rFonts w:hint="eastAsia" w:ascii="宋体" w:hAnsi="宋体" w:cs="宋体"/>
                <w:color w:val="auto"/>
                <w:szCs w:val="21"/>
                <w:highlight w:val="none"/>
              </w:rPr>
              <w:t>核查，除非</w:t>
            </w:r>
            <w:r>
              <w:rPr>
                <w:rFonts w:hint="eastAsia" w:ascii="宋体" w:hAnsi="宋体" w:cs="宋体"/>
                <w:color w:val="auto"/>
                <w:szCs w:val="21"/>
                <w:highlight w:val="none"/>
                <w:lang w:eastAsia="zh-CN"/>
              </w:rPr>
              <w:t>比选人</w:t>
            </w:r>
            <w:r>
              <w:rPr>
                <w:rFonts w:hint="eastAsia" w:ascii="宋体" w:hAnsi="宋体" w:cs="宋体"/>
                <w:color w:val="auto"/>
                <w:szCs w:val="21"/>
                <w:highlight w:val="none"/>
              </w:rPr>
              <w:t>以修改的形式予以更正，否则，应以工程量清单中列出的数量为准。</w:t>
            </w:r>
          </w:p>
          <w:p>
            <w:pPr>
              <w:tabs>
                <w:tab w:val="left" w:pos="546"/>
                <w:tab w:val="left" w:pos="711"/>
              </w:tabs>
              <w:snapToGrid w:val="0"/>
              <w:spacing w:line="400" w:lineRule="exact"/>
              <w:ind w:firstLine="420" w:firstLineChars="200"/>
              <w:rPr>
                <w:rFonts w:ascii="宋体" w:hAnsi="宋体"/>
                <w:color w:val="auto"/>
                <w:szCs w:val="21"/>
                <w:highlight w:val="none"/>
              </w:rPr>
            </w:pPr>
            <w:r>
              <w:rPr>
                <w:rFonts w:ascii="宋体" w:hAnsi="宋体" w:cs="宋体"/>
                <w:color w:val="auto"/>
                <w:szCs w:val="21"/>
                <w:highlight w:val="none"/>
              </w:rPr>
              <w:t>7.</w:t>
            </w:r>
            <w:r>
              <w:rPr>
                <w:rFonts w:hint="eastAsia" w:ascii="宋体" w:hAnsi="宋体" w:cs="宋体"/>
                <w:color w:val="auto"/>
                <w:szCs w:val="21"/>
                <w:highlight w:val="none"/>
                <w:lang w:eastAsia="zh-CN"/>
              </w:rPr>
              <w:t>比选人</w:t>
            </w:r>
            <w:r>
              <w:rPr>
                <w:rFonts w:hint="eastAsia" w:ascii="宋体" w:hAnsi="宋体" w:cs="宋体"/>
                <w:color w:val="auto"/>
                <w:szCs w:val="21"/>
                <w:highlight w:val="none"/>
              </w:rPr>
              <w:t>在工程量清单中所列出的价格（包括暂列金额、暂估价等），</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不得修改</w:t>
            </w:r>
            <w:r>
              <w:rPr>
                <w:rFonts w:hint="eastAsia" w:ascii="宋体" w:hAnsi="宋体"/>
                <w:color w:val="auto"/>
                <w:szCs w:val="21"/>
                <w:highlight w:val="none"/>
              </w:rPr>
              <w:t>。</w:t>
            </w:r>
          </w:p>
          <w:p>
            <w:pPr>
              <w:tabs>
                <w:tab w:val="left" w:pos="546"/>
                <w:tab w:val="left" w:pos="711"/>
              </w:tabs>
              <w:snapToGrid w:val="0"/>
              <w:spacing w:line="400" w:lineRule="exact"/>
              <w:ind w:firstLine="420" w:firstLineChars="200"/>
              <w:rPr>
                <w:rFonts w:hint="default" w:ascii="宋体" w:hAnsi="宋体"/>
                <w:color w:val="auto"/>
                <w:kern w:val="0"/>
                <w:sz w:val="32"/>
                <w:szCs w:val="32"/>
                <w:highlight w:val="none"/>
                <w:u w:val="single"/>
                <w:lang w:val="en-US" w:eastAsia="zh-CN"/>
              </w:rPr>
            </w:pPr>
            <w:r>
              <w:rPr>
                <w:rFonts w:hint="eastAsia" w:ascii="宋体" w:hAnsi="宋体"/>
                <w:color w:val="auto"/>
                <w:szCs w:val="21"/>
                <w:highlight w:val="none"/>
              </w:rPr>
              <w:t>8.本工程招标将设置投标总报价最高限价，投标总报价最高限价为666340.72元</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大写：陆拾陆万陆仟叁佰肆</w:t>
            </w:r>
            <w:r>
              <w:rPr>
                <w:rFonts w:hint="eastAsia" w:ascii="宋体" w:hAnsi="宋体" w:cs="Times New Roman"/>
                <w:color w:val="auto"/>
                <w:szCs w:val="21"/>
                <w:highlight w:val="none"/>
                <w:lang w:val="en-US" w:eastAsia="zh-CN"/>
              </w:rPr>
              <w:t>拾元柒角贰分</w:t>
            </w:r>
            <w:r>
              <w:rPr>
                <w:rFonts w:hint="eastAsia" w:ascii="宋体" w:hAnsi="宋体" w:cs="Times New Roman"/>
                <w:color w:val="auto"/>
                <w:szCs w:val="21"/>
                <w:highlight w:val="none"/>
                <w:lang w:eastAsia="zh-CN"/>
              </w:rPr>
              <w:t>）</w:t>
            </w:r>
            <w:r>
              <w:rPr>
                <w:rFonts w:hint="eastAsia" w:ascii="宋体" w:hAnsi="宋体" w:cs="Times New Roman"/>
                <w:color w:val="auto"/>
                <w:szCs w:val="21"/>
                <w:highlight w:val="none"/>
              </w:rPr>
              <w:t>，</w:t>
            </w:r>
            <w:r>
              <w:rPr>
                <w:rFonts w:hint="eastAsia" w:ascii="宋体" w:hAnsi="宋体" w:cs="Times New Roman"/>
                <w:color w:val="auto"/>
                <w:szCs w:val="21"/>
                <w:highlight w:val="none"/>
                <w:lang w:val="en-US" w:eastAsia="zh-CN"/>
              </w:rPr>
              <w:t>其中：</w:t>
            </w:r>
            <w:r>
              <w:rPr>
                <w:rFonts w:hint="eastAsia" w:ascii="宋体" w:hAnsi="宋体" w:cs="Times New Roman"/>
                <w:color w:val="auto"/>
                <w:szCs w:val="21"/>
                <w:highlight w:val="none"/>
                <w:lang w:eastAsia="zh-CN"/>
              </w:rPr>
              <w:t>江南春城-阳光水岸</w:t>
            </w:r>
            <w:r>
              <w:rPr>
                <w:rFonts w:hint="eastAsia" w:ascii="宋体" w:hAnsi="宋体" w:cs="Times New Roman"/>
                <w:color w:val="auto"/>
                <w:szCs w:val="21"/>
                <w:highlight w:val="none"/>
                <w:lang w:val="en-US" w:eastAsia="zh-CN"/>
              </w:rPr>
              <w:t>部分最高限价为236076.58元</w:t>
            </w:r>
            <w:r>
              <w:rPr>
                <w:rFonts w:hint="eastAsia" w:ascii="宋体" w:hAnsi="宋体" w:cs="Times New Roman"/>
                <w:color w:val="auto"/>
                <w:szCs w:val="21"/>
                <w:highlight w:val="none"/>
                <w:lang w:eastAsia="zh-CN"/>
              </w:rPr>
              <w:t>；江南春城-水木兰亭</w:t>
            </w:r>
            <w:r>
              <w:rPr>
                <w:rFonts w:hint="eastAsia" w:ascii="宋体" w:hAnsi="宋体" w:cs="Times New Roman"/>
                <w:color w:val="auto"/>
                <w:szCs w:val="21"/>
                <w:highlight w:val="none"/>
                <w:lang w:val="en-US" w:eastAsia="zh-CN"/>
              </w:rPr>
              <w:t>部分最高限价为219736.65元</w:t>
            </w:r>
            <w:r>
              <w:rPr>
                <w:rFonts w:hint="eastAsia" w:ascii="宋体" w:hAnsi="宋体" w:cs="Times New Roman"/>
                <w:color w:val="auto"/>
                <w:szCs w:val="21"/>
                <w:highlight w:val="none"/>
                <w:lang w:eastAsia="zh-CN"/>
              </w:rPr>
              <w:t>；广滨壹号-江枫苑</w:t>
            </w:r>
            <w:r>
              <w:rPr>
                <w:rFonts w:hint="eastAsia" w:ascii="宋体" w:hAnsi="宋体" w:cs="Times New Roman"/>
                <w:color w:val="auto"/>
                <w:szCs w:val="21"/>
                <w:highlight w:val="none"/>
                <w:lang w:val="en-US" w:eastAsia="zh-CN"/>
              </w:rPr>
              <w:t>部分最高限价为210527.49元。</w:t>
            </w:r>
          </w:p>
          <w:p>
            <w:pPr>
              <w:tabs>
                <w:tab w:val="left" w:pos="546"/>
                <w:tab w:val="left" w:pos="711"/>
              </w:tabs>
              <w:snapToGrid w:val="0"/>
              <w:spacing w:line="400" w:lineRule="exact"/>
              <w:ind w:firstLine="420" w:firstLineChars="200"/>
              <w:rPr>
                <w:rFonts w:hint="default" w:ascii="宋体" w:hAnsi="宋体" w:cs="Times New Roman"/>
                <w:color w:val="auto"/>
                <w:szCs w:val="21"/>
                <w:highlight w:val="none"/>
                <w:lang w:val="en-US" w:eastAsia="zh-CN"/>
              </w:rPr>
            </w:pPr>
            <w:r>
              <w:rPr>
                <w:rFonts w:hint="eastAsia" w:ascii="宋体" w:hAnsi="宋体" w:cs="Times New Roman"/>
                <w:color w:val="auto"/>
                <w:szCs w:val="21"/>
                <w:highlight w:val="none"/>
                <w:lang w:val="en-US" w:eastAsia="zh-CN"/>
              </w:rPr>
              <w:t>投标人的投标总报价=（</w:t>
            </w:r>
            <w:r>
              <w:rPr>
                <w:rFonts w:hint="eastAsia" w:ascii="宋体" w:hAnsi="宋体" w:cs="Times New Roman"/>
                <w:color w:val="auto"/>
                <w:szCs w:val="21"/>
                <w:highlight w:val="none"/>
                <w:lang w:eastAsia="zh-CN"/>
              </w:rPr>
              <w:t>江南春城-阳光水岸</w:t>
            </w:r>
            <w:r>
              <w:rPr>
                <w:rFonts w:hint="eastAsia" w:ascii="宋体" w:hAnsi="宋体" w:cs="Times New Roman"/>
                <w:color w:val="auto"/>
                <w:szCs w:val="21"/>
                <w:highlight w:val="none"/>
                <w:lang w:val="en-US" w:eastAsia="zh-CN"/>
              </w:rPr>
              <w:t>部分）报价+（</w:t>
            </w:r>
            <w:r>
              <w:rPr>
                <w:rFonts w:hint="eastAsia" w:ascii="宋体" w:hAnsi="宋体" w:cs="Times New Roman"/>
                <w:color w:val="auto"/>
                <w:szCs w:val="21"/>
                <w:highlight w:val="none"/>
                <w:lang w:eastAsia="zh-CN"/>
              </w:rPr>
              <w:t>江南春城-水木兰亭</w:t>
            </w:r>
            <w:r>
              <w:rPr>
                <w:rFonts w:hint="eastAsia" w:ascii="宋体" w:hAnsi="宋体" w:cs="Times New Roman"/>
                <w:color w:val="auto"/>
                <w:szCs w:val="21"/>
                <w:highlight w:val="none"/>
                <w:lang w:val="en-US" w:eastAsia="zh-CN"/>
              </w:rPr>
              <w:t>部分）报价+（</w:t>
            </w:r>
            <w:r>
              <w:rPr>
                <w:rFonts w:hint="eastAsia" w:ascii="宋体" w:hAnsi="宋体" w:cs="Times New Roman"/>
                <w:color w:val="auto"/>
                <w:szCs w:val="21"/>
                <w:highlight w:val="none"/>
                <w:lang w:eastAsia="zh-CN"/>
              </w:rPr>
              <w:t>广滨壹号-江枫苑</w:t>
            </w:r>
            <w:r>
              <w:rPr>
                <w:rFonts w:hint="eastAsia" w:ascii="宋体" w:hAnsi="宋体" w:cs="Times New Roman"/>
                <w:color w:val="auto"/>
                <w:szCs w:val="21"/>
                <w:highlight w:val="none"/>
                <w:lang w:val="en-US" w:eastAsia="zh-CN"/>
              </w:rPr>
              <w:t>部分）报价。</w:t>
            </w:r>
          </w:p>
          <w:p>
            <w:pPr>
              <w:tabs>
                <w:tab w:val="left" w:pos="546"/>
                <w:tab w:val="left" w:pos="711"/>
              </w:tabs>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投标人的投标报价不得超过其最高限价，否则由评标委员会作否决投标处理。</w:t>
            </w:r>
          </w:p>
          <w:p>
            <w:pPr>
              <w:tabs>
                <w:tab w:val="left" w:pos="546"/>
                <w:tab w:val="left" w:pos="711"/>
              </w:tabs>
              <w:snapToGrid w:val="0"/>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本工程招标将设置全部工程量清单综合单价最高限价，工程量清单综合单价最高限价随比选文件发布，投标人的每项工程量清单综合单价报价不得超过其对应清单综合单价最高限价。</w:t>
            </w:r>
          </w:p>
          <w:p>
            <w:pPr>
              <w:tabs>
                <w:tab w:val="left" w:pos="546"/>
                <w:tab w:val="left" w:pos="711"/>
              </w:tabs>
              <w:snapToGrid w:val="0"/>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比选人</w:t>
            </w:r>
            <w:r>
              <w:rPr>
                <w:rFonts w:hint="eastAsia" w:ascii="宋体" w:hAnsi="宋体" w:cs="宋体"/>
                <w:color w:val="auto"/>
                <w:szCs w:val="21"/>
                <w:highlight w:val="none"/>
              </w:rPr>
              <w:t>在合同签订前将对中标人已标价工程量清单进行清标。若发现中标人的工程量清单综合单价报价超过招标时给出的工程量清单综合单价最高限价的，在工程结算时</w:t>
            </w:r>
            <w:r>
              <w:rPr>
                <w:rFonts w:hint="eastAsia" w:ascii="宋体" w:hAnsi="宋体" w:cs="宋体"/>
                <w:color w:val="auto"/>
                <w:szCs w:val="21"/>
                <w:highlight w:val="none"/>
                <w:lang w:eastAsia="zh-CN"/>
              </w:rPr>
              <w:t>比选人</w:t>
            </w:r>
            <w:r>
              <w:rPr>
                <w:rFonts w:hint="eastAsia" w:ascii="宋体" w:hAnsi="宋体" w:cs="宋体"/>
                <w:color w:val="auto"/>
                <w:szCs w:val="21"/>
                <w:highlight w:val="none"/>
              </w:rPr>
              <w:t>将以发出的工程量清单综合单价最高限价为基础，按照中标人的中标总报价与本工程的总价最高限价的下浮比例进行同比例下调，中标人必须无条件接受，否则按中标人违约处理。</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须在</w:t>
            </w:r>
            <w:r>
              <w:rPr>
                <w:rFonts w:hint="eastAsia" w:ascii="宋体" w:hAnsi="宋体" w:cs="宋体"/>
                <w:color w:val="auto"/>
                <w:szCs w:val="21"/>
                <w:highlight w:val="none"/>
                <w:lang w:eastAsia="zh-CN"/>
              </w:rPr>
              <w:t>竞选文件</w:t>
            </w:r>
            <w:r>
              <w:rPr>
                <w:rFonts w:hint="eastAsia" w:ascii="宋体" w:hAnsi="宋体" w:cs="宋体"/>
                <w:color w:val="auto"/>
                <w:szCs w:val="21"/>
                <w:highlight w:val="none"/>
              </w:rPr>
              <w:t>资格审查部分提供承诺函，承诺函包括以下内容：</w:t>
            </w:r>
          </w:p>
          <w:p>
            <w:pPr>
              <w:tabs>
                <w:tab w:val="left" w:pos="546"/>
                <w:tab w:val="left" w:pos="711"/>
              </w:tabs>
              <w:snapToGrid w:val="0"/>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（1）符合第五章“工程量清单”给出的范围及数量。</w:t>
            </w:r>
          </w:p>
          <w:p>
            <w:pPr>
              <w:tabs>
                <w:tab w:val="left" w:pos="546"/>
                <w:tab w:val="left" w:pos="711"/>
              </w:tabs>
              <w:snapToGrid w:val="0"/>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（2）招标文件中规定工程量清单不允许修改的内容不得修改。</w:t>
            </w:r>
          </w:p>
          <w:p>
            <w:pPr>
              <w:tabs>
                <w:tab w:val="left" w:pos="546"/>
                <w:tab w:val="left" w:pos="711"/>
              </w:tabs>
              <w:snapToGrid w:val="0"/>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（3）每项工程量清单综合单价报价不得高于对应工程量清单综合单价最高限价。</w:t>
            </w:r>
          </w:p>
          <w:p>
            <w:pPr>
              <w:pStyle w:val="2"/>
              <w:spacing w:after="0" w:line="400" w:lineRule="exact"/>
              <w:ind w:firstLine="420" w:firstLineChars="200"/>
              <w:rPr>
                <w:rFonts w:ascii="宋体" w:hAnsi="宋体" w:cs="宋体"/>
                <w:color w:val="auto"/>
                <w:szCs w:val="21"/>
                <w:highlight w:val="none"/>
              </w:rPr>
            </w:pPr>
            <w:r>
              <w:rPr>
                <w:rFonts w:ascii="宋体" w:hAnsi="宋体" w:cs="宋体"/>
                <w:color w:val="auto"/>
                <w:szCs w:val="21"/>
                <w:highlight w:val="none"/>
              </w:rPr>
              <w:t>9.安全文明施工费：</w:t>
            </w:r>
          </w:p>
          <w:p>
            <w:pPr>
              <w:pStyle w:val="2"/>
              <w:tabs>
                <w:tab w:val="left" w:pos="546"/>
                <w:tab w:val="left" w:pos="711"/>
              </w:tabs>
              <w:snapToGrid w:val="0"/>
              <w:spacing w:after="0" w:line="400" w:lineRule="exact"/>
              <w:ind w:firstLine="420" w:firstLineChars="200"/>
              <w:rPr>
                <w:rFonts w:ascii="宋体" w:hAnsi="宋体" w:cs="宋体"/>
                <w:color w:val="auto"/>
                <w:szCs w:val="21"/>
                <w:highlight w:val="none"/>
              </w:rPr>
            </w:pPr>
            <w:r>
              <w:rPr>
                <w:rFonts w:ascii="宋体" w:hAnsi="宋体" w:cs="宋体"/>
                <w:color w:val="auto"/>
                <w:szCs w:val="21"/>
                <w:highlight w:val="none"/>
              </w:rPr>
              <w:t>9.1</w:t>
            </w:r>
            <w:r>
              <w:rPr>
                <w:rFonts w:hint="eastAsia" w:ascii="宋体" w:hAnsi="宋体" w:cs="宋体"/>
                <w:color w:val="auto"/>
                <w:szCs w:val="21"/>
                <w:highlight w:val="none"/>
              </w:rPr>
              <w:t>根据《重庆城乡建设委员会关于印发</w:t>
            </w:r>
            <w:r>
              <w:rPr>
                <w:rFonts w:ascii="宋体" w:hAnsi="宋体" w:cs="宋体"/>
                <w:color w:val="auto"/>
                <w:szCs w:val="21"/>
                <w:highlight w:val="none"/>
              </w:rPr>
              <w:t>&lt;</w:t>
            </w:r>
            <w:r>
              <w:rPr>
                <w:rFonts w:hint="eastAsia" w:ascii="宋体" w:hAnsi="宋体" w:cs="宋体"/>
                <w:color w:val="auto"/>
                <w:szCs w:val="21"/>
                <w:highlight w:val="none"/>
              </w:rPr>
              <w:t>重庆市建设工程安全文明施工费计取及使用管理规定</w:t>
            </w:r>
            <w:r>
              <w:rPr>
                <w:rFonts w:ascii="宋体" w:hAnsi="宋体" w:cs="宋体"/>
                <w:color w:val="auto"/>
                <w:szCs w:val="21"/>
                <w:highlight w:val="none"/>
              </w:rPr>
              <w:t>&gt;</w:t>
            </w:r>
            <w:r>
              <w:rPr>
                <w:rFonts w:hint="eastAsia" w:ascii="宋体" w:hAnsi="宋体" w:cs="宋体"/>
                <w:color w:val="auto"/>
                <w:szCs w:val="21"/>
                <w:highlight w:val="none"/>
              </w:rPr>
              <w:t>的通知》（渝建发〔2014〕25号）规定，安全文明施工费由安全施工费、文明施工费、环境保护费及临时设施费组成。</w:t>
            </w:r>
          </w:p>
          <w:p>
            <w:pPr>
              <w:pStyle w:val="97"/>
              <w:spacing w:line="400" w:lineRule="exact"/>
              <w:ind w:firstLineChars="200"/>
              <w:rPr>
                <w:color w:val="auto"/>
                <w:sz w:val="21"/>
                <w:szCs w:val="21"/>
                <w:highlight w:val="none"/>
              </w:rPr>
            </w:pPr>
            <w:r>
              <w:rPr>
                <w:color w:val="auto"/>
                <w:sz w:val="21"/>
                <w:szCs w:val="21"/>
                <w:highlight w:val="none"/>
              </w:rPr>
              <w:t>9.2本工程安全文明施工费由</w:t>
            </w:r>
            <w:r>
              <w:rPr>
                <w:rFonts w:hint="eastAsia"/>
                <w:color w:val="auto"/>
                <w:sz w:val="21"/>
                <w:szCs w:val="21"/>
                <w:highlight w:val="none"/>
                <w:lang w:eastAsia="zh-CN"/>
              </w:rPr>
              <w:t>比选人</w:t>
            </w:r>
            <w:r>
              <w:rPr>
                <w:color w:val="auto"/>
                <w:sz w:val="21"/>
                <w:szCs w:val="21"/>
                <w:highlight w:val="none"/>
              </w:rPr>
              <w:t>根据《建设工程工程量清单计价规范》（GB50500-2013）、《重庆市建设工程工程量清单计价规则》（CQJJGZ-2013）、《</w:t>
            </w:r>
            <w:r>
              <w:rPr>
                <w:rFonts w:hint="eastAsia"/>
                <w:color w:val="auto"/>
                <w:sz w:val="21"/>
                <w:szCs w:val="21"/>
                <w:highlight w:val="none"/>
              </w:rPr>
              <w:t>重庆市城乡建设委员会</w:t>
            </w:r>
            <w:r>
              <w:rPr>
                <w:color w:val="auto"/>
                <w:sz w:val="21"/>
                <w:szCs w:val="21"/>
                <w:highlight w:val="none"/>
              </w:rPr>
              <w:t>关于印发&lt;重庆市建设工程安全文明施工费计取及使用管理规定&gt;的通知》（渝建发</w:t>
            </w:r>
            <w:r>
              <w:rPr>
                <w:rFonts w:hint="eastAsia"/>
                <w:color w:val="auto"/>
                <w:sz w:val="21"/>
                <w:szCs w:val="21"/>
                <w:highlight w:val="none"/>
              </w:rPr>
              <w:t>〔</w:t>
            </w:r>
            <w:r>
              <w:rPr>
                <w:color w:val="auto"/>
                <w:sz w:val="21"/>
                <w:szCs w:val="21"/>
                <w:highlight w:val="none"/>
              </w:rPr>
              <w:t>2014</w:t>
            </w:r>
            <w:r>
              <w:rPr>
                <w:rFonts w:hint="eastAsia"/>
                <w:color w:val="auto"/>
                <w:sz w:val="21"/>
                <w:szCs w:val="21"/>
                <w:highlight w:val="none"/>
              </w:rPr>
              <w:t>〕</w:t>
            </w:r>
            <w:r>
              <w:rPr>
                <w:color w:val="auto"/>
                <w:sz w:val="21"/>
                <w:szCs w:val="21"/>
                <w:highlight w:val="none"/>
              </w:rPr>
              <w:t>25号）</w:t>
            </w:r>
            <w:r>
              <w:rPr>
                <w:rFonts w:hint="eastAsia"/>
                <w:color w:val="auto"/>
                <w:sz w:val="21"/>
                <w:szCs w:val="21"/>
                <w:highlight w:val="none"/>
              </w:rPr>
              <w:t>、《重庆市住房和城乡建设委员会关于调整建设施工现场形象品质提升安全文明施工费计取的通知》（渝建管〔2020〕97号）</w:t>
            </w:r>
            <w:r>
              <w:rPr>
                <w:color w:val="auto"/>
                <w:sz w:val="21"/>
                <w:szCs w:val="21"/>
                <w:highlight w:val="none"/>
              </w:rPr>
              <w:t>、</w:t>
            </w:r>
            <w:r>
              <w:rPr>
                <w:rFonts w:hint="eastAsia"/>
                <w:color w:val="auto"/>
                <w:sz w:val="21"/>
                <w:szCs w:val="21"/>
                <w:highlight w:val="none"/>
              </w:rPr>
              <w:t>《重庆市建设工程费用定额》（CQFYDE-2018）、《重庆市住房和城乡建设委员会关于适用增值税新税率调整建设工程计价依据的通知》（渝建〔2019〕143号）</w:t>
            </w:r>
            <w:r>
              <w:rPr>
                <w:color w:val="auto"/>
                <w:sz w:val="21"/>
                <w:szCs w:val="21"/>
                <w:highlight w:val="none"/>
              </w:rPr>
              <w:t>的相关规定和费用标准单列计算</w:t>
            </w:r>
            <w:r>
              <w:rPr>
                <w:rFonts w:hint="eastAsia"/>
                <w:b/>
                <w:bCs/>
                <w:color w:val="auto"/>
                <w:sz w:val="21"/>
                <w:szCs w:val="21"/>
                <w:highlight w:val="none"/>
              </w:rPr>
              <w:t>，安全文明施工费为暂定金额11579.67元</w:t>
            </w:r>
            <w:r>
              <w:rPr>
                <w:rFonts w:hint="eastAsia"/>
                <w:b/>
                <w:bCs/>
                <w:color w:val="auto"/>
                <w:sz w:val="21"/>
                <w:szCs w:val="21"/>
                <w:highlight w:val="none"/>
                <w:lang w:eastAsia="zh-CN"/>
              </w:rPr>
              <w:t>（</w:t>
            </w:r>
            <w:r>
              <w:rPr>
                <w:rFonts w:hint="eastAsia"/>
                <w:b/>
                <w:bCs/>
                <w:color w:val="auto"/>
                <w:sz w:val="21"/>
                <w:szCs w:val="21"/>
                <w:highlight w:val="none"/>
                <w:lang w:val="en-US" w:eastAsia="zh-CN"/>
              </w:rPr>
              <w:t>其中：</w:t>
            </w:r>
            <w:r>
              <w:rPr>
                <w:rFonts w:hint="eastAsia"/>
                <w:b/>
                <w:bCs/>
                <w:color w:val="auto"/>
                <w:sz w:val="21"/>
                <w:szCs w:val="21"/>
                <w:highlight w:val="none"/>
                <w:lang w:eastAsia="zh-CN"/>
              </w:rPr>
              <w:t>江南春城-阳光水岸</w:t>
            </w:r>
            <w:r>
              <w:rPr>
                <w:rFonts w:hint="eastAsia"/>
                <w:b/>
                <w:bCs/>
                <w:color w:val="auto"/>
                <w:sz w:val="21"/>
                <w:szCs w:val="21"/>
                <w:highlight w:val="none"/>
                <w:lang w:val="en-US" w:eastAsia="zh-CN"/>
              </w:rPr>
              <w:t>部分安全文明施工费为暂定金额为4314.37元</w:t>
            </w:r>
            <w:r>
              <w:rPr>
                <w:rFonts w:hint="eastAsia"/>
                <w:b/>
                <w:bCs/>
                <w:color w:val="auto"/>
                <w:sz w:val="21"/>
                <w:szCs w:val="21"/>
                <w:highlight w:val="none"/>
                <w:lang w:eastAsia="zh-CN"/>
              </w:rPr>
              <w:t>；江南春城-水木兰亭</w:t>
            </w:r>
            <w:r>
              <w:rPr>
                <w:rFonts w:hint="eastAsia"/>
                <w:b/>
                <w:bCs/>
                <w:color w:val="auto"/>
                <w:sz w:val="21"/>
                <w:szCs w:val="21"/>
                <w:highlight w:val="none"/>
                <w:lang w:val="en-US" w:eastAsia="zh-CN"/>
              </w:rPr>
              <w:t>部分安全文明施工费为暂定金额为3816.61元</w:t>
            </w:r>
            <w:r>
              <w:rPr>
                <w:rFonts w:hint="eastAsia"/>
                <w:b/>
                <w:bCs/>
                <w:color w:val="auto"/>
                <w:sz w:val="21"/>
                <w:szCs w:val="21"/>
                <w:highlight w:val="none"/>
                <w:lang w:eastAsia="zh-CN"/>
              </w:rPr>
              <w:t>；广滨壹号-江枫苑</w:t>
            </w:r>
            <w:r>
              <w:rPr>
                <w:rFonts w:hint="eastAsia"/>
                <w:b/>
                <w:bCs/>
                <w:color w:val="auto"/>
                <w:sz w:val="21"/>
                <w:szCs w:val="21"/>
                <w:highlight w:val="none"/>
                <w:lang w:val="en-US" w:eastAsia="zh-CN"/>
              </w:rPr>
              <w:t>部分安全文明施工费为暂定金额为3448.69元</w:t>
            </w:r>
            <w:r>
              <w:rPr>
                <w:rFonts w:hint="eastAsia"/>
                <w:b/>
                <w:bCs/>
                <w:color w:val="auto"/>
                <w:sz w:val="21"/>
                <w:szCs w:val="21"/>
                <w:highlight w:val="none"/>
                <w:lang w:eastAsia="zh-CN"/>
              </w:rPr>
              <w:t>），</w:t>
            </w:r>
            <w:r>
              <w:rPr>
                <w:color w:val="auto"/>
                <w:sz w:val="21"/>
                <w:szCs w:val="21"/>
                <w:highlight w:val="none"/>
              </w:rPr>
              <w:t>与最高限价一起公布。《</w:t>
            </w:r>
            <w:r>
              <w:rPr>
                <w:rFonts w:hint="eastAsia"/>
                <w:color w:val="auto"/>
                <w:sz w:val="21"/>
                <w:szCs w:val="21"/>
                <w:highlight w:val="none"/>
                <w:lang w:eastAsia="zh-CN"/>
              </w:rPr>
              <w:t>竞选函</w:t>
            </w:r>
            <w:r>
              <w:rPr>
                <w:color w:val="auto"/>
                <w:sz w:val="21"/>
                <w:szCs w:val="21"/>
                <w:highlight w:val="none"/>
              </w:rPr>
              <w:t>》中的安全文明施工费</w:t>
            </w:r>
            <w:r>
              <w:rPr>
                <w:rFonts w:hint="eastAsia"/>
                <w:color w:val="auto"/>
                <w:sz w:val="21"/>
                <w:szCs w:val="21"/>
                <w:highlight w:val="none"/>
                <w:lang w:val="en-US" w:eastAsia="zh-CN"/>
              </w:rPr>
              <w:t>金额或工程量清单中安全文明施工费的汇总金额未</w:t>
            </w:r>
            <w:r>
              <w:rPr>
                <w:color w:val="auto"/>
                <w:sz w:val="21"/>
                <w:szCs w:val="21"/>
                <w:highlight w:val="none"/>
              </w:rPr>
              <w:t>按照</w:t>
            </w:r>
            <w:r>
              <w:rPr>
                <w:rFonts w:hint="eastAsia"/>
                <w:color w:val="auto"/>
                <w:sz w:val="21"/>
                <w:szCs w:val="21"/>
                <w:highlight w:val="none"/>
                <w:lang w:eastAsia="zh-CN"/>
              </w:rPr>
              <w:t>比选人</w:t>
            </w:r>
            <w:r>
              <w:rPr>
                <w:color w:val="auto"/>
                <w:sz w:val="21"/>
                <w:szCs w:val="21"/>
                <w:highlight w:val="none"/>
              </w:rPr>
              <w:t>给出的暂定金额填报</w:t>
            </w:r>
            <w:r>
              <w:rPr>
                <w:rFonts w:hint="eastAsia"/>
                <w:color w:val="auto"/>
                <w:sz w:val="21"/>
                <w:szCs w:val="21"/>
                <w:highlight w:val="none"/>
                <w:lang w:val="en-US" w:eastAsia="zh-CN"/>
              </w:rPr>
              <w:t>的</w:t>
            </w:r>
            <w:r>
              <w:rPr>
                <w:color w:val="auto"/>
                <w:sz w:val="21"/>
                <w:szCs w:val="21"/>
                <w:highlight w:val="none"/>
              </w:rPr>
              <w:t>，视为对招标文件不作实质性响应，其</w:t>
            </w:r>
            <w:r>
              <w:rPr>
                <w:rFonts w:hint="eastAsia"/>
                <w:color w:val="auto"/>
                <w:sz w:val="21"/>
                <w:szCs w:val="21"/>
                <w:highlight w:val="none"/>
                <w:lang w:eastAsia="zh-CN"/>
              </w:rPr>
              <w:t>竞选文件</w:t>
            </w:r>
            <w:r>
              <w:rPr>
                <w:rFonts w:hint="eastAsia"/>
                <w:color w:val="auto"/>
                <w:sz w:val="21"/>
                <w:szCs w:val="21"/>
                <w:highlight w:val="none"/>
              </w:rPr>
              <w:t>由评标委员会</w:t>
            </w:r>
            <w:r>
              <w:rPr>
                <w:color w:val="auto"/>
                <w:sz w:val="21"/>
                <w:szCs w:val="21"/>
                <w:highlight w:val="none"/>
              </w:rPr>
              <w:t>作否决投标处理。</w:t>
            </w:r>
            <w:r>
              <w:rPr>
                <w:rFonts w:hint="eastAsia"/>
                <w:color w:val="auto"/>
                <w:sz w:val="21"/>
                <w:szCs w:val="21"/>
                <w:highlight w:val="none"/>
              </w:rPr>
              <w:t>注：采用全费用清单计价的项目，安全文明施工费仅针对《</w:t>
            </w:r>
            <w:r>
              <w:rPr>
                <w:rFonts w:hint="eastAsia"/>
                <w:color w:val="auto"/>
                <w:sz w:val="21"/>
                <w:szCs w:val="21"/>
                <w:highlight w:val="none"/>
                <w:lang w:eastAsia="zh-CN"/>
              </w:rPr>
              <w:t>竞选函</w:t>
            </w:r>
            <w:r>
              <w:rPr>
                <w:rFonts w:hint="eastAsia"/>
                <w:color w:val="auto"/>
                <w:sz w:val="21"/>
                <w:szCs w:val="21"/>
                <w:highlight w:val="none"/>
              </w:rPr>
              <w:t>》中的安全文明施工费进行评审。</w:t>
            </w:r>
          </w:p>
          <w:p>
            <w:pPr>
              <w:tabs>
                <w:tab w:val="left" w:pos="546"/>
                <w:tab w:val="left" w:pos="711"/>
              </w:tabs>
              <w:snapToGrid w:val="0"/>
              <w:spacing w:line="400" w:lineRule="exact"/>
              <w:ind w:firstLine="420" w:firstLineChars="200"/>
              <w:rPr>
                <w:rFonts w:ascii="宋体" w:hAnsi="宋体" w:cs="宋体"/>
                <w:color w:val="auto"/>
                <w:szCs w:val="21"/>
                <w:highlight w:val="none"/>
              </w:rPr>
            </w:pPr>
            <w:r>
              <w:rPr>
                <w:rFonts w:ascii="宋体" w:hAnsi="宋体"/>
                <w:color w:val="auto"/>
                <w:szCs w:val="21"/>
                <w:highlight w:val="none"/>
              </w:rPr>
              <w:t>10.</w:t>
            </w:r>
            <w:r>
              <w:rPr>
                <w:rFonts w:hint="eastAsia" w:ascii="宋体" w:hAnsi="宋体"/>
                <w:color w:val="auto"/>
                <w:szCs w:val="21"/>
                <w:highlight w:val="none"/>
              </w:rPr>
              <w:t>本工程所需材料（含设备）价格由</w:t>
            </w:r>
            <w:r>
              <w:rPr>
                <w:rFonts w:hint="eastAsia" w:ascii="宋体" w:hAnsi="宋体"/>
                <w:color w:val="auto"/>
                <w:szCs w:val="21"/>
                <w:highlight w:val="none"/>
                <w:lang w:eastAsia="zh-CN"/>
              </w:rPr>
              <w:t>竞选人</w:t>
            </w:r>
            <w:r>
              <w:rPr>
                <w:rFonts w:hint="eastAsia" w:ascii="宋体" w:hAnsi="宋体"/>
                <w:color w:val="auto"/>
                <w:szCs w:val="21"/>
                <w:highlight w:val="none"/>
              </w:rPr>
              <w:t>参照重庆市建设工</w:t>
            </w:r>
            <w:r>
              <w:rPr>
                <w:rFonts w:hint="eastAsia" w:ascii="宋体" w:hAnsi="宋体" w:cs="宋体"/>
                <w:color w:val="auto"/>
                <w:szCs w:val="21"/>
                <w:highlight w:val="none"/>
              </w:rPr>
              <w:t>程造价管理总站发布的《重庆工程造价信息》或工程造价管理机构发布的工程造价信息（造价信息引用时限为</w:t>
            </w:r>
            <w:r>
              <w:rPr>
                <w:rFonts w:hint="eastAsia" w:ascii="宋体" w:hAnsi="宋体" w:cs="宋体"/>
                <w:color w:val="auto"/>
                <w:szCs w:val="21"/>
                <w:highlight w:val="none"/>
                <w:lang w:eastAsia="zh-CN"/>
              </w:rPr>
              <w:t>比选公告</w:t>
            </w:r>
            <w:r>
              <w:rPr>
                <w:rFonts w:hint="eastAsia" w:ascii="宋体" w:hAnsi="宋体" w:cs="宋体"/>
                <w:color w:val="auto"/>
                <w:szCs w:val="21"/>
                <w:highlight w:val="none"/>
              </w:rPr>
              <w:t>发布日期前一期），并结合市场行情及自身实力进行自主报价。</w:t>
            </w:r>
          </w:p>
          <w:p>
            <w:pPr>
              <w:pStyle w:val="2"/>
              <w:tabs>
                <w:tab w:val="left" w:pos="546"/>
                <w:tab w:val="left" w:pos="711"/>
              </w:tabs>
              <w:snapToGrid w:val="0"/>
              <w:spacing w:after="0" w:line="400" w:lineRule="exact"/>
              <w:ind w:firstLine="420" w:firstLineChars="200"/>
              <w:rPr>
                <w:rFonts w:ascii="宋体" w:hAnsi="宋体" w:cs="宋体"/>
                <w:color w:val="auto"/>
                <w:szCs w:val="21"/>
                <w:highlight w:val="none"/>
                <w:u w:val="single"/>
              </w:rPr>
            </w:pPr>
            <w:r>
              <w:rPr>
                <w:rFonts w:hint="eastAsia" w:ascii="宋体" w:hAnsi="宋体" w:cs="宋体"/>
                <w:color w:val="auto"/>
                <w:szCs w:val="21"/>
                <w:highlight w:val="none"/>
              </w:rPr>
              <w:t>11.本项目建筑安装材料价格风险按照《重庆市城乡建设委员会关于进一步加强建筑安装材料价格风险管控的指导意见》（渝建〔2018〕61号）执行。本项目主要材料及设备价格风险内容、范围及调整方法为：</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u w:val="single"/>
                <w:lang w:val="en-US" w:eastAsia="zh-CN"/>
              </w:rPr>
              <w:t>不调整</w:t>
            </w:r>
            <w:r>
              <w:rPr>
                <w:rFonts w:hint="eastAsia" w:ascii="宋体" w:hAnsi="宋体" w:cs="宋体"/>
                <w:color w:val="auto"/>
                <w:szCs w:val="21"/>
                <w:highlight w:val="none"/>
                <w:u w:val="single"/>
              </w:rPr>
              <w:t xml:space="preserve"> </w:t>
            </w:r>
          </w:p>
          <w:p>
            <w:pPr>
              <w:pStyle w:val="2"/>
              <w:tabs>
                <w:tab w:val="left" w:pos="546"/>
                <w:tab w:val="left" w:pos="711"/>
              </w:tabs>
              <w:snapToGrid w:val="0"/>
              <w:spacing w:after="0" w:line="400" w:lineRule="exact"/>
              <w:ind w:firstLine="420" w:firstLineChars="200"/>
              <w:rPr>
                <w:rFonts w:ascii="宋体" w:hAnsi="宋体" w:cs="宋体"/>
                <w:color w:val="auto"/>
                <w:szCs w:val="21"/>
                <w:highlight w:val="none"/>
              </w:rPr>
            </w:pPr>
            <w:r>
              <w:rPr>
                <w:rFonts w:ascii="宋体" w:hAnsi="宋体" w:cs="宋体"/>
                <w:color w:val="auto"/>
                <w:szCs w:val="21"/>
                <w:highlight w:val="none"/>
              </w:rPr>
              <w:t>1</w:t>
            </w:r>
            <w:r>
              <w:rPr>
                <w:rFonts w:hint="eastAsia" w:ascii="宋体" w:hAnsi="宋体" w:cs="宋体"/>
                <w:color w:val="auto"/>
                <w:szCs w:val="21"/>
                <w:highlight w:val="none"/>
              </w:rPr>
              <w:t>2</w:t>
            </w:r>
            <w:r>
              <w:rPr>
                <w:rFonts w:ascii="宋体" w:hAnsi="宋体" w:cs="宋体"/>
                <w:color w:val="auto"/>
                <w:szCs w:val="21"/>
                <w:highlight w:val="none"/>
              </w:rPr>
              <w:t>.</w:t>
            </w:r>
            <w:r>
              <w:rPr>
                <w:rFonts w:hint="eastAsia" w:ascii="宋体" w:hAnsi="宋体" w:cs="宋体"/>
                <w:color w:val="auto"/>
                <w:szCs w:val="21"/>
                <w:highlight w:val="none"/>
              </w:rPr>
              <w:t>本项目所采用技术、工艺和产品等必须执行重庆市住房和城乡建设委员会关于发布《重庆市建设领域禁止、限制使用落后技术通告（2019年版）（渝建发〔2019〕25号）的规定。</w:t>
            </w:r>
          </w:p>
          <w:p>
            <w:pPr>
              <w:pStyle w:val="2"/>
              <w:tabs>
                <w:tab w:val="left" w:pos="546"/>
                <w:tab w:val="left" w:pos="711"/>
              </w:tabs>
              <w:snapToGrid w:val="0"/>
              <w:spacing w:after="0" w:line="400" w:lineRule="exact"/>
              <w:ind w:firstLine="420" w:firstLineChars="200"/>
              <w:rPr>
                <w:rFonts w:ascii="宋体" w:hAnsi="宋体"/>
                <w:color w:val="auto"/>
                <w:szCs w:val="21"/>
                <w:highlight w:val="none"/>
              </w:rPr>
            </w:pPr>
            <w:r>
              <w:rPr>
                <w:rFonts w:ascii="宋体" w:hAnsi="宋体" w:cs="宋体"/>
                <w:color w:val="auto"/>
                <w:szCs w:val="21"/>
                <w:highlight w:val="none"/>
              </w:rPr>
              <w:t>1</w:t>
            </w:r>
            <w:r>
              <w:rPr>
                <w:rFonts w:hint="eastAsia" w:ascii="宋体" w:hAnsi="宋体" w:cs="宋体"/>
                <w:color w:val="auto"/>
                <w:szCs w:val="21"/>
                <w:highlight w:val="none"/>
              </w:rPr>
              <w:t>3</w:t>
            </w:r>
            <w:r>
              <w:rPr>
                <w:rFonts w:ascii="宋体" w:hAnsi="宋体" w:cs="宋体"/>
                <w:color w:val="auto"/>
                <w:szCs w:val="21"/>
                <w:highlight w:val="none"/>
              </w:rPr>
              <w:t>.</w:t>
            </w:r>
            <w:r>
              <w:rPr>
                <w:rFonts w:hint="eastAsia" w:ascii="宋体" w:hAnsi="宋体" w:cs="宋体"/>
                <w:color w:val="auto"/>
                <w:szCs w:val="21"/>
                <w:highlight w:val="none"/>
              </w:rPr>
              <w:t>本工程主体结构若需混凝土，则必须使用商品混凝土，不得自建搅拌站。</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3.3.1</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投标有效期</w:t>
            </w:r>
          </w:p>
        </w:tc>
        <w:tc>
          <w:tcPr>
            <w:tcW w:w="6490" w:type="dxa"/>
            <w:vAlign w:val="center"/>
          </w:tcPr>
          <w:p>
            <w:pPr>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90</w:t>
            </w:r>
            <w:r>
              <w:rPr>
                <w:rFonts w:ascii="宋体" w:hAnsi="宋体"/>
                <w:color w:val="auto"/>
                <w:szCs w:val="21"/>
                <w:highlight w:val="none"/>
                <w:u w:val="single"/>
              </w:rPr>
              <w:t xml:space="preserve"> </w:t>
            </w:r>
            <w:r>
              <w:rPr>
                <w:rFonts w:ascii="宋体" w:hAnsi="宋体"/>
                <w:color w:val="auto"/>
                <w:szCs w:val="21"/>
                <w:highlight w:val="none"/>
              </w:rPr>
              <w:t>日历天（从提交</w:t>
            </w:r>
            <w:r>
              <w:rPr>
                <w:rFonts w:hint="eastAsia" w:ascii="宋体" w:hAnsi="宋体"/>
                <w:color w:val="auto"/>
                <w:szCs w:val="21"/>
                <w:highlight w:val="none"/>
                <w:lang w:eastAsia="zh-CN"/>
              </w:rPr>
              <w:t>竞选文件</w:t>
            </w:r>
            <w:r>
              <w:rPr>
                <w:rFonts w:ascii="宋体" w:hAnsi="宋体"/>
                <w:color w:val="auto"/>
                <w:szCs w:val="21"/>
                <w:highlight w:val="none"/>
              </w:rPr>
              <w:t>截止日起计算）</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eastAsia="宋体" w:cs="Times New Roman"/>
                <w:color w:val="auto"/>
                <w:kern w:val="0"/>
                <w:sz w:val="21"/>
                <w:szCs w:val="21"/>
                <w:highlight w:val="none"/>
                <w:lang w:val="en-US" w:eastAsia="zh-CN" w:bidi="ar-SA"/>
              </w:rPr>
            </w:pPr>
            <w:r>
              <w:rPr>
                <w:rFonts w:ascii="宋体" w:hAnsi="宋体"/>
                <w:color w:val="auto"/>
                <w:kern w:val="0"/>
                <w:szCs w:val="21"/>
                <w:highlight w:val="none"/>
              </w:rPr>
              <w:t>3.4</w:t>
            </w:r>
          </w:p>
        </w:tc>
        <w:tc>
          <w:tcPr>
            <w:tcW w:w="1644" w:type="dxa"/>
            <w:vAlign w:val="center"/>
          </w:tcPr>
          <w:p>
            <w:pPr>
              <w:snapToGrid w:val="0"/>
              <w:spacing w:line="400" w:lineRule="exact"/>
              <w:jc w:val="center"/>
              <w:rPr>
                <w:rFonts w:ascii="宋体" w:hAnsi="宋体" w:eastAsia="宋体" w:cs="Times New Roman"/>
                <w:color w:val="auto"/>
                <w:kern w:val="0"/>
                <w:sz w:val="21"/>
                <w:szCs w:val="21"/>
                <w:highlight w:val="none"/>
                <w:lang w:val="en-US" w:eastAsia="zh-CN" w:bidi="ar-SA"/>
              </w:rPr>
            </w:pPr>
            <w:r>
              <w:rPr>
                <w:rFonts w:ascii="宋体" w:hAnsi="宋体"/>
                <w:color w:val="auto"/>
                <w:kern w:val="0"/>
                <w:szCs w:val="21"/>
                <w:highlight w:val="none"/>
              </w:rPr>
              <w:t>投标保证金</w:t>
            </w:r>
          </w:p>
        </w:tc>
        <w:tc>
          <w:tcPr>
            <w:tcW w:w="6490" w:type="dxa"/>
            <w:vAlign w:val="center"/>
          </w:tcPr>
          <w:p>
            <w:pPr>
              <w:spacing w:line="400" w:lineRule="exact"/>
              <w:ind w:firstLine="420" w:firstLineChars="200"/>
              <w:rPr>
                <w:rFonts w:hint="eastAsia" w:ascii="宋体" w:hAnsi="宋体" w:cs="宋体"/>
                <w:color w:val="auto"/>
                <w:szCs w:val="21"/>
                <w:highlight w:val="none"/>
                <w:lang w:val="en-US" w:eastAsia="zh-CN"/>
              </w:rPr>
            </w:pPr>
            <w:r>
              <w:rPr>
                <w:rFonts w:hint="eastAsia" w:ascii="宋体" w:hAnsi="宋体" w:cs="宋体"/>
                <w:color w:val="auto"/>
                <w:szCs w:val="21"/>
                <w:highlight w:val="none"/>
                <w:lang w:val="en-US" w:eastAsia="zh-CN"/>
              </w:rPr>
              <w:t>方式一：现金缴纳</w:t>
            </w:r>
          </w:p>
          <w:p>
            <w:pPr>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应在开标前用信封袋装好保证金并密封完好，应缴纳</w:t>
            </w:r>
            <w:r>
              <w:rPr>
                <w:rFonts w:hint="eastAsia" w:ascii="宋体" w:hAnsi="宋体" w:cs="宋体"/>
                <w:color w:val="auto"/>
                <w:szCs w:val="21"/>
                <w:highlight w:val="none"/>
                <w:lang w:val="en-US" w:eastAsia="zh-CN"/>
              </w:rPr>
              <w:t>现金</w:t>
            </w:r>
            <w:r>
              <w:rPr>
                <w:rFonts w:hint="eastAsia" w:ascii="宋体" w:hAnsi="宋体" w:cs="宋体"/>
                <w:b/>
                <w:bCs/>
                <w:color w:val="auto"/>
                <w:szCs w:val="21"/>
                <w:highlight w:val="none"/>
                <w:u w:val="single"/>
              </w:rPr>
              <w:t>壹万元</w:t>
            </w:r>
            <w:r>
              <w:rPr>
                <w:rFonts w:hint="eastAsia" w:ascii="宋体" w:hAnsi="宋体" w:cs="宋体"/>
                <w:color w:val="auto"/>
                <w:szCs w:val="21"/>
                <w:highlight w:val="none"/>
              </w:rPr>
              <w:t>人民币投标保证金。</w:t>
            </w:r>
          </w:p>
          <w:p>
            <w:pPr>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开标时，</w:t>
            </w:r>
            <w:r>
              <w:rPr>
                <w:rFonts w:hint="eastAsia" w:ascii="宋体" w:hAnsi="宋体" w:cs="宋体"/>
                <w:color w:val="auto"/>
                <w:szCs w:val="21"/>
                <w:highlight w:val="none"/>
                <w:lang w:eastAsia="zh-CN"/>
              </w:rPr>
              <w:t>比选人</w:t>
            </w:r>
            <w:r>
              <w:rPr>
                <w:rFonts w:hint="eastAsia" w:ascii="宋体" w:hAnsi="宋体" w:cs="宋体"/>
                <w:color w:val="auto"/>
                <w:szCs w:val="21"/>
                <w:highlight w:val="none"/>
              </w:rPr>
              <w:t>将查验</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保证金金额，未按规定要求提交者视为</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未按规定要求缴纳投标保证金。</w:t>
            </w:r>
          </w:p>
          <w:p>
            <w:pPr>
              <w:snapToGrid w:val="0"/>
              <w:spacing w:line="400" w:lineRule="exact"/>
              <w:ind w:firstLine="420" w:firstLineChars="200"/>
              <w:rPr>
                <w:rFonts w:hint="eastAsia" w:ascii="宋体" w:hAnsi="宋体"/>
                <w:color w:val="auto"/>
                <w:kern w:val="0"/>
                <w:szCs w:val="21"/>
                <w:highlight w:val="none"/>
                <w:lang w:val="en-US" w:eastAsia="zh-CN"/>
              </w:rPr>
            </w:pPr>
            <w:r>
              <w:rPr>
                <w:rFonts w:hint="eastAsia" w:ascii="宋体" w:hAnsi="宋体" w:cs="宋体"/>
                <w:color w:val="auto"/>
                <w:szCs w:val="21"/>
                <w:highlight w:val="none"/>
                <w:lang w:val="en-US" w:eastAsia="zh-CN"/>
              </w:rPr>
              <w:t>公示结束</w:t>
            </w:r>
            <w:r>
              <w:rPr>
                <w:rFonts w:hint="eastAsia" w:ascii="宋体" w:hAnsi="宋体" w:cs="宋体"/>
                <w:color w:val="auto"/>
                <w:szCs w:val="21"/>
                <w:highlight w:val="none"/>
              </w:rPr>
              <w:t>后将退还未中标</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的保证金，中标人的投标保证金待合同签订后三日内由招标代理机构退还</w:t>
            </w:r>
            <w:r>
              <w:rPr>
                <w:rFonts w:hint="eastAsia" w:ascii="宋体" w:hAnsi="宋体"/>
                <w:color w:val="auto"/>
                <w:kern w:val="0"/>
                <w:szCs w:val="21"/>
                <w:highlight w:val="none"/>
                <w:lang w:val="en-US" w:eastAsia="zh-CN"/>
              </w:rPr>
              <w:t>。</w:t>
            </w:r>
          </w:p>
          <w:p>
            <w:pPr>
              <w:snapToGrid w:val="0"/>
              <w:spacing w:line="400" w:lineRule="exact"/>
              <w:ind w:firstLine="420" w:firstLineChars="200"/>
              <w:rPr>
                <w:rFonts w:hint="eastAsia"/>
                <w:color w:val="auto"/>
                <w:highlight w:val="none"/>
                <w:lang w:val="en-US" w:eastAsia="zh-CN"/>
              </w:rPr>
            </w:pPr>
            <w:r>
              <w:rPr>
                <w:rFonts w:hint="eastAsia"/>
                <w:color w:val="auto"/>
                <w:highlight w:val="none"/>
                <w:lang w:val="en-US" w:eastAsia="zh-CN"/>
              </w:rPr>
              <w:t>方式二：</w:t>
            </w:r>
          </w:p>
          <w:p>
            <w:pPr>
              <w:snapToGrid w:val="0"/>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一、</w:t>
            </w:r>
            <w:r>
              <w:rPr>
                <w:rFonts w:hint="eastAsia" w:ascii="宋体" w:hAnsi="宋体"/>
                <w:color w:val="auto"/>
                <w:kern w:val="0"/>
                <w:szCs w:val="21"/>
                <w:highlight w:val="none"/>
              </w:rPr>
              <w:t>以纸质投标保函形式交纳投标保证金</w:t>
            </w:r>
          </w:p>
          <w:p>
            <w:pPr>
              <w:snapToGrid w:val="0"/>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1</w:t>
            </w:r>
            <w:r>
              <w:rPr>
                <w:rFonts w:hint="eastAsia" w:ascii="宋体" w:hAnsi="宋体"/>
                <w:color w:val="auto"/>
                <w:kern w:val="0"/>
                <w:szCs w:val="21"/>
                <w:highlight w:val="none"/>
              </w:rPr>
              <w:t>. 纸质投标保函</w:t>
            </w:r>
            <w:r>
              <w:rPr>
                <w:rFonts w:ascii="宋体" w:hAnsi="宋体"/>
                <w:color w:val="auto"/>
                <w:kern w:val="0"/>
                <w:szCs w:val="21"/>
                <w:highlight w:val="none"/>
              </w:rPr>
              <w:t>交纳形式及要求：</w:t>
            </w:r>
          </w:p>
          <w:p>
            <w:pPr>
              <w:snapToGrid w:val="0"/>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（1）缴纳形式：</w:t>
            </w:r>
            <w:r>
              <w:rPr>
                <w:rFonts w:hint="eastAsia" w:ascii="宋体" w:hAnsi="宋体"/>
                <w:color w:val="auto"/>
                <w:kern w:val="0"/>
                <w:szCs w:val="21"/>
                <w:highlight w:val="none"/>
                <w:lang w:val="en-US" w:eastAsia="zh-CN"/>
              </w:rPr>
              <w:t>纸质投标保函</w:t>
            </w:r>
            <w:r>
              <w:rPr>
                <w:rFonts w:hint="eastAsia" w:ascii="宋体" w:hAnsi="宋体"/>
                <w:color w:val="auto"/>
                <w:kern w:val="0"/>
                <w:szCs w:val="21"/>
                <w:highlight w:val="none"/>
              </w:rPr>
              <w:t>包括银行保函</w:t>
            </w:r>
            <w:r>
              <w:rPr>
                <w:rFonts w:hint="eastAsia" w:ascii="宋体" w:hAnsi="宋体"/>
                <w:color w:val="auto"/>
                <w:kern w:val="0"/>
                <w:szCs w:val="21"/>
                <w:highlight w:val="none"/>
                <w:lang w:eastAsia="zh-CN"/>
              </w:rPr>
              <w:t>、</w:t>
            </w:r>
            <w:r>
              <w:rPr>
                <w:rFonts w:hint="eastAsia" w:ascii="宋体" w:hAnsi="宋体"/>
                <w:color w:val="auto"/>
                <w:kern w:val="0"/>
                <w:szCs w:val="21"/>
                <w:highlight w:val="none"/>
              </w:rPr>
              <w:t>保证保险和担保保函</w:t>
            </w:r>
            <w:r>
              <w:rPr>
                <w:rFonts w:hint="eastAsia" w:ascii="宋体" w:hAnsi="宋体"/>
                <w:color w:val="auto"/>
                <w:kern w:val="0"/>
                <w:szCs w:val="21"/>
                <w:highlight w:val="none"/>
                <w:lang w:eastAsia="zh-CN"/>
              </w:rPr>
              <w:t>，</w:t>
            </w:r>
            <w:r>
              <w:rPr>
                <w:rFonts w:hint="eastAsia" w:ascii="宋体" w:hAnsi="宋体"/>
                <w:color w:val="auto"/>
                <w:kern w:val="0"/>
                <w:szCs w:val="21"/>
                <w:highlight w:val="none"/>
                <w:lang w:val="en-US" w:eastAsia="zh-CN"/>
              </w:rPr>
              <w:t>其示范文本详见第八章投标文件格式。竞选人提交的纸质投标保函应</w:t>
            </w:r>
            <w:r>
              <w:rPr>
                <w:rFonts w:hint="eastAsia" w:ascii="宋体" w:hAnsi="宋体"/>
                <w:color w:val="auto"/>
                <w:kern w:val="0"/>
                <w:szCs w:val="21"/>
                <w:highlight w:val="none"/>
              </w:rPr>
              <w:t>严格执行</w:t>
            </w:r>
            <w:r>
              <w:rPr>
                <w:rFonts w:hint="eastAsia" w:ascii="宋体" w:hAnsi="宋体"/>
                <w:color w:val="auto"/>
                <w:kern w:val="0"/>
                <w:szCs w:val="21"/>
                <w:highlight w:val="none"/>
                <w:lang w:val="en-US" w:eastAsia="zh-CN"/>
              </w:rPr>
              <w:t>其</w:t>
            </w:r>
            <w:r>
              <w:rPr>
                <w:rFonts w:hint="eastAsia" w:ascii="宋体" w:hAnsi="宋体"/>
                <w:color w:val="auto"/>
                <w:kern w:val="0"/>
                <w:szCs w:val="21"/>
                <w:highlight w:val="none"/>
              </w:rPr>
              <w:t>示范文本，不得对示范文本中的实质性内容进行修改</w:t>
            </w:r>
            <w:r>
              <w:rPr>
                <w:rFonts w:hint="eastAsia" w:ascii="宋体" w:hAnsi="宋体"/>
                <w:color w:val="auto"/>
                <w:kern w:val="0"/>
                <w:szCs w:val="21"/>
                <w:highlight w:val="none"/>
                <w:lang w:eastAsia="zh-CN"/>
              </w:rPr>
              <w:t>。</w:t>
            </w:r>
          </w:p>
          <w:p>
            <w:pPr>
              <w:snapToGrid w:val="0"/>
              <w:spacing w:line="400" w:lineRule="exact"/>
              <w:ind w:firstLine="420" w:firstLineChars="200"/>
              <w:rPr>
                <w:rFonts w:hint="eastAsia" w:ascii="宋体" w:hAnsi="宋体"/>
                <w:color w:val="auto"/>
                <w:kern w:val="0"/>
                <w:szCs w:val="21"/>
                <w:highlight w:val="none"/>
                <w:lang w:val="en-US" w:eastAsia="zh-CN"/>
              </w:rPr>
            </w:pPr>
            <w:r>
              <w:rPr>
                <w:rFonts w:ascii="宋体" w:hAnsi="宋体"/>
                <w:color w:val="auto"/>
                <w:kern w:val="0"/>
                <w:szCs w:val="21"/>
                <w:highlight w:val="none"/>
              </w:rPr>
              <w:t>（2）具体要求：</w:t>
            </w:r>
            <w:r>
              <w:rPr>
                <w:rFonts w:hint="eastAsia" w:ascii="宋体" w:hAnsi="宋体"/>
                <w:color w:val="auto"/>
                <w:kern w:val="0"/>
                <w:szCs w:val="21"/>
                <w:highlight w:val="none"/>
                <w:lang w:val="en-US" w:eastAsia="zh-CN"/>
              </w:rPr>
              <w:t>纸质投标</w:t>
            </w:r>
            <w:r>
              <w:rPr>
                <w:rFonts w:hint="eastAsia" w:ascii="宋体" w:hAnsi="宋体"/>
                <w:color w:val="auto"/>
                <w:kern w:val="0"/>
                <w:szCs w:val="21"/>
                <w:highlight w:val="none"/>
              </w:rPr>
              <w:t>保函的开立人应当是具有相应资格的银行、保险机构、融资担保公司，其信用资质、履约能力、担保能力、赔付流程、安全保密等应符合工程保函业务条件</w:t>
            </w:r>
            <w:r>
              <w:rPr>
                <w:rFonts w:hint="eastAsia" w:ascii="宋体" w:hAnsi="宋体"/>
                <w:color w:val="auto"/>
                <w:kern w:val="0"/>
                <w:szCs w:val="21"/>
                <w:highlight w:val="none"/>
                <w:lang w:eastAsia="zh-CN"/>
              </w:rPr>
              <w:t>。</w:t>
            </w:r>
            <w:r>
              <w:rPr>
                <w:rFonts w:hint="eastAsia" w:ascii="宋体" w:hAnsi="宋体"/>
                <w:color w:val="auto"/>
                <w:kern w:val="0"/>
                <w:szCs w:val="21"/>
                <w:highlight w:val="none"/>
                <w:lang w:val="en-US" w:eastAsia="zh-CN"/>
              </w:rPr>
              <w:t>纸质投标</w:t>
            </w:r>
            <w:r>
              <w:rPr>
                <w:rFonts w:hint="eastAsia" w:ascii="宋体" w:hAnsi="宋体"/>
                <w:color w:val="auto"/>
                <w:kern w:val="0"/>
                <w:szCs w:val="21"/>
                <w:highlight w:val="none"/>
                <w:lang w:eastAsia="zh-CN"/>
              </w:rPr>
              <w:t>保函应合法合规，符合招投标行政监督部门、行业主管部门和金融监管部门的相关规定，满足招标文件约定要求。</w:t>
            </w:r>
            <w:r>
              <w:rPr>
                <w:rFonts w:hint="eastAsia" w:ascii="宋体" w:hAnsi="宋体"/>
                <w:color w:val="auto"/>
                <w:kern w:val="0"/>
                <w:szCs w:val="21"/>
                <w:highlight w:val="none"/>
                <w:lang w:val="en-US" w:eastAsia="zh-CN"/>
              </w:rPr>
              <w:t>竞选人</w:t>
            </w:r>
            <w:r>
              <w:rPr>
                <w:rFonts w:hint="eastAsia" w:ascii="宋体" w:hAnsi="宋体"/>
                <w:color w:val="auto"/>
                <w:kern w:val="0"/>
                <w:szCs w:val="21"/>
                <w:highlight w:val="none"/>
              </w:rPr>
              <w:t>应选择在渝依法设立总部或者设有分支机构的金融机构开具</w:t>
            </w:r>
            <w:r>
              <w:rPr>
                <w:rFonts w:hint="eastAsia" w:ascii="宋体" w:hAnsi="宋体"/>
                <w:color w:val="auto"/>
                <w:kern w:val="0"/>
                <w:szCs w:val="21"/>
                <w:highlight w:val="none"/>
                <w:lang w:val="en-US" w:eastAsia="zh-CN"/>
              </w:rPr>
              <w:t>纸质投标</w:t>
            </w:r>
            <w:r>
              <w:rPr>
                <w:rFonts w:hint="eastAsia" w:ascii="宋体" w:hAnsi="宋体"/>
                <w:color w:val="auto"/>
                <w:kern w:val="0"/>
                <w:szCs w:val="21"/>
                <w:highlight w:val="none"/>
              </w:rPr>
              <w:t>保函</w:t>
            </w:r>
            <w:r>
              <w:rPr>
                <w:rFonts w:hint="eastAsia" w:ascii="宋体" w:hAnsi="宋体"/>
                <w:color w:val="auto"/>
                <w:kern w:val="0"/>
                <w:szCs w:val="21"/>
                <w:highlight w:val="none"/>
                <w:lang w:eastAsia="zh-CN"/>
              </w:rPr>
              <w:t>。</w:t>
            </w:r>
            <w:r>
              <w:rPr>
                <w:rFonts w:hint="eastAsia" w:ascii="宋体" w:hAnsi="宋体"/>
                <w:color w:val="auto"/>
                <w:kern w:val="0"/>
                <w:szCs w:val="21"/>
                <w:highlight w:val="none"/>
                <w:lang w:val="en-US" w:eastAsia="zh-CN"/>
              </w:rPr>
              <w:t>竞选人对所提交的纸质投标保函的真实性、合法性、有效性负责。</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lang w:val="en-US" w:eastAsia="zh-CN"/>
              </w:rPr>
              <w:t>竞选人</w:t>
            </w:r>
            <w:r>
              <w:rPr>
                <w:rFonts w:hint="eastAsia" w:ascii="宋体" w:hAnsi="宋体"/>
                <w:color w:val="auto"/>
                <w:kern w:val="0"/>
                <w:szCs w:val="21"/>
                <w:highlight w:val="none"/>
              </w:rPr>
              <w:t>在投标文件投标保函部分</w:t>
            </w:r>
            <w:r>
              <w:rPr>
                <w:rFonts w:ascii="宋体" w:hAnsi="宋体"/>
                <w:color w:val="auto"/>
                <w:kern w:val="0"/>
                <w:szCs w:val="21"/>
                <w:highlight w:val="none"/>
              </w:rPr>
              <w:t>提供</w:t>
            </w:r>
            <w:r>
              <w:rPr>
                <w:rFonts w:hint="eastAsia" w:ascii="宋体" w:hAnsi="宋体"/>
                <w:color w:val="auto"/>
                <w:kern w:val="0"/>
                <w:szCs w:val="21"/>
                <w:highlight w:val="none"/>
                <w:lang w:val="en-US" w:eastAsia="zh-CN"/>
              </w:rPr>
              <w:t>纸质</w:t>
            </w:r>
            <w:r>
              <w:rPr>
                <w:rFonts w:ascii="宋体" w:hAnsi="宋体"/>
                <w:color w:val="auto"/>
                <w:kern w:val="0"/>
                <w:szCs w:val="21"/>
                <w:highlight w:val="none"/>
              </w:rPr>
              <w:t>投标保函</w:t>
            </w:r>
            <w:r>
              <w:rPr>
                <w:rFonts w:hint="eastAsia" w:ascii="宋体" w:hAnsi="宋体"/>
                <w:color w:val="auto"/>
                <w:kern w:val="0"/>
                <w:szCs w:val="21"/>
                <w:highlight w:val="none"/>
              </w:rPr>
              <w:t>复印件，</w:t>
            </w:r>
            <w:r>
              <w:rPr>
                <w:rFonts w:hint="eastAsia" w:ascii="宋体" w:hAnsi="宋体"/>
                <w:color w:val="auto"/>
                <w:kern w:val="0"/>
                <w:szCs w:val="21"/>
                <w:highlight w:val="none"/>
                <w:lang w:val="en-US" w:eastAsia="zh-CN"/>
              </w:rPr>
              <w:t>纸质</w:t>
            </w:r>
            <w:r>
              <w:rPr>
                <w:rFonts w:hint="eastAsia" w:ascii="宋体" w:hAnsi="宋体"/>
                <w:color w:val="auto"/>
                <w:kern w:val="0"/>
                <w:szCs w:val="21"/>
                <w:highlight w:val="none"/>
              </w:rPr>
              <w:t>投标保函原件随其他要求提供的原件一并放入原件袋中，在递交投标文件时一次性递交</w:t>
            </w:r>
            <w:r>
              <w:rPr>
                <w:rFonts w:ascii="宋体" w:hAnsi="宋体"/>
                <w:color w:val="auto"/>
                <w:kern w:val="0"/>
                <w:szCs w:val="21"/>
                <w:highlight w:val="none"/>
              </w:rPr>
              <w:t>。</w:t>
            </w:r>
            <w:r>
              <w:rPr>
                <w:rFonts w:hint="eastAsia" w:ascii="宋体" w:hAnsi="宋体"/>
                <w:color w:val="auto"/>
                <w:kern w:val="0"/>
                <w:szCs w:val="21"/>
                <w:highlight w:val="none"/>
              </w:rPr>
              <w:t>退还原件袋时，</w:t>
            </w:r>
            <w:r>
              <w:rPr>
                <w:rFonts w:hint="eastAsia" w:ascii="宋体" w:hAnsi="宋体"/>
                <w:color w:val="auto"/>
                <w:kern w:val="0"/>
                <w:szCs w:val="21"/>
                <w:highlight w:val="none"/>
                <w:lang w:val="en-US" w:eastAsia="zh-CN"/>
              </w:rPr>
              <w:t>纸质</w:t>
            </w:r>
            <w:r>
              <w:rPr>
                <w:rFonts w:hint="eastAsia" w:ascii="宋体" w:hAnsi="宋体"/>
                <w:color w:val="auto"/>
                <w:kern w:val="0"/>
                <w:szCs w:val="21"/>
                <w:highlight w:val="none"/>
              </w:rPr>
              <w:t>投标保函原件不退还，由</w:t>
            </w:r>
            <w:r>
              <w:rPr>
                <w:rFonts w:hint="eastAsia" w:ascii="宋体" w:hAnsi="宋体"/>
                <w:color w:val="auto"/>
                <w:kern w:val="0"/>
                <w:szCs w:val="21"/>
                <w:highlight w:val="none"/>
                <w:lang w:val="en-US" w:eastAsia="zh-CN"/>
              </w:rPr>
              <w:t>比选人</w:t>
            </w:r>
            <w:r>
              <w:rPr>
                <w:rFonts w:hint="eastAsia" w:ascii="宋体" w:hAnsi="宋体"/>
                <w:color w:val="auto"/>
                <w:kern w:val="0"/>
                <w:szCs w:val="21"/>
                <w:highlight w:val="none"/>
              </w:rPr>
              <w:t>保管。</w:t>
            </w:r>
          </w:p>
          <w:p>
            <w:pPr>
              <w:snapToGrid w:val="0"/>
              <w:spacing w:line="400" w:lineRule="exact"/>
              <w:ind w:firstLine="420" w:firstLineChars="200"/>
              <w:rPr>
                <w:color w:val="auto"/>
                <w:highlight w:val="none"/>
              </w:rPr>
            </w:pPr>
            <w:r>
              <w:rPr>
                <w:rFonts w:hint="eastAsia"/>
                <w:color w:val="auto"/>
                <w:highlight w:val="none"/>
              </w:rPr>
              <w:t>若投标截止时间延期，则纸质投标保函递交的截止时间和投标截止时间保持一致。</w:t>
            </w:r>
          </w:p>
          <w:p>
            <w:pPr>
              <w:snapToGrid w:val="0"/>
              <w:spacing w:line="400" w:lineRule="exact"/>
              <w:ind w:firstLine="420" w:firstLineChars="200"/>
              <w:rPr>
                <w:color w:val="auto"/>
                <w:highlight w:val="none"/>
              </w:rPr>
            </w:pPr>
            <w:r>
              <w:rPr>
                <w:rFonts w:hint="eastAsia" w:ascii="宋体" w:hAnsi="宋体"/>
                <w:color w:val="auto"/>
                <w:kern w:val="0"/>
                <w:szCs w:val="21"/>
                <w:highlight w:val="none"/>
              </w:rPr>
              <w:t>不满足上述要求的纸质</w:t>
            </w:r>
            <w:r>
              <w:rPr>
                <w:rFonts w:ascii="宋体" w:hAnsi="宋体"/>
                <w:color w:val="auto"/>
                <w:kern w:val="0"/>
                <w:szCs w:val="21"/>
                <w:highlight w:val="none"/>
              </w:rPr>
              <w:t>投标保函无效。</w:t>
            </w:r>
          </w:p>
          <w:p>
            <w:pPr>
              <w:snapToGrid w:val="0"/>
              <w:spacing w:line="400" w:lineRule="exact"/>
              <w:ind w:firstLine="420" w:firstLineChars="200"/>
              <w:rPr>
                <w:color w:val="auto"/>
                <w:highlight w:val="none"/>
              </w:rPr>
            </w:pPr>
            <w:r>
              <w:rPr>
                <w:rFonts w:ascii="宋体" w:hAnsi="宋体"/>
                <w:color w:val="auto"/>
                <w:kern w:val="0"/>
                <w:szCs w:val="21"/>
                <w:highlight w:val="none"/>
              </w:rPr>
              <w:t>2</w:t>
            </w:r>
            <w:r>
              <w:rPr>
                <w:rFonts w:hint="eastAsia" w:ascii="宋体" w:hAnsi="宋体"/>
                <w:color w:val="auto"/>
                <w:kern w:val="0"/>
                <w:szCs w:val="21"/>
                <w:highlight w:val="none"/>
              </w:rPr>
              <w:t xml:space="preserve">. </w:t>
            </w:r>
            <w:r>
              <w:rPr>
                <w:rFonts w:hint="eastAsia"/>
                <w:color w:val="auto"/>
                <w:highlight w:val="none"/>
              </w:rPr>
              <w:t>以纸质投标保函形式担保的</w:t>
            </w:r>
            <w:r>
              <w:rPr>
                <w:color w:val="auto"/>
                <w:highlight w:val="none"/>
              </w:rPr>
              <w:t>投标保证金的金额</w:t>
            </w:r>
            <w:r>
              <w:rPr>
                <w:rFonts w:ascii="宋体" w:hAnsi="宋体"/>
                <w:color w:val="auto"/>
                <w:kern w:val="0"/>
                <w:szCs w:val="21"/>
                <w:highlight w:val="none"/>
              </w:rPr>
              <w:t>：</w:t>
            </w:r>
            <w:r>
              <w:rPr>
                <w:rFonts w:ascii="宋体" w:hAnsi="宋体"/>
                <w:color w:val="auto"/>
                <w:kern w:val="0"/>
                <w:szCs w:val="21"/>
                <w:highlight w:val="none"/>
                <w:u w:val="single"/>
              </w:rPr>
              <w:t xml:space="preserve">  </w:t>
            </w:r>
            <w:r>
              <w:rPr>
                <w:rFonts w:hint="eastAsia" w:ascii="宋体" w:hAnsi="宋体"/>
                <w:color w:val="auto"/>
                <w:kern w:val="0"/>
                <w:szCs w:val="21"/>
                <w:highlight w:val="none"/>
                <w:u w:val="single"/>
                <w:lang w:val="en-US" w:eastAsia="zh-CN"/>
              </w:rPr>
              <w:t>1</w:t>
            </w:r>
            <w:r>
              <w:rPr>
                <w:rFonts w:ascii="宋体" w:hAnsi="宋体"/>
                <w:color w:val="auto"/>
                <w:kern w:val="0"/>
                <w:szCs w:val="21"/>
                <w:highlight w:val="none"/>
                <w:u w:val="single"/>
              </w:rPr>
              <w:t xml:space="preserve">  </w:t>
            </w:r>
            <w:r>
              <w:rPr>
                <w:rFonts w:ascii="宋体" w:hAnsi="宋体"/>
                <w:color w:val="auto"/>
                <w:kern w:val="0"/>
                <w:szCs w:val="21"/>
                <w:highlight w:val="none"/>
              </w:rPr>
              <w:t>万元整（人民币）</w:t>
            </w:r>
            <w:r>
              <w:rPr>
                <w:rFonts w:hint="eastAsia"/>
                <w:color w:val="auto"/>
                <w:highlight w:val="none"/>
              </w:rPr>
              <w:t>。</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 xml:space="preserve">3. </w:t>
            </w:r>
            <w:r>
              <w:rPr>
                <w:rFonts w:hint="eastAsia" w:ascii="宋体" w:hAnsi="宋体"/>
                <w:color w:val="auto"/>
                <w:kern w:val="0"/>
                <w:szCs w:val="21"/>
                <w:highlight w:val="none"/>
                <w:lang w:val="en-US" w:eastAsia="zh-CN"/>
              </w:rPr>
              <w:t>竞选人</w:t>
            </w:r>
            <w:r>
              <w:rPr>
                <w:rFonts w:ascii="宋体" w:hAnsi="宋体"/>
                <w:color w:val="auto"/>
                <w:kern w:val="0"/>
                <w:szCs w:val="21"/>
                <w:highlight w:val="none"/>
              </w:rPr>
              <w:t>须</w:t>
            </w:r>
            <w:r>
              <w:rPr>
                <w:rFonts w:hint="eastAsia"/>
                <w:color w:val="auto"/>
                <w:highlight w:val="none"/>
              </w:rPr>
              <w:t>在</w:t>
            </w:r>
            <w:r>
              <w:rPr>
                <w:rFonts w:hint="eastAsia" w:ascii="宋体" w:hAnsi="宋体"/>
                <w:color w:val="auto"/>
                <w:kern w:val="0"/>
                <w:szCs w:val="21"/>
                <w:highlight w:val="none"/>
              </w:rPr>
              <w:t>纸质投标保函</w:t>
            </w:r>
            <w:r>
              <w:rPr>
                <w:rFonts w:hint="eastAsia" w:ascii="宋体" w:hAnsi="宋体"/>
                <w:color w:val="auto"/>
                <w:kern w:val="0"/>
                <w:szCs w:val="21"/>
                <w:highlight w:val="none"/>
                <w:lang w:val="en-US" w:eastAsia="zh-CN"/>
              </w:rPr>
              <w:t>中注明</w:t>
            </w:r>
            <w:r>
              <w:rPr>
                <w:rFonts w:hint="eastAsia" w:ascii="宋体" w:hAnsi="宋体"/>
                <w:color w:val="auto"/>
                <w:kern w:val="0"/>
                <w:szCs w:val="21"/>
                <w:highlight w:val="none"/>
              </w:rPr>
              <w:t>在重庆市辖区范围内的核验</w:t>
            </w:r>
            <w:r>
              <w:rPr>
                <w:rFonts w:hint="eastAsia" w:ascii="宋体" w:hAnsi="宋体"/>
                <w:color w:val="auto"/>
                <w:kern w:val="0"/>
                <w:szCs w:val="21"/>
                <w:highlight w:val="none"/>
                <w:lang w:val="en-US" w:eastAsia="zh-CN"/>
              </w:rPr>
              <w:t>地址和核验方式，并</w:t>
            </w:r>
            <w:r>
              <w:rPr>
                <w:rFonts w:hint="eastAsia" w:ascii="宋体" w:hAnsi="宋体"/>
                <w:color w:val="auto"/>
                <w:kern w:val="0"/>
                <w:szCs w:val="21"/>
                <w:highlight w:val="none"/>
              </w:rPr>
              <w:t>确保其递交的纸质</w:t>
            </w:r>
            <w:r>
              <w:rPr>
                <w:rFonts w:ascii="宋体" w:hAnsi="宋体"/>
                <w:color w:val="auto"/>
                <w:kern w:val="0"/>
                <w:szCs w:val="21"/>
                <w:highlight w:val="none"/>
              </w:rPr>
              <w:t>投标保函能在</w:t>
            </w:r>
            <w:r>
              <w:rPr>
                <w:rFonts w:hint="eastAsia" w:ascii="宋体" w:hAnsi="宋体"/>
                <w:color w:val="auto"/>
                <w:kern w:val="0"/>
                <w:szCs w:val="21"/>
                <w:highlight w:val="none"/>
                <w:lang w:val="en-US" w:eastAsia="zh-CN"/>
              </w:rPr>
              <w:t>开立人</w:t>
            </w:r>
            <w:r>
              <w:rPr>
                <w:rFonts w:hint="eastAsia" w:ascii="宋体" w:hAnsi="宋体"/>
                <w:color w:val="auto"/>
                <w:kern w:val="0"/>
                <w:szCs w:val="21"/>
                <w:highlight w:val="none"/>
              </w:rPr>
              <w:t>在渝</w:t>
            </w:r>
            <w:r>
              <w:rPr>
                <w:rFonts w:hint="eastAsia" w:ascii="宋体" w:hAnsi="宋体"/>
                <w:color w:val="auto"/>
                <w:kern w:val="0"/>
                <w:szCs w:val="21"/>
                <w:highlight w:val="none"/>
                <w:lang w:val="en-US" w:eastAsia="zh-CN"/>
              </w:rPr>
              <w:t>的</w:t>
            </w:r>
            <w:r>
              <w:rPr>
                <w:rFonts w:hint="eastAsia" w:ascii="宋体" w:hAnsi="宋体"/>
                <w:color w:val="auto"/>
                <w:kern w:val="0"/>
                <w:szCs w:val="21"/>
                <w:highlight w:val="none"/>
              </w:rPr>
              <w:t>总部或者分支机构</w:t>
            </w:r>
            <w:r>
              <w:rPr>
                <w:rFonts w:hint="eastAsia" w:ascii="宋体" w:hAnsi="宋体"/>
                <w:color w:val="auto"/>
                <w:kern w:val="0"/>
                <w:szCs w:val="21"/>
                <w:highlight w:val="none"/>
                <w:lang w:val="en-US" w:eastAsia="zh-CN"/>
              </w:rPr>
              <w:t>进行</w:t>
            </w:r>
            <w:r>
              <w:rPr>
                <w:rFonts w:hint="eastAsia" w:ascii="宋体" w:hAnsi="宋体"/>
                <w:color w:val="auto"/>
                <w:kern w:val="0"/>
                <w:szCs w:val="21"/>
                <w:highlight w:val="none"/>
              </w:rPr>
              <w:t>核验。</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4. 投标人递交的纸质投标保函原件应与投标文件中提供的纸质投标保函</w:t>
            </w:r>
            <w:r>
              <w:rPr>
                <w:rFonts w:hint="eastAsia" w:ascii="宋体" w:hAnsi="宋体"/>
                <w:color w:val="auto"/>
                <w:kern w:val="0"/>
                <w:szCs w:val="21"/>
                <w:highlight w:val="none"/>
                <w:lang w:val="en-US" w:eastAsia="zh-CN"/>
              </w:rPr>
              <w:t>复印件</w:t>
            </w:r>
            <w:r>
              <w:rPr>
                <w:rFonts w:hint="eastAsia" w:ascii="宋体" w:hAnsi="宋体"/>
                <w:color w:val="auto"/>
                <w:kern w:val="0"/>
                <w:szCs w:val="21"/>
                <w:highlight w:val="none"/>
              </w:rPr>
              <w:t>一致，否则由评标委员会作否决投标处理。</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5. 在发出中标通知书前，</w:t>
            </w:r>
            <w:r>
              <w:rPr>
                <w:rFonts w:hint="eastAsia" w:ascii="宋体" w:hAnsi="宋体"/>
                <w:color w:val="auto"/>
                <w:kern w:val="0"/>
                <w:szCs w:val="21"/>
                <w:highlight w:val="none"/>
                <w:lang w:val="en-US" w:eastAsia="zh-CN"/>
              </w:rPr>
              <w:t>比选人</w:t>
            </w:r>
            <w:r>
              <w:rPr>
                <w:rFonts w:hint="eastAsia" w:ascii="宋体" w:hAnsi="宋体"/>
                <w:color w:val="auto"/>
                <w:kern w:val="0"/>
                <w:szCs w:val="21"/>
                <w:highlight w:val="none"/>
              </w:rPr>
              <w:t>应当对</w:t>
            </w:r>
            <w:r>
              <w:rPr>
                <w:rFonts w:hint="eastAsia" w:ascii="宋体" w:hAnsi="宋体"/>
                <w:color w:val="auto"/>
                <w:kern w:val="0"/>
                <w:szCs w:val="21"/>
                <w:highlight w:val="none"/>
                <w:lang w:val="en-US" w:eastAsia="zh-CN"/>
              </w:rPr>
              <w:t>竞选人</w:t>
            </w:r>
            <w:r>
              <w:rPr>
                <w:rFonts w:hint="eastAsia" w:ascii="宋体" w:hAnsi="宋体"/>
                <w:color w:val="auto"/>
                <w:kern w:val="0"/>
                <w:szCs w:val="21"/>
                <w:highlight w:val="none"/>
              </w:rPr>
              <w:t>（至少中标候选人或中标人）</w:t>
            </w:r>
            <w:r>
              <w:rPr>
                <w:rFonts w:hint="eastAsia" w:ascii="宋体" w:hAnsi="宋体"/>
                <w:color w:val="auto"/>
                <w:kern w:val="0"/>
                <w:szCs w:val="21"/>
                <w:highlight w:val="none"/>
                <w:lang w:val="en-US" w:eastAsia="zh-CN"/>
              </w:rPr>
              <w:t>递交</w:t>
            </w:r>
            <w:r>
              <w:rPr>
                <w:rFonts w:hint="eastAsia" w:ascii="宋体" w:hAnsi="宋体"/>
                <w:color w:val="auto"/>
                <w:kern w:val="0"/>
                <w:szCs w:val="21"/>
                <w:highlight w:val="none"/>
              </w:rPr>
              <w:t>的纸质投标保函</w:t>
            </w:r>
            <w:r>
              <w:rPr>
                <w:rFonts w:hint="eastAsia" w:ascii="宋体" w:hAnsi="宋体"/>
                <w:color w:val="auto"/>
                <w:kern w:val="0"/>
                <w:szCs w:val="21"/>
                <w:highlight w:val="none"/>
                <w:lang w:val="en-US" w:eastAsia="zh-CN"/>
              </w:rPr>
              <w:t>的真实性、合法性、有效性进行核验，对核验不合格或无法按纸质投标保函注明的核验地点、核验方式进行核验的，视为竞选人未提交纸质投标保函</w:t>
            </w:r>
            <w:r>
              <w:rPr>
                <w:rFonts w:hint="eastAsia" w:ascii="宋体" w:hAnsi="宋体"/>
                <w:color w:val="auto"/>
                <w:kern w:val="0"/>
                <w:szCs w:val="21"/>
                <w:highlight w:val="none"/>
              </w:rPr>
              <w:t>，对</w:t>
            </w:r>
            <w:r>
              <w:rPr>
                <w:rFonts w:hint="eastAsia" w:ascii="宋体" w:hAnsi="宋体"/>
                <w:color w:val="auto"/>
                <w:szCs w:val="21"/>
                <w:highlight w:val="none"/>
              </w:rPr>
              <w:t>已取得中标候选人资格或中标资格的投标人，</w:t>
            </w:r>
            <w:r>
              <w:rPr>
                <w:rFonts w:hint="eastAsia" w:ascii="宋体" w:hAnsi="宋体"/>
                <w:color w:val="auto"/>
                <w:szCs w:val="21"/>
                <w:highlight w:val="none"/>
                <w:lang w:val="en-US" w:eastAsia="zh-CN"/>
              </w:rPr>
              <w:t>按相关规定</w:t>
            </w:r>
            <w:r>
              <w:rPr>
                <w:rFonts w:hint="eastAsia" w:ascii="宋体" w:hAnsi="宋体"/>
                <w:color w:val="auto"/>
                <w:szCs w:val="21"/>
                <w:highlight w:val="none"/>
              </w:rPr>
              <w:t>取消中标候选人资格或中标资格</w:t>
            </w:r>
            <w:r>
              <w:rPr>
                <w:rFonts w:hint="eastAsia" w:ascii="宋体" w:hAnsi="宋体"/>
                <w:color w:val="auto"/>
                <w:kern w:val="0"/>
                <w:szCs w:val="21"/>
                <w:highlight w:val="none"/>
              </w:rPr>
              <w:t>，</w:t>
            </w:r>
            <w:r>
              <w:rPr>
                <w:rFonts w:hint="eastAsia" w:ascii="宋体" w:hAnsi="宋体"/>
                <w:color w:val="auto"/>
                <w:szCs w:val="21"/>
                <w:highlight w:val="none"/>
              </w:rPr>
              <w:t>给</w:t>
            </w:r>
            <w:r>
              <w:rPr>
                <w:rFonts w:hint="eastAsia" w:ascii="宋体" w:hAnsi="宋体"/>
                <w:color w:val="auto"/>
                <w:szCs w:val="21"/>
                <w:highlight w:val="none"/>
                <w:lang w:val="en-US" w:eastAsia="zh-CN"/>
              </w:rPr>
              <w:t>比选人</w:t>
            </w:r>
            <w:r>
              <w:rPr>
                <w:rFonts w:hint="eastAsia" w:ascii="宋体" w:hAnsi="宋体"/>
                <w:color w:val="auto"/>
                <w:szCs w:val="21"/>
                <w:highlight w:val="none"/>
              </w:rPr>
              <w:t>造成损失的，</w:t>
            </w:r>
            <w:r>
              <w:rPr>
                <w:rFonts w:hint="eastAsia" w:ascii="宋体" w:hAnsi="宋体"/>
                <w:color w:val="auto"/>
                <w:kern w:val="0"/>
                <w:szCs w:val="21"/>
                <w:highlight w:val="none"/>
                <w:lang w:val="en-US" w:eastAsia="zh-CN"/>
              </w:rPr>
              <w:t>竞选人</w:t>
            </w:r>
            <w:r>
              <w:rPr>
                <w:rFonts w:hint="eastAsia" w:ascii="宋体" w:hAnsi="宋体"/>
                <w:color w:val="auto"/>
                <w:szCs w:val="21"/>
                <w:highlight w:val="none"/>
              </w:rPr>
              <w:t>依法承担赔偿责任。</w:t>
            </w:r>
            <w:r>
              <w:rPr>
                <w:rFonts w:hint="eastAsia" w:ascii="宋体" w:hAnsi="宋体"/>
                <w:color w:val="auto"/>
                <w:kern w:val="0"/>
                <w:szCs w:val="21"/>
                <w:highlight w:val="none"/>
                <w:lang w:val="en-US" w:eastAsia="zh-CN"/>
              </w:rPr>
              <w:t>竞选人提交的纸质投标</w:t>
            </w:r>
            <w:r>
              <w:rPr>
                <w:rFonts w:hint="eastAsia" w:ascii="宋体" w:hAnsi="宋体"/>
                <w:color w:val="auto"/>
                <w:szCs w:val="21"/>
                <w:highlight w:val="none"/>
              </w:rPr>
              <w:t>保函涉及弄虚作假或其他违法违规</w:t>
            </w:r>
            <w:r>
              <w:rPr>
                <w:rFonts w:hint="eastAsia" w:ascii="宋体" w:hAnsi="宋体"/>
                <w:color w:val="auto"/>
                <w:szCs w:val="21"/>
                <w:highlight w:val="none"/>
                <w:lang w:val="en-US" w:eastAsia="zh-CN"/>
              </w:rPr>
              <w:t>情形</w:t>
            </w:r>
            <w:r>
              <w:rPr>
                <w:rFonts w:hint="eastAsia" w:ascii="宋体" w:hAnsi="宋体"/>
                <w:color w:val="auto"/>
                <w:szCs w:val="21"/>
                <w:highlight w:val="none"/>
              </w:rPr>
              <w:t>的，移送相关部门处理</w:t>
            </w:r>
            <w:r>
              <w:rPr>
                <w:rFonts w:ascii="宋体" w:hAnsi="宋体"/>
                <w:color w:val="auto"/>
                <w:kern w:val="0"/>
                <w:szCs w:val="21"/>
                <w:highlight w:val="none"/>
              </w:rPr>
              <w:t>。</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6. 若</w:t>
            </w:r>
            <w:r>
              <w:rPr>
                <w:rFonts w:hint="eastAsia" w:ascii="宋体" w:hAnsi="宋体"/>
                <w:color w:val="auto"/>
                <w:kern w:val="0"/>
                <w:szCs w:val="21"/>
                <w:highlight w:val="none"/>
                <w:lang w:val="en-US" w:eastAsia="zh-CN"/>
              </w:rPr>
              <w:t>竞选人</w:t>
            </w:r>
            <w:r>
              <w:rPr>
                <w:rFonts w:hint="eastAsia" w:ascii="宋体" w:hAnsi="宋体"/>
                <w:color w:val="auto"/>
                <w:kern w:val="0"/>
                <w:szCs w:val="21"/>
                <w:highlight w:val="none"/>
              </w:rPr>
              <w:t>为联合体，则由联合体牵头人提供纸质投标保函。</w:t>
            </w:r>
          </w:p>
          <w:p>
            <w:pPr>
              <w:snapToGrid w:val="0"/>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二、</w:t>
            </w:r>
            <w:r>
              <w:rPr>
                <w:rFonts w:hint="eastAsia" w:ascii="宋体" w:hAnsi="宋体"/>
                <w:color w:val="auto"/>
                <w:kern w:val="0"/>
                <w:szCs w:val="21"/>
                <w:highlight w:val="none"/>
              </w:rPr>
              <w:t>纸质</w:t>
            </w:r>
            <w:r>
              <w:rPr>
                <w:rFonts w:ascii="宋体" w:hAnsi="宋体"/>
                <w:color w:val="auto"/>
                <w:kern w:val="0"/>
                <w:szCs w:val="21"/>
                <w:highlight w:val="none"/>
              </w:rPr>
              <w:t>投标保函的</w:t>
            </w:r>
            <w:r>
              <w:rPr>
                <w:rFonts w:hint="eastAsia" w:ascii="宋体" w:hAnsi="宋体"/>
                <w:color w:val="auto"/>
                <w:kern w:val="0"/>
                <w:szCs w:val="21"/>
                <w:highlight w:val="none"/>
              </w:rPr>
              <w:t>退还、注销</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lang w:val="en-US" w:eastAsia="zh-CN"/>
              </w:rPr>
              <w:t>比选</w:t>
            </w:r>
            <w:r>
              <w:rPr>
                <w:rFonts w:ascii="宋体" w:hAnsi="宋体"/>
                <w:color w:val="auto"/>
                <w:kern w:val="0"/>
                <w:szCs w:val="21"/>
                <w:highlight w:val="none"/>
              </w:rPr>
              <w:t>人应当在法定时间内确定中标人，向中标人发出中标通知书，同时向除中标候选人以外的其他投标人退还</w:t>
            </w:r>
            <w:r>
              <w:rPr>
                <w:rFonts w:hint="eastAsia" w:ascii="宋体" w:hAnsi="宋体"/>
                <w:color w:val="auto"/>
                <w:kern w:val="0"/>
                <w:szCs w:val="21"/>
                <w:highlight w:val="none"/>
              </w:rPr>
              <w:t>纸质</w:t>
            </w:r>
            <w:r>
              <w:rPr>
                <w:rFonts w:ascii="宋体" w:hAnsi="宋体"/>
                <w:color w:val="auto"/>
                <w:kern w:val="0"/>
                <w:szCs w:val="21"/>
                <w:highlight w:val="none"/>
              </w:rPr>
              <w:t>投标保函并书面通知相关</w:t>
            </w:r>
            <w:r>
              <w:rPr>
                <w:rFonts w:hint="eastAsia" w:ascii="宋体" w:hAnsi="宋体"/>
                <w:color w:val="auto"/>
                <w:kern w:val="0"/>
                <w:szCs w:val="21"/>
                <w:highlight w:val="none"/>
                <w:lang w:val="en-US" w:eastAsia="zh-CN"/>
              </w:rPr>
              <w:t>金融机构</w:t>
            </w:r>
            <w:r>
              <w:rPr>
                <w:rFonts w:ascii="宋体" w:hAnsi="宋体"/>
                <w:color w:val="auto"/>
                <w:kern w:val="0"/>
                <w:szCs w:val="21"/>
                <w:highlight w:val="none"/>
              </w:rPr>
              <w:t>本项目准予提前注销</w:t>
            </w:r>
            <w:r>
              <w:rPr>
                <w:rFonts w:hint="eastAsia" w:ascii="宋体" w:hAnsi="宋体"/>
                <w:color w:val="auto"/>
                <w:kern w:val="0"/>
                <w:szCs w:val="21"/>
                <w:highlight w:val="none"/>
              </w:rPr>
              <w:t>纸质</w:t>
            </w:r>
            <w:r>
              <w:rPr>
                <w:rFonts w:ascii="宋体" w:hAnsi="宋体"/>
                <w:color w:val="auto"/>
                <w:kern w:val="0"/>
                <w:szCs w:val="21"/>
                <w:highlight w:val="none"/>
              </w:rPr>
              <w:t>投标保函。具体注销事宜由投标人与</w:t>
            </w:r>
            <w:r>
              <w:rPr>
                <w:rFonts w:hint="eastAsia" w:ascii="宋体" w:hAnsi="宋体"/>
                <w:color w:val="auto"/>
                <w:kern w:val="0"/>
                <w:szCs w:val="21"/>
                <w:highlight w:val="none"/>
                <w:lang w:val="en-US" w:eastAsia="zh-CN"/>
              </w:rPr>
              <w:t>金融机构</w:t>
            </w:r>
            <w:r>
              <w:rPr>
                <w:rFonts w:ascii="宋体" w:hAnsi="宋体"/>
                <w:color w:val="auto"/>
                <w:kern w:val="0"/>
                <w:szCs w:val="21"/>
                <w:highlight w:val="none"/>
              </w:rPr>
              <w:t>协商。</w:t>
            </w:r>
          </w:p>
          <w:p>
            <w:pPr>
              <w:spacing w:line="400" w:lineRule="exact"/>
              <w:ind w:firstLine="420" w:firstLineChars="200"/>
              <w:rPr>
                <w:rFonts w:ascii="宋体" w:hAnsi="宋体" w:eastAsia="宋体" w:cs="宋体"/>
                <w:color w:val="auto"/>
                <w:kern w:val="0"/>
                <w:sz w:val="21"/>
                <w:szCs w:val="21"/>
                <w:highlight w:val="none"/>
                <w:lang w:val="en-US" w:eastAsia="zh-CN" w:bidi="ar-SA"/>
              </w:rPr>
            </w:pPr>
            <w:r>
              <w:rPr>
                <w:rFonts w:ascii="宋体" w:hAnsi="宋体"/>
                <w:color w:val="auto"/>
                <w:kern w:val="0"/>
                <w:szCs w:val="21"/>
                <w:highlight w:val="none"/>
              </w:rPr>
              <w:t>招标人应在法定时间内和中标人</w:t>
            </w:r>
            <w:r>
              <w:rPr>
                <w:rFonts w:hint="eastAsia" w:ascii="宋体" w:hAnsi="宋体"/>
                <w:color w:val="auto"/>
                <w:kern w:val="0"/>
                <w:szCs w:val="21"/>
                <w:highlight w:val="none"/>
              </w:rPr>
              <w:t>签订</w:t>
            </w:r>
            <w:r>
              <w:rPr>
                <w:rFonts w:ascii="宋体" w:hAnsi="宋体"/>
                <w:color w:val="auto"/>
                <w:kern w:val="0"/>
                <w:szCs w:val="21"/>
                <w:highlight w:val="none"/>
              </w:rPr>
              <w:t>合同，并同时书面通知相关</w:t>
            </w:r>
            <w:r>
              <w:rPr>
                <w:rFonts w:hint="eastAsia" w:ascii="宋体" w:hAnsi="宋体"/>
                <w:color w:val="auto"/>
                <w:kern w:val="0"/>
                <w:szCs w:val="21"/>
                <w:highlight w:val="none"/>
                <w:lang w:val="en-US" w:eastAsia="zh-CN"/>
              </w:rPr>
              <w:t>金融机构</w:t>
            </w:r>
            <w:r>
              <w:rPr>
                <w:rFonts w:ascii="宋体" w:hAnsi="宋体"/>
                <w:color w:val="auto"/>
                <w:kern w:val="0"/>
                <w:szCs w:val="21"/>
                <w:highlight w:val="none"/>
              </w:rPr>
              <w:t>向中标人和其他中标候选人注销</w:t>
            </w:r>
            <w:r>
              <w:rPr>
                <w:rFonts w:hint="eastAsia" w:ascii="宋体" w:hAnsi="宋体"/>
                <w:color w:val="auto"/>
                <w:kern w:val="0"/>
                <w:szCs w:val="21"/>
                <w:highlight w:val="none"/>
              </w:rPr>
              <w:t>纸质</w:t>
            </w:r>
            <w:r>
              <w:rPr>
                <w:rFonts w:ascii="宋体" w:hAnsi="宋体"/>
                <w:color w:val="auto"/>
                <w:kern w:val="0"/>
                <w:szCs w:val="21"/>
                <w:highlight w:val="none"/>
              </w:rPr>
              <w:t>投标保函。具体注销事宜由</w:t>
            </w:r>
            <w:r>
              <w:rPr>
                <w:rFonts w:hint="eastAsia" w:ascii="宋体" w:hAnsi="宋体"/>
                <w:color w:val="auto"/>
                <w:kern w:val="0"/>
                <w:szCs w:val="21"/>
                <w:highlight w:val="none"/>
                <w:lang w:val="en-US" w:eastAsia="zh-CN"/>
              </w:rPr>
              <w:t>竞选人</w:t>
            </w:r>
            <w:r>
              <w:rPr>
                <w:rFonts w:ascii="宋体" w:hAnsi="宋体"/>
                <w:color w:val="auto"/>
                <w:kern w:val="0"/>
                <w:szCs w:val="21"/>
                <w:highlight w:val="none"/>
              </w:rPr>
              <w:t>与</w:t>
            </w:r>
            <w:r>
              <w:rPr>
                <w:rFonts w:hint="eastAsia" w:ascii="宋体" w:hAnsi="宋体"/>
                <w:color w:val="auto"/>
                <w:kern w:val="0"/>
                <w:szCs w:val="21"/>
                <w:highlight w:val="none"/>
                <w:lang w:val="en-US" w:eastAsia="zh-CN"/>
              </w:rPr>
              <w:t>金融机构</w:t>
            </w:r>
            <w:r>
              <w:rPr>
                <w:rFonts w:ascii="宋体" w:hAnsi="宋体"/>
                <w:color w:val="auto"/>
                <w:kern w:val="0"/>
                <w:szCs w:val="21"/>
                <w:highlight w:val="none"/>
              </w:rPr>
              <w:t>协商。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3.6</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是否允许递交</w:t>
            </w:r>
          </w:p>
          <w:p>
            <w:pPr>
              <w:snapToGrid w:val="0"/>
              <w:spacing w:after="93" w:afterLines="30" w:line="400" w:lineRule="exact"/>
              <w:jc w:val="center"/>
              <w:rPr>
                <w:rFonts w:ascii="宋体" w:hAnsi="宋体"/>
                <w:color w:val="auto"/>
                <w:kern w:val="0"/>
                <w:szCs w:val="21"/>
                <w:highlight w:val="none"/>
              </w:rPr>
            </w:pPr>
            <w:r>
              <w:rPr>
                <w:rFonts w:ascii="宋体" w:hAnsi="宋体"/>
                <w:color w:val="auto"/>
                <w:kern w:val="0"/>
                <w:szCs w:val="21"/>
                <w:highlight w:val="none"/>
              </w:rPr>
              <w:t>备选投标方案</w:t>
            </w:r>
          </w:p>
        </w:tc>
        <w:tc>
          <w:tcPr>
            <w:tcW w:w="6490" w:type="dxa"/>
            <w:vAlign w:val="center"/>
          </w:tcPr>
          <w:p>
            <w:pPr>
              <w:snapToGrid w:val="0"/>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不允许</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rPr>
              <w:t>3.7.1</w:t>
            </w:r>
          </w:p>
        </w:tc>
        <w:tc>
          <w:tcPr>
            <w:tcW w:w="1644" w:type="dxa"/>
            <w:vAlign w:val="center"/>
          </w:tcPr>
          <w:p>
            <w:pPr>
              <w:snapToGrid w:val="0"/>
              <w:spacing w:after="93" w:afterLines="30" w:line="400" w:lineRule="exact"/>
              <w:jc w:val="center"/>
              <w:rPr>
                <w:rFonts w:ascii="宋体" w:hAnsi="宋体"/>
                <w:color w:val="auto"/>
                <w:kern w:val="0"/>
                <w:szCs w:val="21"/>
                <w:highlight w:val="none"/>
              </w:rPr>
            </w:pPr>
            <w:r>
              <w:rPr>
                <w:rFonts w:hint="eastAsia" w:ascii="宋体" w:hAnsi="宋体"/>
                <w:color w:val="auto"/>
                <w:kern w:val="0"/>
                <w:szCs w:val="21"/>
                <w:highlight w:val="none"/>
                <w:lang w:eastAsia="zh-CN"/>
              </w:rPr>
              <w:t>竞选文件</w:t>
            </w:r>
            <w:r>
              <w:rPr>
                <w:rFonts w:hint="eastAsia" w:ascii="宋体" w:hAnsi="宋体"/>
                <w:color w:val="auto"/>
                <w:kern w:val="0"/>
                <w:szCs w:val="21"/>
                <w:highlight w:val="none"/>
              </w:rPr>
              <w:t>格式要求</w:t>
            </w:r>
          </w:p>
        </w:tc>
        <w:tc>
          <w:tcPr>
            <w:tcW w:w="6490" w:type="dxa"/>
            <w:vAlign w:val="center"/>
          </w:tcPr>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编制</w:t>
            </w:r>
            <w:r>
              <w:rPr>
                <w:rFonts w:hint="eastAsia" w:ascii="宋体" w:hAnsi="宋体"/>
                <w:color w:val="auto"/>
                <w:kern w:val="0"/>
                <w:szCs w:val="21"/>
                <w:highlight w:val="none"/>
                <w:lang w:eastAsia="zh-CN"/>
              </w:rPr>
              <w:t>竞选文件</w:t>
            </w:r>
            <w:r>
              <w:rPr>
                <w:rFonts w:hint="eastAsia" w:ascii="宋体" w:hAnsi="宋体"/>
                <w:color w:val="auto"/>
                <w:kern w:val="0"/>
                <w:szCs w:val="21"/>
                <w:highlight w:val="none"/>
              </w:rPr>
              <w:t>时不得对第八章“</w:t>
            </w:r>
            <w:r>
              <w:rPr>
                <w:rFonts w:hint="eastAsia" w:ascii="宋体" w:hAnsi="宋体"/>
                <w:color w:val="auto"/>
                <w:kern w:val="0"/>
                <w:szCs w:val="21"/>
                <w:highlight w:val="none"/>
                <w:lang w:eastAsia="zh-CN"/>
              </w:rPr>
              <w:t>竞选文件</w:t>
            </w:r>
            <w:r>
              <w:rPr>
                <w:rFonts w:hint="eastAsia" w:ascii="宋体" w:hAnsi="宋体"/>
                <w:color w:val="auto"/>
                <w:kern w:val="0"/>
                <w:szCs w:val="21"/>
                <w:highlight w:val="none"/>
              </w:rPr>
              <w:t>格式”的相应要素作实质性修改，否则由评标委员会作否决投标处理。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3.7.3</w:t>
            </w:r>
          </w:p>
        </w:tc>
        <w:tc>
          <w:tcPr>
            <w:tcW w:w="1644" w:type="dxa"/>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rPr>
              <w:t>签名</w:t>
            </w:r>
            <w:r>
              <w:rPr>
                <w:rFonts w:ascii="宋体" w:hAnsi="宋体"/>
                <w:color w:val="auto"/>
                <w:kern w:val="0"/>
                <w:szCs w:val="21"/>
                <w:highlight w:val="none"/>
              </w:rPr>
              <w:t>盖章要求</w:t>
            </w:r>
          </w:p>
        </w:tc>
        <w:tc>
          <w:tcPr>
            <w:tcW w:w="6490" w:type="dxa"/>
            <w:vAlign w:val="center"/>
          </w:tcPr>
          <w:p>
            <w:pPr>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lang w:eastAsia="zh-CN"/>
              </w:rPr>
              <w:t>竞选文件</w:t>
            </w:r>
            <w:r>
              <w:rPr>
                <w:rFonts w:hint="eastAsia" w:ascii="宋体" w:hAnsi="宋体"/>
                <w:color w:val="auto"/>
                <w:szCs w:val="21"/>
                <w:highlight w:val="none"/>
              </w:rPr>
              <w:t>应用不褪色的材料书写或打印，并由</w:t>
            </w:r>
            <w:r>
              <w:rPr>
                <w:rFonts w:hint="eastAsia" w:ascii="宋体" w:hAnsi="宋体"/>
                <w:color w:val="auto"/>
                <w:szCs w:val="21"/>
                <w:highlight w:val="none"/>
                <w:lang w:eastAsia="zh-CN"/>
              </w:rPr>
              <w:t>竞选人</w:t>
            </w:r>
            <w:r>
              <w:rPr>
                <w:rFonts w:hint="eastAsia" w:ascii="宋体" w:hAnsi="宋体"/>
                <w:color w:val="auto"/>
                <w:szCs w:val="21"/>
                <w:highlight w:val="none"/>
              </w:rPr>
              <w:t>的法定代表人或其委托代理人在招标文件规定的位置按招标文件要求签名或盖章、盖单位法人章。委托代理人签名的，</w:t>
            </w:r>
            <w:r>
              <w:rPr>
                <w:rFonts w:hint="eastAsia" w:ascii="宋体" w:hAnsi="宋体"/>
                <w:color w:val="auto"/>
                <w:szCs w:val="21"/>
                <w:highlight w:val="none"/>
                <w:lang w:eastAsia="zh-CN"/>
              </w:rPr>
              <w:t>竞选文件</w:t>
            </w:r>
            <w:r>
              <w:rPr>
                <w:rFonts w:hint="eastAsia" w:ascii="宋体" w:hAnsi="宋体"/>
                <w:color w:val="auto"/>
                <w:szCs w:val="21"/>
                <w:highlight w:val="none"/>
              </w:rPr>
              <w:t>应附法定代表人签署的授权委托书。</w:t>
            </w:r>
            <w:r>
              <w:rPr>
                <w:rFonts w:hint="eastAsia" w:ascii="宋体" w:hAnsi="宋体"/>
                <w:color w:val="auto"/>
                <w:szCs w:val="21"/>
                <w:highlight w:val="none"/>
                <w:lang w:eastAsia="zh-CN"/>
              </w:rPr>
              <w:t>竞选文件</w:t>
            </w:r>
            <w:r>
              <w:rPr>
                <w:rFonts w:hint="eastAsia" w:ascii="宋体" w:hAnsi="宋体"/>
                <w:color w:val="auto"/>
                <w:szCs w:val="21"/>
                <w:highlight w:val="none"/>
              </w:rPr>
              <w:t>应尽量避免涂改、行间插字或删除。如果出现上述情况，改动之处应加盖单位法人章或由</w:t>
            </w:r>
            <w:r>
              <w:rPr>
                <w:rFonts w:hint="eastAsia" w:ascii="宋体" w:hAnsi="宋体"/>
                <w:color w:val="auto"/>
                <w:szCs w:val="21"/>
                <w:highlight w:val="none"/>
                <w:lang w:eastAsia="zh-CN"/>
              </w:rPr>
              <w:t>竞选人</w:t>
            </w:r>
            <w:r>
              <w:rPr>
                <w:rFonts w:hint="eastAsia" w:ascii="宋体" w:hAnsi="宋体"/>
                <w:color w:val="auto"/>
                <w:szCs w:val="21"/>
                <w:highlight w:val="none"/>
              </w:rPr>
              <w:t>的法定代表人或其授权的代理人签名确认。</w:t>
            </w:r>
          </w:p>
          <w:p>
            <w:pPr>
              <w:snapToGrid w:val="0"/>
              <w:spacing w:line="400" w:lineRule="exact"/>
              <w:ind w:firstLine="420" w:firstLineChars="200"/>
              <w:rPr>
                <w:rFonts w:ascii="宋体" w:hAnsi="宋体"/>
                <w:i/>
                <w:color w:val="auto"/>
                <w:szCs w:val="21"/>
                <w:highlight w:val="none"/>
              </w:rPr>
            </w:pPr>
            <w:r>
              <w:rPr>
                <w:rFonts w:hint="eastAsia" w:ascii="宋体" w:hAnsi="宋体"/>
                <w:color w:val="auto"/>
                <w:szCs w:val="21"/>
                <w:highlight w:val="none"/>
              </w:rPr>
              <w:t>未按上述规定执行的，交由评标委员会作否决投标处理。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3.7.4</w:t>
            </w:r>
          </w:p>
        </w:tc>
        <w:tc>
          <w:tcPr>
            <w:tcW w:w="1644" w:type="dxa"/>
            <w:vAlign w:val="center"/>
          </w:tcPr>
          <w:p>
            <w:pPr>
              <w:snapToGrid w:val="0"/>
              <w:spacing w:line="400" w:lineRule="exact"/>
              <w:rPr>
                <w:rFonts w:ascii="宋体" w:hAnsi="宋体"/>
                <w:color w:val="auto"/>
                <w:spacing w:val="-6"/>
                <w:kern w:val="0"/>
                <w:szCs w:val="21"/>
                <w:highlight w:val="none"/>
              </w:rPr>
            </w:pPr>
            <w:r>
              <w:rPr>
                <w:rFonts w:hint="eastAsia" w:ascii="宋体" w:hAnsi="宋体"/>
                <w:color w:val="auto"/>
                <w:spacing w:val="-6"/>
                <w:kern w:val="0"/>
                <w:szCs w:val="21"/>
                <w:highlight w:val="none"/>
                <w:lang w:eastAsia="zh-CN"/>
              </w:rPr>
              <w:t>竞选文件</w:t>
            </w:r>
            <w:r>
              <w:rPr>
                <w:rFonts w:ascii="宋体" w:hAnsi="宋体"/>
                <w:color w:val="auto"/>
                <w:spacing w:val="-6"/>
                <w:kern w:val="0"/>
                <w:szCs w:val="21"/>
                <w:highlight w:val="none"/>
              </w:rPr>
              <w:t>的份数</w:t>
            </w:r>
          </w:p>
        </w:tc>
        <w:tc>
          <w:tcPr>
            <w:tcW w:w="6490" w:type="dxa"/>
            <w:vAlign w:val="center"/>
          </w:tcPr>
          <w:p>
            <w:pPr>
              <w:autoSpaceDE w:val="0"/>
              <w:autoSpaceDN w:val="0"/>
              <w:adjustRightInd w:val="0"/>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lang w:eastAsia="zh-CN"/>
              </w:rPr>
              <w:t>竞选文件</w:t>
            </w:r>
            <w:r>
              <w:rPr>
                <w:rFonts w:ascii="宋体" w:hAnsi="宋体"/>
                <w:color w:val="auto"/>
                <w:kern w:val="0"/>
                <w:szCs w:val="21"/>
                <w:highlight w:val="none"/>
              </w:rPr>
              <w:t>正本</w:t>
            </w:r>
            <w:r>
              <w:rPr>
                <w:rFonts w:hint="eastAsia" w:ascii="宋体" w:hAnsi="宋体"/>
                <w:color w:val="auto"/>
                <w:kern w:val="0"/>
                <w:szCs w:val="21"/>
                <w:highlight w:val="none"/>
              </w:rPr>
              <w:t>1份、副本2份，电子版形式（光盘</w:t>
            </w:r>
            <w:r>
              <w:rPr>
                <w:rFonts w:hint="eastAsia" w:ascii="宋体" w:hAnsi="宋体"/>
                <w:color w:val="auto"/>
                <w:kern w:val="0"/>
                <w:szCs w:val="21"/>
                <w:highlight w:val="none"/>
                <w:lang w:val="en-US" w:eastAsia="zh-CN"/>
              </w:rPr>
              <w:t>或U盘</w:t>
            </w:r>
            <w:r>
              <w:rPr>
                <w:rFonts w:hint="eastAsia" w:ascii="宋体" w:hAnsi="宋体"/>
                <w:color w:val="auto"/>
                <w:kern w:val="0"/>
                <w:szCs w:val="21"/>
                <w:highlight w:val="none"/>
              </w:rPr>
              <w:t>）1份，</w:t>
            </w:r>
            <w:r>
              <w:rPr>
                <w:rFonts w:ascii="宋体" w:hAnsi="宋体"/>
                <w:snapToGrid w:val="0"/>
                <w:color w:val="auto"/>
                <w:kern w:val="0"/>
                <w:szCs w:val="21"/>
                <w:highlight w:val="none"/>
              </w:rPr>
              <w:t>《</w:t>
            </w:r>
            <w:r>
              <w:rPr>
                <w:rFonts w:hint="eastAsia" w:ascii="宋体" w:hAnsi="宋体"/>
                <w:snapToGrid w:val="0"/>
                <w:color w:val="auto"/>
                <w:kern w:val="0"/>
                <w:szCs w:val="21"/>
                <w:highlight w:val="none"/>
              </w:rPr>
              <w:t>技术方案</w:t>
            </w:r>
            <w:r>
              <w:rPr>
                <w:rFonts w:ascii="宋体" w:hAnsi="宋体"/>
                <w:snapToGrid w:val="0"/>
                <w:color w:val="auto"/>
                <w:kern w:val="0"/>
                <w:szCs w:val="21"/>
                <w:highlight w:val="none"/>
              </w:rPr>
              <w:t>》不分正副本</w:t>
            </w:r>
            <w:r>
              <w:rPr>
                <w:rFonts w:hint="eastAsia" w:ascii="宋体" w:hAnsi="宋体"/>
                <w:color w:val="auto"/>
                <w:kern w:val="0"/>
                <w:szCs w:val="21"/>
                <w:highlight w:val="none"/>
              </w:rPr>
              <w:t>。当副本和正本不一致时，以正本为准。否则由评标委员会作否决投标处理。</w:t>
            </w:r>
          </w:p>
          <w:p>
            <w:pPr>
              <w:autoSpaceDE w:val="0"/>
              <w:autoSpaceDN w:val="0"/>
              <w:adjustRightInd w:val="0"/>
              <w:snapToGrid w:val="0"/>
              <w:spacing w:line="400" w:lineRule="exact"/>
              <w:ind w:firstLine="422" w:firstLineChars="200"/>
              <w:rPr>
                <w:rFonts w:ascii="宋体" w:hAnsi="宋体"/>
                <w:b/>
                <w:bCs/>
                <w:color w:val="auto"/>
                <w:kern w:val="0"/>
                <w:szCs w:val="21"/>
                <w:highlight w:val="none"/>
              </w:rPr>
            </w:pPr>
            <w:r>
              <w:rPr>
                <w:rFonts w:hint="eastAsia" w:ascii="宋体" w:hAnsi="宋体"/>
                <w:b/>
                <w:bCs/>
                <w:color w:val="auto"/>
                <w:kern w:val="0"/>
                <w:szCs w:val="21"/>
                <w:highlight w:val="none"/>
              </w:rPr>
              <w:t>电子版形式（光盘）中的经济部分：应包含经济部分全部excel格式预算表格，工程量清单综合单价分析表无须装订入</w:t>
            </w:r>
            <w:r>
              <w:rPr>
                <w:rFonts w:hint="eastAsia" w:ascii="宋体" w:hAnsi="宋体"/>
                <w:b/>
                <w:bCs/>
                <w:color w:val="auto"/>
                <w:kern w:val="0"/>
                <w:szCs w:val="21"/>
                <w:highlight w:val="none"/>
                <w:lang w:eastAsia="zh-CN"/>
              </w:rPr>
              <w:t>竞选文件</w:t>
            </w:r>
            <w:r>
              <w:rPr>
                <w:rFonts w:hint="eastAsia" w:ascii="宋体" w:hAnsi="宋体"/>
                <w:b/>
                <w:bCs/>
                <w:color w:val="auto"/>
                <w:kern w:val="0"/>
                <w:szCs w:val="21"/>
                <w:highlight w:val="none"/>
              </w:rPr>
              <w:t>纸质版中，但清单项目的综合单价分析表（excel格式）必须刻入光盘中。</w:t>
            </w:r>
          </w:p>
          <w:p>
            <w:pPr>
              <w:autoSpaceDE w:val="0"/>
              <w:autoSpaceDN w:val="0"/>
              <w:adjustRightInd w:val="0"/>
              <w:snapToGrid w:val="0"/>
              <w:spacing w:line="400" w:lineRule="exact"/>
              <w:ind w:firstLine="422" w:firstLineChars="200"/>
              <w:rPr>
                <w:rFonts w:ascii="宋体" w:hAnsi="宋体"/>
                <w:color w:val="auto"/>
                <w:kern w:val="0"/>
                <w:szCs w:val="21"/>
                <w:highlight w:val="none"/>
              </w:rPr>
            </w:pPr>
            <w:r>
              <w:rPr>
                <w:rFonts w:hint="eastAsia" w:ascii="宋体" w:hAnsi="宋体"/>
                <w:b/>
                <w:bCs/>
                <w:color w:val="auto"/>
                <w:kern w:val="0"/>
                <w:szCs w:val="21"/>
                <w:highlight w:val="none"/>
              </w:rPr>
              <w:t>注：在核发中标通知书时，中标人应另外补充一式</w:t>
            </w:r>
            <w:r>
              <w:rPr>
                <w:rFonts w:hint="eastAsia" w:ascii="宋体" w:hAnsi="宋体"/>
                <w:b/>
                <w:bCs/>
                <w:color w:val="auto"/>
                <w:kern w:val="0"/>
                <w:szCs w:val="21"/>
                <w:highlight w:val="none"/>
                <w:u w:val="single"/>
              </w:rPr>
              <w:t xml:space="preserve"> 6 </w:t>
            </w:r>
            <w:r>
              <w:rPr>
                <w:rFonts w:hint="eastAsia" w:ascii="宋体" w:hAnsi="宋体"/>
                <w:b/>
                <w:bCs/>
                <w:color w:val="auto"/>
                <w:kern w:val="0"/>
                <w:szCs w:val="21"/>
                <w:highlight w:val="none"/>
              </w:rPr>
              <w:t>份</w:t>
            </w:r>
            <w:r>
              <w:rPr>
                <w:rFonts w:hint="eastAsia" w:ascii="宋体" w:hAnsi="宋体"/>
                <w:b/>
                <w:bCs/>
                <w:color w:val="auto"/>
                <w:kern w:val="0"/>
                <w:szCs w:val="21"/>
                <w:highlight w:val="none"/>
                <w:lang w:eastAsia="zh-CN"/>
              </w:rPr>
              <w:t>竞选文件</w:t>
            </w:r>
            <w:r>
              <w:rPr>
                <w:rFonts w:hint="eastAsia" w:ascii="宋体" w:hAnsi="宋体"/>
                <w:b/>
                <w:bCs/>
                <w:color w:val="auto"/>
                <w:kern w:val="0"/>
                <w:szCs w:val="21"/>
                <w:highlight w:val="none"/>
              </w:rPr>
              <w:t>（除需增加的工程量清单综合单价分析表外，其他内容必须与投标时提交的</w:t>
            </w:r>
            <w:r>
              <w:rPr>
                <w:rFonts w:hint="eastAsia" w:ascii="宋体" w:hAnsi="宋体"/>
                <w:b/>
                <w:bCs/>
                <w:color w:val="auto"/>
                <w:kern w:val="0"/>
                <w:szCs w:val="21"/>
                <w:highlight w:val="none"/>
                <w:lang w:eastAsia="zh-CN"/>
              </w:rPr>
              <w:t>竞选文件</w:t>
            </w:r>
            <w:r>
              <w:rPr>
                <w:rFonts w:hint="eastAsia" w:ascii="宋体" w:hAnsi="宋体"/>
                <w:b/>
                <w:bCs/>
                <w:color w:val="auto"/>
                <w:kern w:val="0"/>
                <w:szCs w:val="21"/>
                <w:highlight w:val="none"/>
              </w:rPr>
              <w:t>相一致）。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3.7.5</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装订要求</w:t>
            </w:r>
          </w:p>
        </w:tc>
        <w:tc>
          <w:tcPr>
            <w:tcW w:w="6490" w:type="dxa"/>
            <w:vAlign w:val="center"/>
          </w:tcPr>
          <w:p>
            <w:pPr>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1、本工程技术部分采用暗标评审，应将</w:t>
            </w:r>
            <w:r>
              <w:rPr>
                <w:rFonts w:hint="eastAsia" w:ascii="宋体" w:hAnsi="宋体"/>
                <w:color w:val="auto"/>
                <w:szCs w:val="21"/>
                <w:highlight w:val="none"/>
                <w:lang w:eastAsia="zh-CN"/>
              </w:rPr>
              <w:t>竞选函</w:t>
            </w:r>
            <w:r>
              <w:rPr>
                <w:rFonts w:ascii="宋体" w:hAnsi="宋体"/>
                <w:color w:val="auto"/>
                <w:szCs w:val="21"/>
                <w:highlight w:val="none"/>
              </w:rPr>
              <w:t>部分、</w:t>
            </w:r>
            <w:r>
              <w:rPr>
                <w:rFonts w:hint="eastAsia" w:ascii="宋体" w:hAnsi="宋体"/>
                <w:color w:val="auto"/>
                <w:szCs w:val="21"/>
                <w:highlight w:val="none"/>
              </w:rPr>
              <w:t>经济</w:t>
            </w:r>
            <w:r>
              <w:rPr>
                <w:rFonts w:ascii="宋体" w:hAnsi="宋体"/>
                <w:color w:val="auto"/>
                <w:szCs w:val="21"/>
                <w:highlight w:val="none"/>
              </w:rPr>
              <w:t>部分、技术部分、</w:t>
            </w:r>
            <w:r>
              <w:rPr>
                <w:rFonts w:hint="eastAsia" w:ascii="宋体" w:hAnsi="宋体"/>
                <w:color w:val="auto"/>
                <w:kern w:val="0"/>
                <w:szCs w:val="21"/>
                <w:highlight w:val="none"/>
              </w:rPr>
              <w:t>资格审查部分</w:t>
            </w:r>
            <w:r>
              <w:rPr>
                <w:rFonts w:ascii="宋体" w:hAnsi="宋体"/>
                <w:color w:val="auto"/>
                <w:szCs w:val="21"/>
                <w:highlight w:val="none"/>
              </w:rPr>
              <w:t>各自分别装订成册</w:t>
            </w:r>
            <w:r>
              <w:rPr>
                <w:rFonts w:hint="eastAsia" w:ascii="宋体" w:hAnsi="宋体"/>
                <w:color w:val="auto"/>
                <w:szCs w:val="21"/>
                <w:highlight w:val="none"/>
              </w:rPr>
              <w:t>，投标保函部分（如有）无需装订</w:t>
            </w:r>
            <w:r>
              <w:rPr>
                <w:rFonts w:ascii="宋体" w:hAnsi="宋体"/>
                <w:color w:val="auto"/>
                <w:szCs w:val="21"/>
                <w:highlight w:val="none"/>
              </w:rPr>
              <w:t>。</w:t>
            </w:r>
          </w:p>
          <w:p>
            <w:pPr>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2、装订</w:t>
            </w:r>
          </w:p>
          <w:p>
            <w:pPr>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1</w:t>
            </w:r>
            <w:r>
              <w:rPr>
                <w:rFonts w:ascii="宋体" w:hAnsi="宋体"/>
                <w:color w:val="auto"/>
                <w:szCs w:val="21"/>
                <w:highlight w:val="none"/>
              </w:rPr>
              <w:t>）</w:t>
            </w:r>
            <w:r>
              <w:rPr>
                <w:rFonts w:hint="eastAsia" w:ascii="宋体" w:hAnsi="宋体"/>
                <w:color w:val="auto"/>
                <w:szCs w:val="21"/>
                <w:highlight w:val="none"/>
                <w:lang w:eastAsia="zh-CN"/>
              </w:rPr>
              <w:t>竞选函</w:t>
            </w:r>
            <w:r>
              <w:rPr>
                <w:rFonts w:ascii="宋体" w:hAnsi="宋体"/>
                <w:color w:val="auto"/>
                <w:szCs w:val="21"/>
                <w:highlight w:val="none"/>
              </w:rPr>
              <w:t>部分的装订要求</w:t>
            </w:r>
          </w:p>
          <w:p>
            <w:pPr>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应按照第八章规定格式装订成册，</w:t>
            </w:r>
            <w:r>
              <w:rPr>
                <w:rFonts w:hint="eastAsia" w:ascii="宋体" w:hAnsi="宋体" w:eastAsia="宋体" w:cs="宋体"/>
                <w:color w:val="auto"/>
                <w:szCs w:val="21"/>
                <w:highlight w:val="none"/>
                <w:lang w:val="en-US" w:eastAsia="zh-CN"/>
              </w:rPr>
              <w:t>原则上</w:t>
            </w:r>
            <w:r>
              <w:rPr>
                <w:rFonts w:ascii="宋体" w:hAnsi="宋体"/>
                <w:color w:val="auto"/>
                <w:szCs w:val="21"/>
                <w:highlight w:val="none"/>
              </w:rPr>
              <w:t>应编制目录</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但不得将目录编制作为评审因素</w:t>
            </w:r>
            <w:r>
              <w:rPr>
                <w:rFonts w:hint="eastAsia" w:ascii="宋体" w:hAnsi="宋体"/>
                <w:color w:val="auto"/>
                <w:szCs w:val="21"/>
                <w:highlight w:val="none"/>
                <w:lang w:eastAsia="zh-CN"/>
              </w:rPr>
              <w:t>）</w:t>
            </w:r>
            <w:r>
              <w:rPr>
                <w:rFonts w:ascii="宋体" w:hAnsi="宋体"/>
                <w:color w:val="auto"/>
                <w:szCs w:val="21"/>
                <w:highlight w:val="none"/>
              </w:rPr>
              <w:t>，标注页码。</w:t>
            </w:r>
          </w:p>
          <w:p>
            <w:pPr>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2</w:t>
            </w:r>
            <w:r>
              <w:rPr>
                <w:rFonts w:ascii="宋体" w:hAnsi="宋体"/>
                <w:color w:val="auto"/>
                <w:szCs w:val="21"/>
                <w:highlight w:val="none"/>
              </w:rPr>
              <w:t>）</w:t>
            </w:r>
            <w:r>
              <w:rPr>
                <w:rFonts w:hint="eastAsia" w:ascii="宋体" w:hAnsi="宋体"/>
                <w:color w:val="auto"/>
                <w:szCs w:val="21"/>
                <w:highlight w:val="none"/>
              </w:rPr>
              <w:t>经济</w:t>
            </w:r>
            <w:r>
              <w:rPr>
                <w:rFonts w:ascii="宋体" w:hAnsi="宋体"/>
                <w:color w:val="auto"/>
                <w:szCs w:val="21"/>
                <w:highlight w:val="none"/>
              </w:rPr>
              <w:t>部分的装订要求</w:t>
            </w:r>
          </w:p>
          <w:p>
            <w:pPr>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应按照第八章规定格式装订成册，</w:t>
            </w:r>
            <w:r>
              <w:rPr>
                <w:rFonts w:hint="eastAsia" w:ascii="宋体" w:hAnsi="宋体" w:eastAsia="宋体" w:cs="宋体"/>
                <w:color w:val="auto"/>
                <w:szCs w:val="21"/>
                <w:highlight w:val="none"/>
                <w:lang w:val="en-US" w:eastAsia="zh-CN"/>
              </w:rPr>
              <w:t>原则上</w:t>
            </w:r>
            <w:r>
              <w:rPr>
                <w:rFonts w:ascii="宋体" w:hAnsi="宋体"/>
                <w:color w:val="auto"/>
                <w:szCs w:val="21"/>
                <w:highlight w:val="none"/>
              </w:rPr>
              <w:t>应编制目录</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但不得将目录编制作为评审因素</w:t>
            </w:r>
            <w:r>
              <w:rPr>
                <w:rFonts w:hint="eastAsia" w:ascii="宋体" w:hAnsi="宋体"/>
                <w:color w:val="auto"/>
                <w:szCs w:val="21"/>
                <w:highlight w:val="none"/>
                <w:lang w:eastAsia="zh-CN"/>
              </w:rPr>
              <w:t>）</w:t>
            </w:r>
            <w:r>
              <w:rPr>
                <w:rFonts w:hint="eastAsia" w:ascii="宋体" w:hAnsi="宋体"/>
                <w:color w:val="auto"/>
                <w:szCs w:val="21"/>
                <w:highlight w:val="none"/>
              </w:rPr>
              <w:t>，标注页码。</w:t>
            </w:r>
          </w:p>
          <w:p>
            <w:pPr>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3</w:t>
            </w:r>
            <w:r>
              <w:rPr>
                <w:rFonts w:ascii="宋体" w:hAnsi="宋体"/>
                <w:color w:val="auto"/>
                <w:szCs w:val="21"/>
                <w:highlight w:val="none"/>
              </w:rPr>
              <w:t>）技术部分</w:t>
            </w:r>
            <w:r>
              <w:rPr>
                <w:rFonts w:hint="eastAsia" w:ascii="宋体" w:hAnsi="宋体"/>
                <w:color w:val="auto"/>
                <w:szCs w:val="21"/>
                <w:highlight w:val="none"/>
              </w:rPr>
              <w:t>（如有）</w:t>
            </w:r>
            <w:r>
              <w:rPr>
                <w:rFonts w:ascii="宋体" w:hAnsi="宋体"/>
                <w:color w:val="auto"/>
                <w:szCs w:val="21"/>
                <w:highlight w:val="none"/>
              </w:rPr>
              <w:t>的装订要求</w:t>
            </w:r>
          </w:p>
          <w:p>
            <w:pPr>
              <w:autoSpaceDE w:val="0"/>
              <w:autoSpaceDN w:val="0"/>
              <w:adjustRightInd w:val="0"/>
              <w:snapToGrid w:val="0"/>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w:t>
            </w:r>
            <w:r>
              <w:rPr>
                <w:rFonts w:hint="eastAsia" w:ascii="宋体" w:hAnsi="宋体"/>
                <w:color w:val="auto"/>
                <w:kern w:val="0"/>
                <w:szCs w:val="21"/>
                <w:highlight w:val="none"/>
              </w:rPr>
              <w:t>技术方案</w:t>
            </w:r>
            <w:r>
              <w:rPr>
                <w:rFonts w:ascii="宋体" w:hAnsi="宋体"/>
                <w:color w:val="auto"/>
                <w:kern w:val="0"/>
                <w:szCs w:val="21"/>
                <w:highlight w:val="none"/>
              </w:rPr>
              <w:t>》面页</w:t>
            </w:r>
            <w:r>
              <w:rPr>
                <w:rFonts w:hint="eastAsia" w:ascii="宋体" w:hAnsi="宋体"/>
                <w:color w:val="auto"/>
                <w:kern w:val="0"/>
                <w:szCs w:val="21"/>
                <w:highlight w:val="none"/>
                <w:lang w:eastAsia="zh-CN"/>
              </w:rPr>
              <w:t>、封底</w:t>
            </w:r>
            <w:r>
              <w:rPr>
                <w:rFonts w:ascii="宋体" w:hAnsi="宋体"/>
                <w:color w:val="auto"/>
                <w:kern w:val="0"/>
                <w:szCs w:val="21"/>
                <w:highlight w:val="none"/>
              </w:rPr>
              <w:t>使用A4厚型白纸，面页用初号仿宋字体居中标明 “</w:t>
            </w:r>
            <w:r>
              <w:rPr>
                <w:rFonts w:hint="eastAsia" w:ascii="宋体" w:hAnsi="宋体"/>
                <w:color w:val="auto"/>
                <w:kern w:val="0"/>
                <w:szCs w:val="21"/>
                <w:highlight w:val="none"/>
              </w:rPr>
              <w:t>技术方案</w:t>
            </w:r>
            <w:r>
              <w:rPr>
                <w:rFonts w:ascii="宋体" w:hAnsi="宋体"/>
                <w:color w:val="auto"/>
                <w:kern w:val="0"/>
                <w:szCs w:val="21"/>
                <w:highlight w:val="none"/>
              </w:rPr>
              <w:t>”；在页面右下角加盖投标单位章后沿密封线折叠成腰约10cm左右的等腰直角三角形密封；面页除了“</w:t>
            </w:r>
            <w:r>
              <w:rPr>
                <w:rFonts w:hint="eastAsia" w:ascii="宋体" w:hAnsi="宋体"/>
                <w:color w:val="auto"/>
                <w:kern w:val="0"/>
                <w:szCs w:val="21"/>
                <w:highlight w:val="none"/>
              </w:rPr>
              <w:t>技术方案</w:t>
            </w:r>
            <w:r>
              <w:rPr>
                <w:rFonts w:ascii="宋体" w:hAnsi="宋体"/>
                <w:color w:val="auto"/>
                <w:kern w:val="0"/>
                <w:szCs w:val="21"/>
                <w:highlight w:val="none"/>
              </w:rPr>
              <w:t>”</w:t>
            </w:r>
            <w:r>
              <w:rPr>
                <w:rFonts w:hint="eastAsia" w:ascii="宋体" w:hAnsi="宋体"/>
                <w:color w:val="auto"/>
                <w:kern w:val="0"/>
                <w:szCs w:val="21"/>
                <w:highlight w:val="none"/>
              </w:rPr>
              <w:t>四</w:t>
            </w:r>
            <w:r>
              <w:rPr>
                <w:rFonts w:ascii="宋体" w:hAnsi="宋体"/>
                <w:color w:val="auto"/>
                <w:kern w:val="0"/>
                <w:szCs w:val="21"/>
                <w:highlight w:val="none"/>
              </w:rPr>
              <w:t>字和右下角密封处印章外不得有其他印记；密封后的面页及整个《</w:t>
            </w:r>
            <w:r>
              <w:rPr>
                <w:rFonts w:hint="eastAsia" w:ascii="宋体" w:hAnsi="宋体"/>
                <w:color w:val="auto"/>
                <w:kern w:val="0"/>
                <w:szCs w:val="21"/>
                <w:highlight w:val="none"/>
              </w:rPr>
              <w:t>技术方案</w:t>
            </w:r>
            <w:r>
              <w:rPr>
                <w:rFonts w:ascii="宋体" w:hAnsi="宋体"/>
                <w:color w:val="auto"/>
                <w:kern w:val="0"/>
                <w:szCs w:val="21"/>
                <w:highlight w:val="none"/>
              </w:rPr>
              <w:t>》均不得</w:t>
            </w:r>
            <w:r>
              <w:rPr>
                <w:rFonts w:ascii="宋体" w:hAnsi="宋体"/>
                <w:color w:val="auto"/>
                <w:szCs w:val="21"/>
                <w:highlight w:val="none"/>
              </w:rPr>
              <w:t>出现白页、残页和倒页，不得</w:t>
            </w:r>
            <w:r>
              <w:rPr>
                <w:rFonts w:ascii="宋体" w:hAnsi="宋体"/>
                <w:color w:val="auto"/>
                <w:kern w:val="0"/>
                <w:szCs w:val="21"/>
                <w:highlight w:val="none"/>
              </w:rPr>
              <w:t>显示与</w:t>
            </w:r>
            <w:r>
              <w:rPr>
                <w:rFonts w:hint="eastAsia" w:ascii="宋体" w:hAnsi="宋体"/>
                <w:color w:val="auto"/>
                <w:kern w:val="0"/>
                <w:szCs w:val="21"/>
                <w:highlight w:val="none"/>
                <w:lang w:eastAsia="zh-CN"/>
              </w:rPr>
              <w:t>竞选人</w:t>
            </w:r>
            <w:r>
              <w:rPr>
                <w:rFonts w:ascii="宋体" w:hAnsi="宋体"/>
                <w:color w:val="auto"/>
                <w:kern w:val="0"/>
                <w:szCs w:val="21"/>
                <w:highlight w:val="none"/>
              </w:rPr>
              <w:t>企业有关的任何信息</w:t>
            </w:r>
            <w:r>
              <w:rPr>
                <w:rFonts w:hint="eastAsia" w:ascii="宋体" w:hAnsi="宋体"/>
                <w:color w:val="auto"/>
                <w:kern w:val="0"/>
                <w:szCs w:val="21"/>
                <w:highlight w:val="none"/>
              </w:rPr>
              <w:t>及与本工程无关内容</w:t>
            </w:r>
            <w:r>
              <w:rPr>
                <w:rFonts w:ascii="宋体" w:hAnsi="宋体"/>
                <w:color w:val="auto"/>
                <w:kern w:val="0"/>
                <w:szCs w:val="21"/>
                <w:highlight w:val="none"/>
              </w:rPr>
              <w:t>（面页由</w:t>
            </w:r>
            <w:r>
              <w:rPr>
                <w:rFonts w:hint="eastAsia" w:ascii="宋体" w:hAnsi="宋体"/>
                <w:color w:val="auto"/>
                <w:kern w:val="0"/>
                <w:szCs w:val="21"/>
                <w:highlight w:val="none"/>
                <w:lang w:eastAsia="zh-CN"/>
              </w:rPr>
              <w:t>竞选人</w:t>
            </w:r>
            <w:r>
              <w:rPr>
                <w:rFonts w:ascii="宋体" w:hAnsi="宋体"/>
                <w:color w:val="auto"/>
                <w:kern w:val="0"/>
                <w:szCs w:val="21"/>
                <w:highlight w:val="none"/>
              </w:rPr>
              <w:t>按招标文件中提供的电子文档格式用A4厚型白纸打印，加盖</w:t>
            </w:r>
            <w:r>
              <w:rPr>
                <w:rFonts w:hint="eastAsia" w:ascii="宋体" w:hAnsi="宋体"/>
                <w:color w:val="auto"/>
                <w:kern w:val="0"/>
                <w:szCs w:val="21"/>
                <w:highlight w:val="none"/>
              </w:rPr>
              <w:t>单位法人章</w:t>
            </w:r>
            <w:r>
              <w:rPr>
                <w:rFonts w:ascii="宋体" w:hAnsi="宋体"/>
                <w:color w:val="auto"/>
                <w:kern w:val="0"/>
                <w:szCs w:val="21"/>
                <w:highlight w:val="none"/>
              </w:rPr>
              <w:t>后其面页的反面以不得显示出</w:t>
            </w:r>
            <w:r>
              <w:rPr>
                <w:rFonts w:hint="eastAsia" w:ascii="宋体" w:hAnsi="宋体"/>
                <w:color w:val="auto"/>
                <w:kern w:val="0"/>
                <w:szCs w:val="21"/>
                <w:highlight w:val="none"/>
              </w:rPr>
              <w:t>单位</w:t>
            </w:r>
            <w:r>
              <w:rPr>
                <w:rFonts w:ascii="宋体" w:hAnsi="宋体"/>
                <w:color w:val="auto"/>
                <w:kern w:val="0"/>
                <w:szCs w:val="21"/>
                <w:highlight w:val="none"/>
              </w:rPr>
              <w:t>法人章单位名称为准）；</w:t>
            </w:r>
            <w:r>
              <w:rPr>
                <w:rFonts w:hint="eastAsia" w:ascii="宋体" w:hAnsi="宋体"/>
                <w:color w:val="auto"/>
                <w:kern w:val="0"/>
                <w:szCs w:val="21"/>
                <w:highlight w:val="none"/>
              </w:rPr>
              <w:t>《技术方案》文本部分的纸张采用A4白纸，文本部分的文字采用四号仿宋字体；图表部分的纸张采用A4或A3白纸，图表内的字体、字号大小不限；文字、图表不得使用彩色和不得编制页码</w:t>
            </w:r>
            <w:r>
              <w:rPr>
                <w:rFonts w:hint="eastAsia" w:ascii="宋体" w:hAnsi="宋体"/>
                <w:color w:val="auto"/>
                <w:kern w:val="0"/>
                <w:szCs w:val="21"/>
                <w:highlight w:val="none"/>
                <w:lang w:eastAsia="zh-CN"/>
              </w:rPr>
              <w:t>；装订统一采用白色线装</w:t>
            </w:r>
            <w:r>
              <w:rPr>
                <w:rFonts w:hint="eastAsia" w:ascii="宋体" w:hAnsi="宋体"/>
                <w:color w:val="auto"/>
                <w:kern w:val="0"/>
                <w:szCs w:val="21"/>
                <w:highlight w:val="none"/>
              </w:rPr>
              <w:t>。</w:t>
            </w:r>
            <w:r>
              <w:rPr>
                <w:rFonts w:ascii="宋体" w:hAnsi="宋体"/>
                <w:color w:val="auto"/>
                <w:kern w:val="0"/>
                <w:szCs w:val="21"/>
                <w:highlight w:val="none"/>
              </w:rPr>
              <w:t>违反上述任何一项，</w:t>
            </w:r>
            <w:r>
              <w:rPr>
                <w:rFonts w:hint="eastAsia" w:ascii="宋体" w:hAnsi="宋体"/>
                <w:color w:val="auto"/>
                <w:kern w:val="0"/>
                <w:szCs w:val="21"/>
                <w:highlight w:val="none"/>
              </w:rPr>
              <w:t>采用经评审的最低投标价法的</w:t>
            </w:r>
            <w:r>
              <w:rPr>
                <w:rFonts w:ascii="宋体" w:hAnsi="宋体"/>
                <w:color w:val="auto"/>
                <w:kern w:val="0"/>
                <w:szCs w:val="21"/>
                <w:highlight w:val="none"/>
              </w:rPr>
              <w:t>其</w:t>
            </w:r>
            <w:r>
              <w:rPr>
                <w:rFonts w:hint="eastAsia" w:ascii="宋体" w:hAnsi="宋体"/>
                <w:color w:val="auto"/>
                <w:kern w:val="0"/>
                <w:szCs w:val="21"/>
                <w:highlight w:val="none"/>
                <w:lang w:eastAsia="zh-CN"/>
              </w:rPr>
              <w:t>竞选文件</w:t>
            </w:r>
            <w:r>
              <w:rPr>
                <w:rFonts w:ascii="宋体" w:hAnsi="宋体"/>
                <w:color w:val="auto"/>
                <w:kern w:val="0"/>
                <w:szCs w:val="21"/>
                <w:highlight w:val="none"/>
              </w:rPr>
              <w:t>《</w:t>
            </w:r>
            <w:r>
              <w:rPr>
                <w:rFonts w:hint="eastAsia" w:ascii="宋体" w:hAnsi="宋体"/>
                <w:color w:val="auto"/>
                <w:kern w:val="0"/>
                <w:szCs w:val="21"/>
                <w:highlight w:val="none"/>
              </w:rPr>
              <w:t>技术方案</w:t>
            </w:r>
            <w:r>
              <w:rPr>
                <w:rFonts w:ascii="宋体" w:hAnsi="宋体"/>
                <w:color w:val="auto"/>
                <w:kern w:val="0"/>
                <w:szCs w:val="21"/>
                <w:highlight w:val="none"/>
              </w:rPr>
              <w:t>》</w:t>
            </w:r>
            <w:r>
              <w:rPr>
                <w:rFonts w:hint="eastAsia" w:ascii="宋体" w:hAnsi="宋体"/>
                <w:color w:val="auto"/>
                <w:kern w:val="0"/>
                <w:szCs w:val="21"/>
                <w:highlight w:val="none"/>
              </w:rPr>
              <w:t>符合性</w:t>
            </w:r>
            <w:r>
              <w:rPr>
                <w:rFonts w:ascii="宋体" w:hAnsi="宋体"/>
                <w:color w:val="auto"/>
                <w:kern w:val="0"/>
                <w:szCs w:val="21"/>
                <w:highlight w:val="none"/>
              </w:rPr>
              <w:t>评审不合格</w:t>
            </w:r>
            <w:r>
              <w:rPr>
                <w:rFonts w:hint="eastAsia" w:ascii="宋体" w:hAnsi="宋体"/>
                <w:color w:val="auto"/>
                <w:kern w:val="0"/>
                <w:szCs w:val="21"/>
                <w:highlight w:val="none"/>
              </w:rPr>
              <w:t>；采用综合评估法的其</w:t>
            </w:r>
            <w:r>
              <w:rPr>
                <w:rFonts w:hint="eastAsia" w:ascii="宋体" w:hAnsi="宋体"/>
                <w:color w:val="auto"/>
                <w:kern w:val="0"/>
                <w:szCs w:val="21"/>
                <w:highlight w:val="none"/>
                <w:lang w:eastAsia="zh-CN"/>
              </w:rPr>
              <w:t>竞选文件</w:t>
            </w:r>
            <w:r>
              <w:rPr>
                <w:rFonts w:hint="eastAsia" w:ascii="宋体" w:hAnsi="宋体"/>
                <w:color w:val="auto"/>
                <w:kern w:val="0"/>
                <w:szCs w:val="21"/>
                <w:highlight w:val="none"/>
              </w:rPr>
              <w:t>《技术方案》部分为零分</w:t>
            </w:r>
            <w:r>
              <w:rPr>
                <w:rFonts w:ascii="宋体" w:hAnsi="宋体"/>
                <w:color w:val="auto"/>
                <w:kern w:val="0"/>
                <w:szCs w:val="21"/>
                <w:highlight w:val="none"/>
              </w:rPr>
              <w:t>。</w:t>
            </w:r>
          </w:p>
          <w:p>
            <w:pPr>
              <w:adjustRightInd w:val="0"/>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（技术方案原则上不超过</w:t>
            </w:r>
            <w:r>
              <w:rPr>
                <w:rFonts w:hint="eastAsia" w:ascii="宋体" w:hAnsi="宋体"/>
                <w:color w:val="auto"/>
                <w:kern w:val="0"/>
                <w:szCs w:val="21"/>
                <w:highlight w:val="none"/>
                <w:u w:val="single"/>
              </w:rPr>
              <w:t xml:space="preserve"> </w:t>
            </w:r>
            <w:r>
              <w:rPr>
                <w:rFonts w:hint="eastAsia" w:ascii="宋体" w:hAnsi="宋体"/>
                <w:color w:val="auto"/>
                <w:kern w:val="0"/>
                <w:szCs w:val="21"/>
                <w:highlight w:val="none"/>
                <w:u w:val="single"/>
                <w:lang w:val="en-US" w:eastAsia="zh-CN"/>
              </w:rPr>
              <w:t>200</w:t>
            </w:r>
            <w:r>
              <w:rPr>
                <w:rFonts w:hint="eastAsia" w:ascii="宋体" w:hAnsi="宋体"/>
                <w:color w:val="auto"/>
                <w:kern w:val="0"/>
                <w:szCs w:val="21"/>
                <w:highlight w:val="none"/>
              </w:rPr>
              <w:t>页</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lang w:val="en-US" w:eastAsia="zh-CN"/>
              </w:rPr>
              <w:t>但不得将页数作为评审因素</w:t>
            </w:r>
            <w:r>
              <w:rPr>
                <w:rFonts w:hint="eastAsia" w:ascii="宋体" w:hAnsi="宋体"/>
                <w:color w:val="auto"/>
                <w:kern w:val="0"/>
                <w:szCs w:val="21"/>
                <w:highlight w:val="none"/>
              </w:rPr>
              <w:t>。）</w:t>
            </w:r>
          </w:p>
          <w:p>
            <w:pPr>
              <w:adjustRightInd w:val="0"/>
              <w:snapToGrid w:val="0"/>
              <w:spacing w:line="400" w:lineRule="exact"/>
              <w:ind w:firstLine="420" w:firstLineChars="200"/>
              <w:rPr>
                <w:rFonts w:ascii="宋体" w:hAnsi="宋体"/>
                <w:color w:val="auto"/>
                <w:kern w:val="0"/>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4</w:t>
            </w:r>
            <w:r>
              <w:rPr>
                <w:rFonts w:ascii="宋体" w:hAnsi="宋体"/>
                <w:color w:val="auto"/>
                <w:szCs w:val="21"/>
                <w:highlight w:val="none"/>
              </w:rPr>
              <w:t>）</w:t>
            </w:r>
            <w:r>
              <w:rPr>
                <w:rFonts w:hint="eastAsia" w:ascii="宋体" w:hAnsi="宋体"/>
                <w:color w:val="auto"/>
                <w:kern w:val="0"/>
                <w:szCs w:val="21"/>
                <w:highlight w:val="none"/>
              </w:rPr>
              <w:t>资格审查部分</w:t>
            </w:r>
            <w:r>
              <w:rPr>
                <w:rFonts w:ascii="宋体" w:hAnsi="宋体"/>
                <w:color w:val="auto"/>
                <w:kern w:val="0"/>
                <w:szCs w:val="21"/>
                <w:highlight w:val="none"/>
              </w:rPr>
              <w:t>的装订要求</w:t>
            </w:r>
          </w:p>
          <w:p>
            <w:pPr>
              <w:adjustRightInd w:val="0"/>
              <w:snapToGrid w:val="0"/>
              <w:spacing w:line="400" w:lineRule="exact"/>
              <w:ind w:firstLine="420" w:firstLineChars="200"/>
              <w:rPr>
                <w:rFonts w:hint="eastAsia" w:ascii="宋体" w:hAnsi="宋体"/>
                <w:color w:val="auto"/>
                <w:szCs w:val="21"/>
                <w:highlight w:val="none"/>
              </w:rPr>
            </w:pPr>
            <w:r>
              <w:rPr>
                <w:rFonts w:ascii="宋体" w:hAnsi="宋体"/>
                <w:color w:val="auto"/>
                <w:szCs w:val="21"/>
                <w:highlight w:val="none"/>
              </w:rPr>
              <w:t>应按照第八章规定格式装订成册，</w:t>
            </w:r>
            <w:r>
              <w:rPr>
                <w:rFonts w:hint="eastAsia" w:ascii="宋体" w:hAnsi="宋体" w:eastAsia="宋体" w:cs="宋体"/>
                <w:color w:val="auto"/>
                <w:szCs w:val="21"/>
                <w:highlight w:val="none"/>
                <w:lang w:val="en-US" w:eastAsia="zh-CN"/>
              </w:rPr>
              <w:t>原则上</w:t>
            </w:r>
            <w:r>
              <w:rPr>
                <w:rFonts w:ascii="宋体" w:hAnsi="宋体"/>
                <w:color w:val="auto"/>
                <w:szCs w:val="21"/>
                <w:highlight w:val="none"/>
              </w:rPr>
              <w:t>应编制目录</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但不得将目录编制作为评审因素</w:t>
            </w:r>
            <w:r>
              <w:rPr>
                <w:rFonts w:hint="eastAsia" w:ascii="宋体" w:hAnsi="宋体"/>
                <w:color w:val="auto"/>
                <w:szCs w:val="21"/>
                <w:highlight w:val="none"/>
                <w:lang w:eastAsia="zh-CN"/>
              </w:rPr>
              <w:t>）</w:t>
            </w:r>
            <w:r>
              <w:rPr>
                <w:rFonts w:ascii="宋体" w:hAnsi="宋体"/>
                <w:color w:val="auto"/>
                <w:szCs w:val="21"/>
                <w:highlight w:val="none"/>
              </w:rPr>
              <w:t>，标注页码</w:t>
            </w:r>
            <w:r>
              <w:rPr>
                <w:rFonts w:hint="eastAsia" w:ascii="宋体" w:hAnsi="宋体"/>
                <w:color w:val="auto"/>
                <w:szCs w:val="21"/>
                <w:highlight w:val="none"/>
              </w:rPr>
              <w:t>。</w:t>
            </w:r>
          </w:p>
          <w:p>
            <w:pPr>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5</w:t>
            </w:r>
            <w:r>
              <w:rPr>
                <w:rFonts w:ascii="宋体" w:hAnsi="宋体"/>
                <w:color w:val="auto"/>
                <w:szCs w:val="21"/>
                <w:highlight w:val="none"/>
              </w:rPr>
              <w:t>）投标</w:t>
            </w:r>
            <w:r>
              <w:rPr>
                <w:rFonts w:hint="eastAsia" w:ascii="宋体" w:hAnsi="宋体"/>
                <w:color w:val="auto"/>
                <w:szCs w:val="21"/>
                <w:highlight w:val="none"/>
              </w:rPr>
              <w:t>保函部分（如有）的装订要求</w:t>
            </w:r>
          </w:p>
          <w:p>
            <w:pPr>
              <w:adjustRightInd w:val="0"/>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应按照第八章规定的格式提供，无需装订，不编页码。</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4.1.1</w:t>
            </w:r>
          </w:p>
        </w:tc>
        <w:tc>
          <w:tcPr>
            <w:tcW w:w="1644" w:type="dxa"/>
            <w:vAlign w:val="center"/>
          </w:tcPr>
          <w:p>
            <w:pPr>
              <w:snapToGrid w:val="0"/>
              <w:spacing w:line="400" w:lineRule="exact"/>
              <w:jc w:val="center"/>
              <w:rPr>
                <w:rFonts w:ascii="宋体" w:hAnsi="宋体"/>
                <w:color w:val="auto"/>
                <w:spacing w:val="-6"/>
                <w:kern w:val="0"/>
                <w:szCs w:val="21"/>
                <w:highlight w:val="none"/>
              </w:rPr>
            </w:pPr>
            <w:r>
              <w:rPr>
                <w:rFonts w:hint="eastAsia" w:ascii="宋体" w:hAnsi="宋体"/>
                <w:color w:val="auto"/>
                <w:spacing w:val="-6"/>
                <w:kern w:val="0"/>
                <w:szCs w:val="21"/>
                <w:highlight w:val="none"/>
                <w:lang w:eastAsia="zh-CN"/>
              </w:rPr>
              <w:t>竞选文件</w:t>
            </w:r>
            <w:r>
              <w:rPr>
                <w:rFonts w:ascii="宋体" w:hAnsi="宋体"/>
                <w:color w:val="auto"/>
                <w:spacing w:val="-6"/>
                <w:kern w:val="0"/>
                <w:szCs w:val="21"/>
                <w:highlight w:val="none"/>
              </w:rPr>
              <w:t>的密封</w:t>
            </w:r>
          </w:p>
        </w:tc>
        <w:tc>
          <w:tcPr>
            <w:tcW w:w="6490" w:type="dxa"/>
            <w:vAlign w:val="center"/>
          </w:tcPr>
          <w:p>
            <w:pPr>
              <w:spacing w:line="400" w:lineRule="exact"/>
              <w:ind w:firstLine="420" w:firstLineChars="200"/>
              <w:rPr>
                <w:rFonts w:ascii="宋体" w:hAnsi="宋体"/>
                <w:color w:val="auto"/>
                <w:szCs w:val="21"/>
                <w:highlight w:val="none"/>
              </w:rPr>
            </w:pPr>
            <w:r>
              <w:rPr>
                <w:rFonts w:ascii="宋体" w:hAnsi="宋体"/>
                <w:color w:val="auto"/>
                <w:szCs w:val="21"/>
                <w:highlight w:val="none"/>
              </w:rPr>
              <w:t>1.</w:t>
            </w:r>
            <w:r>
              <w:rPr>
                <w:rFonts w:hint="eastAsia" w:ascii="宋体" w:hAnsi="宋体"/>
                <w:color w:val="auto"/>
                <w:szCs w:val="21"/>
                <w:highlight w:val="none"/>
              </w:rPr>
              <w:t xml:space="preserve"> </w:t>
            </w:r>
            <w:r>
              <w:rPr>
                <w:rFonts w:hint="eastAsia" w:ascii="宋体" w:hAnsi="宋体"/>
                <w:color w:val="auto"/>
                <w:szCs w:val="21"/>
                <w:highlight w:val="none"/>
                <w:lang w:eastAsia="zh-CN"/>
              </w:rPr>
              <w:t>竞选文件</w:t>
            </w:r>
            <w:r>
              <w:rPr>
                <w:rFonts w:ascii="宋体" w:hAnsi="宋体"/>
                <w:color w:val="auto"/>
                <w:szCs w:val="21"/>
                <w:highlight w:val="none"/>
              </w:rPr>
              <w:t>袋使用“投标保函部分”袋</w:t>
            </w:r>
            <w:r>
              <w:rPr>
                <w:rFonts w:hint="eastAsia" w:ascii="宋体" w:hAnsi="宋体"/>
                <w:color w:val="auto"/>
                <w:szCs w:val="21"/>
                <w:highlight w:val="none"/>
              </w:rPr>
              <w:t>（如有）</w:t>
            </w:r>
            <w:r>
              <w:rPr>
                <w:rFonts w:hint="eastAsia" w:ascii="宋体" w:hAnsi="宋体"/>
                <w:color w:val="auto"/>
                <w:szCs w:val="21"/>
                <w:highlight w:val="none"/>
                <w:lang w:eastAsia="zh-CN"/>
              </w:rPr>
              <w:t>、</w:t>
            </w:r>
            <w:r>
              <w:rPr>
                <w:rFonts w:ascii="宋体" w:hAnsi="宋体"/>
                <w:color w:val="auto"/>
                <w:szCs w:val="21"/>
                <w:highlight w:val="none"/>
              </w:rPr>
              <w:t>“</w:t>
            </w:r>
            <w:r>
              <w:rPr>
                <w:rFonts w:hint="eastAsia" w:ascii="宋体" w:hAnsi="宋体"/>
                <w:color w:val="auto"/>
                <w:szCs w:val="21"/>
                <w:highlight w:val="none"/>
                <w:lang w:eastAsia="zh-CN"/>
              </w:rPr>
              <w:t>竞选函</w:t>
            </w:r>
            <w:r>
              <w:rPr>
                <w:rFonts w:ascii="宋体" w:hAnsi="宋体"/>
                <w:color w:val="auto"/>
                <w:szCs w:val="21"/>
                <w:highlight w:val="none"/>
              </w:rPr>
              <w:t>部分”袋、“</w:t>
            </w:r>
            <w:r>
              <w:rPr>
                <w:rFonts w:hint="eastAsia" w:ascii="宋体" w:hAnsi="宋体"/>
                <w:color w:val="auto"/>
                <w:szCs w:val="21"/>
                <w:highlight w:val="none"/>
              </w:rPr>
              <w:t>经济</w:t>
            </w:r>
            <w:r>
              <w:rPr>
                <w:rFonts w:ascii="宋体" w:hAnsi="宋体"/>
                <w:color w:val="auto"/>
                <w:szCs w:val="21"/>
                <w:highlight w:val="none"/>
              </w:rPr>
              <w:t>部分”袋、“技术部分”袋</w:t>
            </w:r>
            <w:r>
              <w:rPr>
                <w:rFonts w:hint="eastAsia" w:ascii="宋体" w:hAnsi="宋体"/>
                <w:color w:val="auto"/>
                <w:szCs w:val="21"/>
                <w:highlight w:val="none"/>
              </w:rPr>
              <w:t>（如有）</w:t>
            </w:r>
            <w:r>
              <w:rPr>
                <w:rFonts w:ascii="宋体" w:hAnsi="宋体"/>
                <w:color w:val="auto"/>
                <w:szCs w:val="21"/>
                <w:highlight w:val="none"/>
              </w:rPr>
              <w:t>、“</w:t>
            </w:r>
            <w:r>
              <w:rPr>
                <w:rFonts w:hint="eastAsia" w:ascii="宋体" w:hAnsi="宋体"/>
                <w:color w:val="auto"/>
                <w:szCs w:val="21"/>
                <w:highlight w:val="none"/>
              </w:rPr>
              <w:t>资格审查部分</w:t>
            </w:r>
            <w:r>
              <w:rPr>
                <w:rFonts w:ascii="宋体" w:hAnsi="宋体"/>
                <w:color w:val="auto"/>
                <w:szCs w:val="21"/>
                <w:highlight w:val="none"/>
              </w:rPr>
              <w:t>”袋以及“</w:t>
            </w:r>
            <w:r>
              <w:rPr>
                <w:rFonts w:hint="eastAsia" w:ascii="宋体" w:hAnsi="宋体"/>
                <w:color w:val="auto"/>
                <w:szCs w:val="21"/>
                <w:highlight w:val="none"/>
                <w:lang w:eastAsia="zh-CN"/>
              </w:rPr>
              <w:t>竞选文件</w:t>
            </w:r>
            <w:r>
              <w:rPr>
                <w:rFonts w:ascii="宋体" w:hAnsi="宋体"/>
                <w:color w:val="auto"/>
                <w:szCs w:val="21"/>
                <w:highlight w:val="none"/>
              </w:rPr>
              <w:t>”大袋。</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lang w:val="en-US" w:eastAsia="zh-CN"/>
              </w:rPr>
              <w:t>2</w:t>
            </w:r>
            <w:r>
              <w:rPr>
                <w:rFonts w:ascii="宋体" w:hAnsi="宋体"/>
                <w:color w:val="auto"/>
                <w:szCs w:val="21"/>
                <w:highlight w:val="none"/>
              </w:rPr>
              <w:t>.</w:t>
            </w:r>
            <w:r>
              <w:rPr>
                <w:rFonts w:hint="eastAsia" w:ascii="宋体" w:hAnsi="宋体"/>
                <w:color w:val="auto"/>
                <w:szCs w:val="21"/>
                <w:highlight w:val="none"/>
              </w:rPr>
              <w:t xml:space="preserve"> </w:t>
            </w:r>
            <w:r>
              <w:rPr>
                <w:rFonts w:hint="eastAsia" w:ascii="宋体" w:hAnsi="宋体"/>
                <w:color w:val="auto"/>
                <w:szCs w:val="21"/>
                <w:highlight w:val="none"/>
                <w:lang w:eastAsia="zh-CN"/>
              </w:rPr>
              <w:t>竞选函</w:t>
            </w:r>
            <w:r>
              <w:rPr>
                <w:rFonts w:ascii="宋体" w:hAnsi="宋体"/>
                <w:color w:val="auto"/>
                <w:szCs w:val="21"/>
                <w:highlight w:val="none"/>
              </w:rPr>
              <w:t>部分</w:t>
            </w:r>
            <w:r>
              <w:rPr>
                <w:rFonts w:hint="eastAsia" w:ascii="宋体" w:hAnsi="宋体"/>
                <w:color w:val="auto"/>
                <w:szCs w:val="21"/>
                <w:highlight w:val="none"/>
              </w:rPr>
              <w:t>和电子版形式</w:t>
            </w:r>
            <w:r>
              <w:rPr>
                <w:rFonts w:hint="eastAsia" w:ascii="宋体" w:hAnsi="宋体"/>
                <w:color w:val="auto"/>
                <w:kern w:val="0"/>
                <w:szCs w:val="21"/>
                <w:highlight w:val="none"/>
              </w:rPr>
              <w:t>（光盘</w:t>
            </w:r>
            <w:r>
              <w:rPr>
                <w:rFonts w:hint="eastAsia" w:ascii="宋体" w:hAnsi="宋体"/>
                <w:color w:val="auto"/>
                <w:kern w:val="0"/>
                <w:szCs w:val="21"/>
                <w:highlight w:val="none"/>
                <w:lang w:val="en-US" w:eastAsia="zh-CN"/>
              </w:rPr>
              <w:t>或U盘</w:t>
            </w:r>
            <w:r>
              <w:rPr>
                <w:rFonts w:hint="eastAsia" w:ascii="宋体" w:hAnsi="宋体"/>
                <w:color w:val="auto"/>
                <w:szCs w:val="21"/>
                <w:highlight w:val="none"/>
              </w:rPr>
              <w:t>）</w:t>
            </w:r>
            <w:r>
              <w:rPr>
                <w:rFonts w:ascii="宋体" w:hAnsi="宋体"/>
                <w:color w:val="auto"/>
                <w:szCs w:val="21"/>
                <w:highlight w:val="none"/>
              </w:rPr>
              <w:t>装入“</w:t>
            </w:r>
            <w:r>
              <w:rPr>
                <w:rFonts w:hint="eastAsia" w:ascii="宋体" w:hAnsi="宋体"/>
                <w:color w:val="auto"/>
                <w:szCs w:val="21"/>
                <w:highlight w:val="none"/>
                <w:lang w:eastAsia="zh-CN"/>
              </w:rPr>
              <w:t>竞选函</w:t>
            </w:r>
            <w:r>
              <w:rPr>
                <w:rFonts w:ascii="宋体" w:hAnsi="宋体"/>
                <w:color w:val="auto"/>
                <w:szCs w:val="21"/>
                <w:highlight w:val="none"/>
              </w:rPr>
              <w:t>部分”袋中，密封并在袋上加盖</w:t>
            </w:r>
            <w:r>
              <w:rPr>
                <w:rFonts w:hint="eastAsia" w:ascii="宋体" w:hAnsi="宋体"/>
                <w:color w:val="auto"/>
                <w:szCs w:val="21"/>
                <w:highlight w:val="none"/>
                <w:lang w:eastAsia="zh-CN"/>
              </w:rPr>
              <w:t>竞选人</w:t>
            </w:r>
            <w:r>
              <w:rPr>
                <w:rFonts w:ascii="宋体" w:hAnsi="宋体"/>
                <w:color w:val="auto"/>
                <w:szCs w:val="21"/>
                <w:highlight w:val="none"/>
              </w:rPr>
              <w:t>单位</w:t>
            </w:r>
            <w:r>
              <w:rPr>
                <w:rFonts w:hint="eastAsia" w:ascii="宋体" w:hAnsi="宋体"/>
                <w:color w:val="auto"/>
                <w:szCs w:val="21"/>
                <w:highlight w:val="none"/>
              </w:rPr>
              <w:t>法人</w:t>
            </w:r>
            <w:r>
              <w:rPr>
                <w:rFonts w:ascii="宋体" w:hAnsi="宋体"/>
                <w:color w:val="auto"/>
                <w:szCs w:val="21"/>
                <w:highlight w:val="none"/>
              </w:rPr>
              <w:t>章。</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lang w:val="en-US" w:eastAsia="zh-CN"/>
              </w:rPr>
              <w:t>2</w:t>
            </w:r>
            <w:r>
              <w:rPr>
                <w:rFonts w:ascii="宋体" w:hAnsi="宋体"/>
                <w:color w:val="auto"/>
                <w:szCs w:val="21"/>
                <w:highlight w:val="none"/>
              </w:rPr>
              <w:t>.</w:t>
            </w:r>
            <w:r>
              <w:rPr>
                <w:rFonts w:hint="eastAsia" w:ascii="宋体" w:hAnsi="宋体"/>
                <w:color w:val="auto"/>
                <w:szCs w:val="21"/>
                <w:highlight w:val="none"/>
              </w:rPr>
              <w:t xml:space="preserve"> </w:t>
            </w:r>
            <w:r>
              <w:rPr>
                <w:rFonts w:hint="eastAsia" w:ascii="宋体" w:hAnsi="宋体"/>
                <w:color w:val="auto"/>
                <w:spacing w:val="4"/>
                <w:szCs w:val="21"/>
                <w:highlight w:val="none"/>
              </w:rPr>
              <w:t>经济</w:t>
            </w:r>
            <w:r>
              <w:rPr>
                <w:rFonts w:ascii="宋体" w:hAnsi="宋体"/>
                <w:color w:val="auto"/>
                <w:spacing w:val="4"/>
                <w:szCs w:val="21"/>
                <w:highlight w:val="none"/>
              </w:rPr>
              <w:t>部分装入“</w:t>
            </w:r>
            <w:r>
              <w:rPr>
                <w:rFonts w:hint="eastAsia" w:ascii="宋体" w:hAnsi="宋体"/>
                <w:color w:val="auto"/>
                <w:spacing w:val="4"/>
                <w:szCs w:val="21"/>
                <w:highlight w:val="none"/>
              </w:rPr>
              <w:t>经济</w:t>
            </w:r>
            <w:r>
              <w:rPr>
                <w:rFonts w:ascii="宋体" w:hAnsi="宋体"/>
                <w:color w:val="auto"/>
                <w:spacing w:val="4"/>
                <w:szCs w:val="21"/>
                <w:highlight w:val="none"/>
              </w:rPr>
              <w:t>部分”袋中，密封并在袋上加盖</w:t>
            </w:r>
            <w:r>
              <w:rPr>
                <w:rFonts w:hint="eastAsia" w:ascii="宋体" w:hAnsi="宋体"/>
                <w:color w:val="auto"/>
                <w:spacing w:val="4"/>
                <w:szCs w:val="21"/>
                <w:highlight w:val="none"/>
                <w:lang w:eastAsia="zh-CN"/>
              </w:rPr>
              <w:t>竞选人</w:t>
            </w:r>
            <w:r>
              <w:rPr>
                <w:rFonts w:ascii="宋体" w:hAnsi="宋体"/>
                <w:color w:val="auto"/>
                <w:spacing w:val="4"/>
                <w:szCs w:val="21"/>
                <w:highlight w:val="none"/>
              </w:rPr>
              <w:t>单</w:t>
            </w:r>
            <w:r>
              <w:rPr>
                <w:rFonts w:ascii="宋体" w:hAnsi="宋体"/>
                <w:color w:val="auto"/>
                <w:szCs w:val="21"/>
                <w:highlight w:val="none"/>
              </w:rPr>
              <w:t>位</w:t>
            </w:r>
            <w:r>
              <w:rPr>
                <w:rFonts w:hint="eastAsia" w:ascii="宋体" w:hAnsi="宋体"/>
                <w:color w:val="auto"/>
                <w:szCs w:val="21"/>
                <w:highlight w:val="none"/>
              </w:rPr>
              <w:t>法人</w:t>
            </w:r>
            <w:r>
              <w:rPr>
                <w:rFonts w:ascii="宋体" w:hAnsi="宋体"/>
                <w:color w:val="auto"/>
                <w:szCs w:val="21"/>
                <w:highlight w:val="none"/>
              </w:rPr>
              <w:t>章。</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5A</w:t>
            </w:r>
            <w:r>
              <w:rPr>
                <w:rFonts w:ascii="宋体" w:hAnsi="宋体"/>
                <w:color w:val="auto"/>
                <w:szCs w:val="21"/>
                <w:highlight w:val="none"/>
              </w:rPr>
              <w:t>.本次招标技术部分采用暗标评审，技术部分装入“技术部分”袋中，密封不加盖任何印章。</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6. 资格审查部分装入“资格审查部分”袋中，密封并在袋上加盖</w:t>
            </w:r>
            <w:r>
              <w:rPr>
                <w:rFonts w:hint="eastAsia" w:ascii="宋体" w:hAnsi="宋体"/>
                <w:color w:val="auto"/>
                <w:szCs w:val="21"/>
                <w:highlight w:val="none"/>
                <w:lang w:eastAsia="zh-CN"/>
              </w:rPr>
              <w:t>竞选人</w:t>
            </w:r>
            <w:r>
              <w:rPr>
                <w:rFonts w:hint="eastAsia" w:ascii="宋体" w:hAnsi="宋体"/>
                <w:color w:val="auto"/>
                <w:szCs w:val="21"/>
                <w:highlight w:val="none"/>
              </w:rPr>
              <w:t>单位法人章。</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7</w:t>
            </w:r>
            <w:r>
              <w:rPr>
                <w:rFonts w:ascii="宋体" w:hAnsi="宋体"/>
                <w:color w:val="auto"/>
                <w:szCs w:val="21"/>
                <w:highlight w:val="none"/>
              </w:rPr>
              <w:t>.</w:t>
            </w:r>
            <w:r>
              <w:rPr>
                <w:rFonts w:hint="eastAsia" w:ascii="宋体" w:hAnsi="宋体"/>
                <w:color w:val="auto"/>
                <w:szCs w:val="21"/>
                <w:highlight w:val="none"/>
              </w:rPr>
              <w:t xml:space="preserve"> </w:t>
            </w:r>
            <w:r>
              <w:rPr>
                <w:rFonts w:ascii="宋体" w:hAnsi="宋体"/>
                <w:color w:val="auto"/>
                <w:szCs w:val="21"/>
                <w:highlight w:val="none"/>
              </w:rPr>
              <w:t>“</w:t>
            </w:r>
            <w:r>
              <w:rPr>
                <w:rFonts w:hint="eastAsia" w:ascii="宋体" w:hAnsi="宋体"/>
                <w:color w:val="auto"/>
                <w:szCs w:val="21"/>
                <w:highlight w:val="none"/>
                <w:lang w:eastAsia="zh-CN"/>
              </w:rPr>
              <w:t>竞选函</w:t>
            </w:r>
            <w:r>
              <w:rPr>
                <w:rFonts w:ascii="宋体" w:hAnsi="宋体"/>
                <w:color w:val="auto"/>
                <w:szCs w:val="21"/>
                <w:highlight w:val="none"/>
              </w:rPr>
              <w:t>部分”、“</w:t>
            </w:r>
            <w:r>
              <w:rPr>
                <w:rFonts w:hint="eastAsia" w:ascii="宋体" w:hAnsi="宋体"/>
                <w:color w:val="auto"/>
                <w:szCs w:val="21"/>
                <w:highlight w:val="none"/>
              </w:rPr>
              <w:t>经济</w:t>
            </w:r>
            <w:r>
              <w:rPr>
                <w:rFonts w:ascii="宋体" w:hAnsi="宋体"/>
                <w:color w:val="auto"/>
                <w:szCs w:val="21"/>
                <w:highlight w:val="none"/>
              </w:rPr>
              <w:t>部分”、“技术部分”</w:t>
            </w:r>
            <w:r>
              <w:rPr>
                <w:rFonts w:hint="eastAsia" w:ascii="宋体" w:hAnsi="宋体"/>
                <w:color w:val="auto"/>
                <w:szCs w:val="21"/>
                <w:highlight w:val="none"/>
              </w:rPr>
              <w:t>（如有）、“资格审查部分”</w:t>
            </w:r>
            <w:r>
              <w:rPr>
                <w:rFonts w:ascii="宋体" w:hAnsi="宋体"/>
                <w:color w:val="auto"/>
                <w:szCs w:val="21"/>
                <w:highlight w:val="none"/>
              </w:rPr>
              <w:t>等小袋装入“</w:t>
            </w:r>
            <w:r>
              <w:rPr>
                <w:rFonts w:hint="eastAsia" w:ascii="宋体" w:hAnsi="宋体"/>
                <w:color w:val="auto"/>
                <w:szCs w:val="21"/>
                <w:highlight w:val="none"/>
                <w:lang w:eastAsia="zh-CN"/>
              </w:rPr>
              <w:t>竞选文件</w:t>
            </w:r>
            <w:r>
              <w:rPr>
                <w:rFonts w:ascii="宋体" w:hAnsi="宋体"/>
                <w:color w:val="auto"/>
                <w:szCs w:val="21"/>
                <w:highlight w:val="none"/>
              </w:rPr>
              <w:t>”大袋中，密封并在大袋上加盖</w:t>
            </w:r>
            <w:r>
              <w:rPr>
                <w:rFonts w:hint="eastAsia" w:ascii="宋体" w:hAnsi="宋体"/>
                <w:color w:val="auto"/>
                <w:szCs w:val="21"/>
                <w:highlight w:val="none"/>
                <w:lang w:eastAsia="zh-CN"/>
              </w:rPr>
              <w:t>竞选人</w:t>
            </w:r>
            <w:r>
              <w:rPr>
                <w:rFonts w:ascii="宋体" w:hAnsi="宋体"/>
                <w:color w:val="auto"/>
                <w:szCs w:val="21"/>
                <w:highlight w:val="none"/>
              </w:rPr>
              <w:t>单位</w:t>
            </w:r>
            <w:r>
              <w:rPr>
                <w:rFonts w:hint="eastAsia" w:ascii="宋体" w:hAnsi="宋体"/>
                <w:color w:val="auto"/>
                <w:szCs w:val="21"/>
                <w:highlight w:val="none"/>
              </w:rPr>
              <w:t>法人</w:t>
            </w:r>
            <w:r>
              <w:rPr>
                <w:rFonts w:ascii="宋体" w:hAnsi="宋体"/>
                <w:color w:val="auto"/>
                <w:szCs w:val="21"/>
                <w:highlight w:val="none"/>
              </w:rPr>
              <w:t>章，同时“</w:t>
            </w:r>
            <w:r>
              <w:rPr>
                <w:rFonts w:hint="eastAsia" w:ascii="宋体" w:hAnsi="宋体"/>
                <w:color w:val="auto"/>
                <w:szCs w:val="21"/>
                <w:highlight w:val="none"/>
                <w:lang w:eastAsia="zh-CN"/>
              </w:rPr>
              <w:t>竞选文件</w:t>
            </w:r>
            <w:r>
              <w:rPr>
                <w:rFonts w:ascii="宋体" w:hAnsi="宋体"/>
                <w:color w:val="auto"/>
                <w:szCs w:val="21"/>
                <w:highlight w:val="none"/>
              </w:rPr>
              <w:t>”大袋应按本表第4.1.2项的规定写明相应内容。</w:t>
            </w:r>
            <w:r>
              <w:rPr>
                <w:rFonts w:hint="eastAsia" w:ascii="宋体" w:hAnsi="宋体"/>
                <w:color w:val="auto"/>
                <w:szCs w:val="21"/>
                <w:highlight w:val="none"/>
              </w:rPr>
              <w:t>一个大袋装不下的，可使用多个大袋分册封装。大袋未按要求密封的，</w:t>
            </w:r>
            <w:r>
              <w:rPr>
                <w:rFonts w:hint="eastAsia" w:ascii="宋体" w:hAnsi="宋体"/>
                <w:color w:val="auto"/>
                <w:szCs w:val="21"/>
                <w:highlight w:val="none"/>
                <w:lang w:eastAsia="zh-CN"/>
              </w:rPr>
              <w:t>比选人</w:t>
            </w:r>
            <w:r>
              <w:rPr>
                <w:rFonts w:hint="eastAsia" w:ascii="宋体" w:hAnsi="宋体"/>
                <w:color w:val="auto"/>
                <w:szCs w:val="21"/>
                <w:highlight w:val="none"/>
              </w:rPr>
              <w:t>或代理机构应该拒收。</w:t>
            </w:r>
          </w:p>
          <w:p>
            <w:pPr>
              <w:adjustRightInd w:val="0"/>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注：“</w:t>
            </w:r>
            <w:r>
              <w:rPr>
                <w:rFonts w:hint="eastAsia" w:ascii="宋体" w:hAnsi="宋体"/>
                <w:color w:val="auto"/>
                <w:szCs w:val="21"/>
                <w:highlight w:val="none"/>
                <w:lang w:eastAsia="zh-CN"/>
              </w:rPr>
              <w:t>竞选函</w:t>
            </w:r>
            <w:r>
              <w:rPr>
                <w:rFonts w:hint="eastAsia" w:ascii="宋体" w:hAnsi="宋体"/>
                <w:color w:val="auto"/>
                <w:szCs w:val="21"/>
                <w:highlight w:val="none"/>
              </w:rPr>
              <w:t>部分”袋、“技术部分”袋（如有）、“经济部分”袋、“资格审查部分”袋只为方便</w:t>
            </w:r>
            <w:r>
              <w:rPr>
                <w:rFonts w:hint="eastAsia" w:ascii="宋体" w:hAnsi="宋体"/>
                <w:color w:val="auto"/>
                <w:szCs w:val="21"/>
                <w:highlight w:val="none"/>
                <w:lang w:eastAsia="zh-CN"/>
              </w:rPr>
              <w:t>竞选文件</w:t>
            </w:r>
            <w:r>
              <w:rPr>
                <w:rFonts w:hint="eastAsia" w:ascii="宋体" w:hAnsi="宋体"/>
                <w:color w:val="auto"/>
                <w:szCs w:val="21"/>
                <w:highlight w:val="none"/>
              </w:rPr>
              <w:t>分装，不作为判定密封合格与否的条件。但为了方便开标，请各</w:t>
            </w:r>
            <w:r>
              <w:rPr>
                <w:rFonts w:hint="eastAsia" w:ascii="宋体" w:hAnsi="宋体"/>
                <w:color w:val="auto"/>
                <w:szCs w:val="21"/>
                <w:highlight w:val="none"/>
                <w:lang w:eastAsia="zh-CN"/>
              </w:rPr>
              <w:t>竞选人</w:t>
            </w:r>
            <w:r>
              <w:rPr>
                <w:rFonts w:hint="eastAsia" w:ascii="宋体" w:hAnsi="宋体"/>
                <w:color w:val="auto"/>
                <w:szCs w:val="21"/>
                <w:highlight w:val="none"/>
              </w:rPr>
              <w:t>主动配合，按要求分装。</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4.1.2</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封套上写明</w:t>
            </w:r>
          </w:p>
        </w:tc>
        <w:tc>
          <w:tcPr>
            <w:tcW w:w="6490" w:type="dxa"/>
            <w:vAlign w:val="center"/>
          </w:tcPr>
          <w:p>
            <w:pPr>
              <w:snapToGrid w:val="0"/>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应在“</w:t>
            </w:r>
            <w:r>
              <w:rPr>
                <w:rFonts w:hint="eastAsia" w:ascii="宋体" w:hAnsi="宋体"/>
                <w:color w:val="auto"/>
                <w:kern w:val="0"/>
                <w:szCs w:val="21"/>
                <w:highlight w:val="none"/>
                <w:lang w:eastAsia="zh-CN"/>
              </w:rPr>
              <w:t>竞选文件</w:t>
            </w:r>
            <w:r>
              <w:rPr>
                <w:rFonts w:ascii="宋体" w:hAnsi="宋体"/>
                <w:color w:val="auto"/>
                <w:kern w:val="0"/>
                <w:szCs w:val="21"/>
                <w:highlight w:val="none"/>
              </w:rPr>
              <w:t>”大袋封套上写明如下内容：</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lang w:eastAsia="zh-CN"/>
              </w:rPr>
              <w:t>比选人</w:t>
            </w:r>
            <w:r>
              <w:rPr>
                <w:rFonts w:ascii="宋体" w:hAnsi="宋体"/>
                <w:color w:val="auto"/>
                <w:kern w:val="0"/>
                <w:szCs w:val="21"/>
                <w:highlight w:val="none"/>
              </w:rPr>
              <w:t>名称：</w:t>
            </w:r>
            <w:r>
              <w:rPr>
                <w:rFonts w:hint="eastAsia" w:ascii="宋体" w:hAnsi="宋体"/>
                <w:color w:val="auto"/>
                <w:kern w:val="0"/>
                <w:szCs w:val="21"/>
                <w:highlight w:val="none"/>
                <w:u w:val="single"/>
              </w:rPr>
              <w:t xml:space="preserve">            </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lang w:eastAsia="zh-CN"/>
              </w:rPr>
              <w:t>竞选人</w:t>
            </w:r>
            <w:r>
              <w:rPr>
                <w:rFonts w:hint="eastAsia" w:ascii="宋体" w:hAnsi="宋体"/>
                <w:color w:val="auto"/>
                <w:kern w:val="0"/>
                <w:szCs w:val="21"/>
                <w:highlight w:val="none"/>
              </w:rPr>
              <w:t>名称：</w:t>
            </w:r>
            <w:r>
              <w:rPr>
                <w:rFonts w:hint="eastAsia" w:ascii="宋体" w:hAnsi="宋体"/>
                <w:color w:val="auto"/>
                <w:kern w:val="0"/>
                <w:szCs w:val="21"/>
                <w:highlight w:val="none"/>
                <w:u w:val="single"/>
              </w:rPr>
              <w:t xml:space="preserve">            </w:t>
            </w:r>
          </w:p>
          <w:p>
            <w:pPr>
              <w:snapToGrid w:val="0"/>
              <w:spacing w:line="400" w:lineRule="exact"/>
              <w:ind w:firstLine="420" w:firstLineChars="200"/>
              <w:rPr>
                <w:rFonts w:hint="eastAsia" w:ascii="宋体" w:hAnsi="宋体" w:eastAsia="宋体"/>
                <w:color w:val="auto"/>
                <w:kern w:val="0"/>
                <w:szCs w:val="21"/>
                <w:highlight w:val="none"/>
                <w:lang w:eastAsia="zh-CN"/>
              </w:rPr>
            </w:pPr>
            <w:r>
              <w:rPr>
                <w:rFonts w:ascii="宋体" w:hAnsi="宋体"/>
                <w:color w:val="auto"/>
                <w:kern w:val="0"/>
                <w:szCs w:val="21"/>
                <w:highlight w:val="none"/>
                <w:u w:val="single"/>
              </w:rPr>
              <w:t xml:space="preserve">                （项目名称）</w:t>
            </w:r>
            <w:r>
              <w:rPr>
                <w:rFonts w:hint="eastAsia" w:ascii="宋体" w:hAnsi="宋体"/>
                <w:color w:val="auto"/>
                <w:kern w:val="0"/>
                <w:szCs w:val="21"/>
                <w:highlight w:val="none"/>
                <w:lang w:eastAsia="zh-CN"/>
              </w:rPr>
              <w:t>竞选文件</w:t>
            </w:r>
          </w:p>
          <w:p>
            <w:pPr>
              <w:snapToGrid w:val="0"/>
              <w:spacing w:line="400" w:lineRule="exact"/>
              <w:ind w:firstLine="420" w:firstLineChars="200"/>
              <w:rPr>
                <w:rFonts w:ascii="宋体" w:hAnsi="宋体"/>
                <w:color w:val="auto"/>
                <w:szCs w:val="21"/>
                <w:highlight w:val="none"/>
              </w:rPr>
            </w:pPr>
            <w:r>
              <w:rPr>
                <w:rFonts w:ascii="宋体" w:hAnsi="宋体"/>
                <w:color w:val="auto"/>
                <w:kern w:val="0"/>
                <w:szCs w:val="21"/>
                <w:highlight w:val="none"/>
              </w:rPr>
              <w:t>在</w:t>
            </w:r>
            <w:r>
              <w:rPr>
                <w:rFonts w:hint="eastAsia" w:ascii="宋体" w:hAnsi="宋体"/>
                <w:color w:val="auto"/>
                <w:kern w:val="0"/>
                <w:szCs w:val="21"/>
                <w:highlight w:val="none"/>
                <w:u w:val="single"/>
              </w:rPr>
              <w:t xml:space="preserve">    </w:t>
            </w:r>
            <w:r>
              <w:rPr>
                <w:rFonts w:ascii="宋体" w:hAnsi="宋体"/>
                <w:color w:val="auto"/>
                <w:kern w:val="0"/>
                <w:szCs w:val="21"/>
                <w:highlight w:val="none"/>
              </w:rPr>
              <w:t>年</w:t>
            </w:r>
            <w:r>
              <w:rPr>
                <w:rFonts w:hint="eastAsia" w:ascii="宋体" w:hAnsi="宋体"/>
                <w:color w:val="auto"/>
                <w:kern w:val="0"/>
                <w:szCs w:val="21"/>
                <w:highlight w:val="none"/>
                <w:u w:val="single"/>
              </w:rPr>
              <w:t xml:space="preserve">    </w:t>
            </w:r>
            <w:r>
              <w:rPr>
                <w:rFonts w:ascii="宋体" w:hAnsi="宋体"/>
                <w:color w:val="auto"/>
                <w:kern w:val="0"/>
                <w:szCs w:val="21"/>
                <w:highlight w:val="none"/>
              </w:rPr>
              <w:t>月</w:t>
            </w:r>
            <w:r>
              <w:rPr>
                <w:rFonts w:hint="eastAsia" w:ascii="宋体" w:hAnsi="宋体"/>
                <w:color w:val="auto"/>
                <w:kern w:val="0"/>
                <w:szCs w:val="21"/>
                <w:highlight w:val="none"/>
                <w:u w:val="single"/>
              </w:rPr>
              <w:t xml:space="preserve">    </w:t>
            </w:r>
            <w:r>
              <w:rPr>
                <w:rFonts w:ascii="宋体" w:hAnsi="宋体"/>
                <w:color w:val="auto"/>
                <w:kern w:val="0"/>
                <w:szCs w:val="21"/>
                <w:highlight w:val="none"/>
              </w:rPr>
              <w:t>日</w:t>
            </w:r>
            <w:r>
              <w:rPr>
                <w:rFonts w:hint="eastAsia" w:ascii="宋体" w:hAnsi="宋体"/>
                <w:color w:val="auto"/>
                <w:kern w:val="0"/>
                <w:szCs w:val="21"/>
                <w:highlight w:val="none"/>
                <w:u w:val="single"/>
              </w:rPr>
              <w:t xml:space="preserve">    </w:t>
            </w:r>
            <w:r>
              <w:rPr>
                <w:rFonts w:ascii="宋体" w:hAnsi="宋体"/>
                <w:color w:val="auto"/>
                <w:kern w:val="0"/>
                <w:szCs w:val="21"/>
                <w:highlight w:val="none"/>
              </w:rPr>
              <w:t>时</w:t>
            </w:r>
            <w:r>
              <w:rPr>
                <w:rFonts w:hint="eastAsia" w:ascii="宋体" w:hAnsi="宋体"/>
                <w:color w:val="auto"/>
                <w:kern w:val="0"/>
                <w:szCs w:val="21"/>
                <w:highlight w:val="none"/>
                <w:u w:val="single"/>
              </w:rPr>
              <w:t xml:space="preserve">    </w:t>
            </w:r>
            <w:r>
              <w:rPr>
                <w:rFonts w:ascii="宋体" w:hAnsi="宋体"/>
                <w:color w:val="auto"/>
                <w:kern w:val="0"/>
                <w:szCs w:val="21"/>
                <w:highlight w:val="none"/>
              </w:rPr>
              <w:t>分前不得开启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4.2.2</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递交</w:t>
            </w:r>
            <w:r>
              <w:rPr>
                <w:rFonts w:hint="eastAsia" w:ascii="宋体" w:hAnsi="宋体"/>
                <w:color w:val="auto"/>
                <w:kern w:val="0"/>
                <w:szCs w:val="21"/>
                <w:highlight w:val="none"/>
                <w:lang w:eastAsia="zh-CN"/>
              </w:rPr>
              <w:t>竞选文件</w:t>
            </w:r>
            <w:r>
              <w:rPr>
                <w:rFonts w:ascii="宋体" w:hAnsi="宋体"/>
                <w:color w:val="auto"/>
                <w:kern w:val="0"/>
                <w:szCs w:val="21"/>
                <w:highlight w:val="none"/>
              </w:rPr>
              <w:t>地点</w:t>
            </w:r>
          </w:p>
        </w:tc>
        <w:tc>
          <w:tcPr>
            <w:tcW w:w="6490" w:type="dxa"/>
            <w:vAlign w:val="center"/>
          </w:tcPr>
          <w:p>
            <w:pPr>
              <w:snapToGrid w:val="0"/>
              <w:spacing w:line="400" w:lineRule="exact"/>
              <w:ind w:firstLine="420" w:firstLineChars="200"/>
              <w:rPr>
                <w:rFonts w:hint="eastAsia" w:ascii="宋体" w:hAnsi="宋体" w:eastAsia="宋体"/>
                <w:bCs/>
                <w:i/>
                <w:color w:val="auto"/>
                <w:szCs w:val="21"/>
                <w:highlight w:val="none"/>
                <w:lang w:eastAsia="zh-CN"/>
              </w:rPr>
            </w:pPr>
            <w:r>
              <w:rPr>
                <w:rFonts w:hint="eastAsia" w:ascii="宋体" w:hAnsi="宋体"/>
                <w:color w:val="auto"/>
                <w:kern w:val="0"/>
                <w:szCs w:val="21"/>
                <w:highlight w:val="none"/>
                <w:lang w:val="en-US" w:eastAsia="zh-CN"/>
              </w:rPr>
              <w:t>详见比选公告</w:t>
            </w:r>
            <w:r>
              <w:rPr>
                <w:rFonts w:hint="eastAsia" w:ascii="宋体" w:hAnsi="宋体"/>
                <w:bCs/>
                <w:color w:val="auto"/>
                <w:szCs w:val="21"/>
                <w:highlight w:val="none"/>
                <w:u w:val="none"/>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4.2.3</w:t>
            </w:r>
          </w:p>
        </w:tc>
        <w:tc>
          <w:tcPr>
            <w:tcW w:w="1644" w:type="dxa"/>
            <w:vAlign w:val="center"/>
          </w:tcPr>
          <w:p>
            <w:pPr>
              <w:snapToGrid w:val="0"/>
              <w:spacing w:line="400" w:lineRule="exact"/>
              <w:jc w:val="center"/>
              <w:rPr>
                <w:rFonts w:hint="eastAsia" w:ascii="宋体" w:hAnsi="宋体" w:eastAsia="宋体"/>
                <w:color w:val="auto"/>
                <w:kern w:val="0"/>
                <w:szCs w:val="21"/>
                <w:highlight w:val="none"/>
                <w:lang w:eastAsia="zh-CN"/>
              </w:rPr>
            </w:pPr>
            <w:r>
              <w:rPr>
                <w:rFonts w:ascii="宋体" w:hAnsi="宋体"/>
                <w:color w:val="auto"/>
                <w:kern w:val="0"/>
                <w:szCs w:val="21"/>
                <w:highlight w:val="none"/>
              </w:rPr>
              <w:t>是否退还</w:t>
            </w:r>
            <w:r>
              <w:rPr>
                <w:rFonts w:hint="eastAsia" w:ascii="宋体" w:hAnsi="宋体"/>
                <w:color w:val="auto"/>
                <w:kern w:val="0"/>
                <w:szCs w:val="21"/>
                <w:highlight w:val="none"/>
                <w:lang w:eastAsia="zh-CN"/>
              </w:rPr>
              <w:t>竞选文件</w:t>
            </w:r>
          </w:p>
        </w:tc>
        <w:tc>
          <w:tcPr>
            <w:tcW w:w="6490" w:type="dxa"/>
            <w:vAlign w:val="center"/>
          </w:tcPr>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lang w:eastAsia="zh-CN"/>
              </w:rPr>
              <w:t>☑</w:t>
            </w:r>
            <w:r>
              <w:rPr>
                <w:rFonts w:ascii="宋体" w:hAnsi="宋体"/>
                <w:color w:val="auto"/>
                <w:kern w:val="0"/>
                <w:szCs w:val="21"/>
                <w:highlight w:val="none"/>
              </w:rPr>
              <w:t>否</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5.1</w:t>
            </w:r>
            <w:r>
              <w:rPr>
                <w:rFonts w:hint="eastAsia" w:ascii="宋体" w:hAnsi="宋体"/>
                <w:color w:val="auto"/>
                <w:kern w:val="0"/>
                <w:szCs w:val="21"/>
                <w:highlight w:val="none"/>
              </w:rPr>
              <w:t>.1</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开标时间和</w:t>
            </w:r>
          </w:p>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地点</w:t>
            </w:r>
          </w:p>
        </w:tc>
        <w:tc>
          <w:tcPr>
            <w:tcW w:w="6490" w:type="dxa"/>
            <w:vAlign w:val="center"/>
          </w:tcPr>
          <w:p>
            <w:pPr>
              <w:snapToGrid w:val="0"/>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开标时间：同投标截止时间</w:t>
            </w:r>
          </w:p>
          <w:p>
            <w:pPr>
              <w:snapToGrid w:val="0"/>
              <w:spacing w:line="400" w:lineRule="exact"/>
              <w:ind w:firstLine="420" w:firstLineChars="200"/>
              <w:rPr>
                <w:rFonts w:ascii="宋体" w:hAnsi="宋体"/>
                <w:bCs/>
                <w:i/>
                <w:color w:val="auto"/>
                <w:szCs w:val="21"/>
                <w:highlight w:val="none"/>
              </w:rPr>
            </w:pPr>
            <w:r>
              <w:rPr>
                <w:rFonts w:ascii="宋体" w:hAnsi="宋体"/>
                <w:color w:val="auto"/>
                <w:kern w:val="0"/>
                <w:szCs w:val="21"/>
                <w:highlight w:val="none"/>
              </w:rPr>
              <w:t>开标地点</w:t>
            </w:r>
            <w:r>
              <w:rPr>
                <w:rFonts w:hint="eastAsia" w:ascii="宋体" w:hAnsi="宋体"/>
                <w:color w:val="auto"/>
                <w:kern w:val="0"/>
                <w:szCs w:val="21"/>
                <w:highlight w:val="none"/>
                <w:lang w:val="en-US" w:eastAsia="zh-CN"/>
              </w:rPr>
              <w:t>详见比选公告</w:t>
            </w:r>
            <w:r>
              <w:rPr>
                <w:rFonts w:ascii="宋体" w:hAnsi="宋体"/>
                <w:bCs/>
                <w:color w:val="auto"/>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szCs w:val="21"/>
                <w:highlight w:val="none"/>
              </w:rPr>
            </w:pPr>
            <w:r>
              <w:rPr>
                <w:rFonts w:ascii="宋体" w:hAnsi="宋体"/>
                <w:color w:val="auto"/>
                <w:szCs w:val="21"/>
                <w:highlight w:val="none"/>
              </w:rPr>
              <w:t>5.2</w:t>
            </w:r>
          </w:p>
        </w:tc>
        <w:tc>
          <w:tcPr>
            <w:tcW w:w="1644" w:type="dxa"/>
            <w:vAlign w:val="center"/>
          </w:tcPr>
          <w:p>
            <w:pPr>
              <w:snapToGrid w:val="0"/>
              <w:spacing w:line="400" w:lineRule="exact"/>
              <w:jc w:val="center"/>
              <w:rPr>
                <w:rFonts w:ascii="宋体" w:hAnsi="宋体"/>
                <w:color w:val="auto"/>
                <w:szCs w:val="21"/>
                <w:highlight w:val="none"/>
              </w:rPr>
            </w:pPr>
            <w:r>
              <w:rPr>
                <w:rFonts w:ascii="宋体" w:hAnsi="宋体"/>
                <w:color w:val="auto"/>
                <w:szCs w:val="21"/>
                <w:highlight w:val="none"/>
              </w:rPr>
              <w:t>开标程序</w:t>
            </w:r>
          </w:p>
        </w:tc>
        <w:tc>
          <w:tcPr>
            <w:tcW w:w="6490" w:type="dxa"/>
            <w:vAlign w:val="center"/>
          </w:tcPr>
          <w:p>
            <w:pPr>
              <w:autoSpaceDE w:val="0"/>
              <w:autoSpaceDN w:val="0"/>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主持人按下列程序进行开标：</w:t>
            </w:r>
          </w:p>
          <w:p>
            <w:pPr>
              <w:autoSpaceDE w:val="0"/>
              <w:autoSpaceDN w:val="0"/>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1. 核验参加开标会议的</w:t>
            </w:r>
            <w:r>
              <w:rPr>
                <w:rFonts w:hint="eastAsia" w:ascii="宋体" w:hAnsi="宋体"/>
                <w:color w:val="auto"/>
                <w:szCs w:val="21"/>
                <w:highlight w:val="none"/>
                <w:lang w:eastAsia="zh-CN"/>
              </w:rPr>
              <w:t>竞选人</w:t>
            </w:r>
            <w:r>
              <w:rPr>
                <w:rFonts w:ascii="宋体" w:hAnsi="宋体"/>
                <w:color w:val="auto"/>
                <w:szCs w:val="21"/>
                <w:highlight w:val="none"/>
              </w:rPr>
              <w:t>的法定代表人或</w:t>
            </w:r>
            <w:r>
              <w:rPr>
                <w:rFonts w:hint="eastAsia" w:ascii="宋体" w:hAnsi="宋体"/>
                <w:color w:val="auto"/>
                <w:szCs w:val="21"/>
                <w:highlight w:val="none"/>
              </w:rPr>
              <w:t>委托代理人</w:t>
            </w:r>
            <w:r>
              <w:rPr>
                <w:rFonts w:ascii="宋体" w:hAnsi="宋体"/>
                <w:color w:val="auto"/>
                <w:szCs w:val="21"/>
                <w:highlight w:val="none"/>
              </w:rPr>
              <w:t>本人身份证（原件），核验委托代理人的授权委托书</w:t>
            </w:r>
            <w:r>
              <w:rPr>
                <w:rFonts w:hint="eastAsia" w:ascii="宋体" w:hAnsi="宋体"/>
                <w:color w:val="auto"/>
                <w:szCs w:val="21"/>
                <w:highlight w:val="none"/>
              </w:rPr>
              <w:t>、养老保险证明材料复印件</w:t>
            </w:r>
            <w:r>
              <w:rPr>
                <w:rFonts w:ascii="宋体" w:hAnsi="宋体"/>
                <w:color w:val="auto"/>
                <w:szCs w:val="21"/>
                <w:highlight w:val="none"/>
              </w:rPr>
              <w:t>，以确认其身份合法有效；</w:t>
            </w:r>
            <w:r>
              <w:rPr>
                <w:rFonts w:hint="eastAsia" w:ascii="宋体" w:hAnsi="宋体"/>
                <w:color w:val="auto"/>
                <w:szCs w:val="21"/>
                <w:highlight w:val="none"/>
              </w:rPr>
              <w:t>若经核实委托代理人提供资料与实际不符的，不得参加开标会。核验合格的法定代表人或委托代理人可自行选择是否参加开标会，不参加开标会的视为默认开标结果。</w:t>
            </w:r>
          </w:p>
          <w:p>
            <w:pPr>
              <w:autoSpaceDE w:val="0"/>
              <w:autoSpaceDN w:val="0"/>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2.</w:t>
            </w:r>
            <w:r>
              <w:rPr>
                <w:rFonts w:hint="eastAsia" w:ascii="宋体" w:hAnsi="宋体"/>
                <w:color w:val="auto"/>
                <w:szCs w:val="21"/>
                <w:highlight w:val="none"/>
              </w:rPr>
              <w:t xml:space="preserve"> </w:t>
            </w:r>
            <w:r>
              <w:rPr>
                <w:rFonts w:ascii="宋体" w:hAnsi="宋体"/>
                <w:color w:val="auto"/>
                <w:szCs w:val="21"/>
                <w:highlight w:val="none"/>
              </w:rPr>
              <w:t>宣布开标纪律</w:t>
            </w:r>
            <w:r>
              <w:rPr>
                <w:rFonts w:hint="eastAsia" w:ascii="宋体" w:hAnsi="宋体"/>
                <w:color w:val="auto"/>
                <w:szCs w:val="21"/>
                <w:highlight w:val="none"/>
              </w:rPr>
              <w:t>。</w:t>
            </w:r>
          </w:p>
          <w:p>
            <w:pPr>
              <w:autoSpaceDE w:val="0"/>
              <w:autoSpaceDN w:val="0"/>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3. 宣布开标人、唱标人、记录人、监标人等有关人员姓名</w:t>
            </w:r>
            <w:r>
              <w:rPr>
                <w:rFonts w:hint="eastAsia" w:ascii="宋体" w:hAnsi="宋体"/>
                <w:color w:val="auto"/>
                <w:szCs w:val="21"/>
                <w:highlight w:val="none"/>
              </w:rPr>
              <w:t>。</w:t>
            </w:r>
          </w:p>
          <w:p>
            <w:pPr>
              <w:autoSpaceDE w:val="0"/>
              <w:autoSpaceDN w:val="0"/>
              <w:adjustRightInd w:val="0"/>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4. 公布在投标截止时间前递交</w:t>
            </w:r>
            <w:r>
              <w:rPr>
                <w:rFonts w:hint="eastAsia" w:ascii="宋体" w:hAnsi="宋体"/>
                <w:color w:val="auto"/>
                <w:szCs w:val="21"/>
                <w:highlight w:val="none"/>
                <w:lang w:eastAsia="zh-CN"/>
              </w:rPr>
              <w:t>竞选文件</w:t>
            </w:r>
            <w:r>
              <w:rPr>
                <w:rFonts w:ascii="宋体" w:hAnsi="宋体"/>
                <w:color w:val="auto"/>
                <w:szCs w:val="21"/>
                <w:highlight w:val="none"/>
              </w:rPr>
              <w:t>的</w:t>
            </w:r>
            <w:r>
              <w:rPr>
                <w:rFonts w:hint="eastAsia" w:ascii="宋体" w:hAnsi="宋体"/>
                <w:color w:val="auto"/>
                <w:szCs w:val="21"/>
                <w:highlight w:val="none"/>
                <w:lang w:eastAsia="zh-CN"/>
              </w:rPr>
              <w:t>竞选人</w:t>
            </w:r>
            <w:r>
              <w:rPr>
                <w:rFonts w:ascii="宋体" w:hAnsi="宋体"/>
                <w:color w:val="auto"/>
                <w:szCs w:val="21"/>
                <w:highlight w:val="none"/>
              </w:rPr>
              <w:t>名称</w:t>
            </w:r>
            <w:r>
              <w:rPr>
                <w:rFonts w:hint="eastAsia" w:ascii="宋体" w:hAnsi="宋体"/>
                <w:color w:val="auto"/>
                <w:szCs w:val="21"/>
                <w:highlight w:val="none"/>
              </w:rPr>
              <w:t>。</w:t>
            </w:r>
          </w:p>
          <w:p>
            <w:pPr>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 xml:space="preserve">5. </w:t>
            </w:r>
            <w:r>
              <w:rPr>
                <w:rFonts w:hint="eastAsia" w:ascii="宋体" w:hAnsi="宋体"/>
                <w:color w:val="auto"/>
                <w:szCs w:val="21"/>
                <w:highlight w:val="none"/>
                <w:lang w:eastAsia="zh-CN"/>
              </w:rPr>
              <w:t>竞选文件</w:t>
            </w:r>
            <w:r>
              <w:rPr>
                <w:rFonts w:hint="eastAsia" w:ascii="宋体" w:hAnsi="宋体"/>
                <w:color w:val="auto"/>
                <w:szCs w:val="21"/>
                <w:highlight w:val="none"/>
              </w:rPr>
              <w:t>的密封检查：</w:t>
            </w:r>
            <w:r>
              <w:rPr>
                <w:rFonts w:hint="eastAsia" w:ascii="宋体" w:hAnsi="宋体"/>
                <w:color w:val="auto"/>
                <w:szCs w:val="21"/>
                <w:highlight w:val="none"/>
                <w:lang w:eastAsia="zh-CN"/>
              </w:rPr>
              <w:t>竞选人</w:t>
            </w:r>
            <w:r>
              <w:rPr>
                <w:rFonts w:hint="eastAsia" w:ascii="宋体" w:hAnsi="宋体"/>
                <w:color w:val="auto"/>
                <w:szCs w:val="21"/>
                <w:highlight w:val="none"/>
              </w:rPr>
              <w:t>可对自己的</w:t>
            </w:r>
            <w:r>
              <w:rPr>
                <w:rFonts w:hint="eastAsia" w:ascii="宋体" w:hAnsi="宋体"/>
                <w:color w:val="auto"/>
                <w:szCs w:val="21"/>
                <w:highlight w:val="none"/>
                <w:lang w:eastAsia="zh-CN"/>
              </w:rPr>
              <w:t>竞选文件</w:t>
            </w:r>
            <w:r>
              <w:rPr>
                <w:rFonts w:hint="eastAsia" w:ascii="宋体" w:hAnsi="宋体"/>
                <w:color w:val="auto"/>
                <w:szCs w:val="21"/>
                <w:highlight w:val="none"/>
              </w:rPr>
              <w:t>封装情况进行检查，以确认其</w:t>
            </w:r>
            <w:r>
              <w:rPr>
                <w:rFonts w:hint="eastAsia" w:ascii="宋体" w:hAnsi="宋体"/>
                <w:color w:val="auto"/>
                <w:szCs w:val="21"/>
                <w:highlight w:val="none"/>
                <w:lang w:eastAsia="zh-CN"/>
              </w:rPr>
              <w:t>竞选文件</w:t>
            </w:r>
            <w:r>
              <w:rPr>
                <w:rFonts w:hint="eastAsia" w:ascii="宋体" w:hAnsi="宋体"/>
                <w:color w:val="auto"/>
                <w:szCs w:val="21"/>
                <w:highlight w:val="none"/>
              </w:rPr>
              <w:t>密封完好。</w:t>
            </w:r>
          </w:p>
          <w:p>
            <w:pPr>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6. 汇总投标保证金交纳情况</w:t>
            </w:r>
          </w:p>
          <w:p>
            <w:pPr>
              <w:snapToGrid w:val="0"/>
              <w:spacing w:line="400" w:lineRule="exact"/>
              <w:ind w:firstLine="420" w:firstLineChars="200"/>
              <w:rPr>
                <w:rFonts w:ascii="宋体" w:hAnsi="宋体"/>
                <w:color w:val="auto"/>
                <w:szCs w:val="21"/>
                <w:highlight w:val="none"/>
              </w:rPr>
            </w:pPr>
            <w:r>
              <w:rPr>
                <w:rFonts w:ascii="宋体" w:hAnsi="宋体"/>
                <w:color w:val="auto"/>
                <w:szCs w:val="21"/>
                <w:highlight w:val="none"/>
              </w:rPr>
              <w:t>7. 公布最高限价</w:t>
            </w:r>
            <w:r>
              <w:rPr>
                <w:rFonts w:hint="eastAsia" w:ascii="宋体" w:hAnsi="宋体"/>
                <w:color w:val="auto"/>
                <w:szCs w:val="21"/>
                <w:highlight w:val="none"/>
              </w:rPr>
              <w:t>，采用经评审最低投标价法的还需计算最高限价的85%数值，以便评标委员会评审。</w:t>
            </w:r>
          </w:p>
          <w:p>
            <w:pPr>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8</w:t>
            </w:r>
            <w:r>
              <w:rPr>
                <w:rFonts w:ascii="宋体" w:hAnsi="宋体"/>
                <w:color w:val="auto"/>
                <w:szCs w:val="21"/>
                <w:highlight w:val="none"/>
              </w:rPr>
              <w:t>.</w:t>
            </w:r>
            <w:r>
              <w:rPr>
                <w:rFonts w:hint="eastAsia" w:ascii="宋体" w:hAnsi="宋体"/>
                <w:color w:val="auto"/>
                <w:szCs w:val="21"/>
                <w:highlight w:val="none"/>
              </w:rPr>
              <w:t xml:space="preserve"> </w:t>
            </w:r>
            <w:r>
              <w:rPr>
                <w:rFonts w:ascii="宋体" w:hAnsi="宋体"/>
                <w:color w:val="auto"/>
                <w:szCs w:val="21"/>
                <w:highlight w:val="none"/>
              </w:rPr>
              <w:t>逐单位随机开启</w:t>
            </w:r>
            <w:r>
              <w:rPr>
                <w:rFonts w:hint="eastAsia" w:ascii="宋体" w:hAnsi="宋体"/>
                <w:color w:val="auto"/>
                <w:szCs w:val="21"/>
                <w:highlight w:val="none"/>
                <w:lang w:eastAsia="zh-CN"/>
              </w:rPr>
              <w:t>竞选文件</w:t>
            </w:r>
            <w:r>
              <w:rPr>
                <w:rFonts w:ascii="宋体" w:hAnsi="宋体"/>
                <w:color w:val="auto"/>
                <w:szCs w:val="21"/>
                <w:highlight w:val="none"/>
              </w:rPr>
              <w:t>。开启</w:t>
            </w:r>
            <w:r>
              <w:rPr>
                <w:rFonts w:hint="eastAsia" w:ascii="宋体" w:hAnsi="宋体"/>
                <w:color w:val="auto"/>
                <w:szCs w:val="21"/>
                <w:highlight w:val="none"/>
                <w:lang w:eastAsia="zh-CN"/>
              </w:rPr>
              <w:t>竞选文件</w:t>
            </w:r>
            <w:r>
              <w:rPr>
                <w:rFonts w:ascii="宋体" w:hAnsi="宋体"/>
                <w:color w:val="auto"/>
                <w:szCs w:val="21"/>
                <w:highlight w:val="none"/>
              </w:rPr>
              <w:t>大袋及</w:t>
            </w:r>
            <w:r>
              <w:rPr>
                <w:rFonts w:hint="eastAsia" w:ascii="宋体" w:hAnsi="宋体"/>
                <w:color w:val="auto"/>
                <w:szCs w:val="21"/>
                <w:highlight w:val="none"/>
                <w:lang w:eastAsia="zh-CN"/>
              </w:rPr>
              <w:t>竞选函</w:t>
            </w:r>
            <w:r>
              <w:rPr>
                <w:rFonts w:ascii="宋体" w:hAnsi="宋体"/>
                <w:color w:val="auto"/>
                <w:szCs w:val="21"/>
                <w:highlight w:val="none"/>
              </w:rPr>
              <w:t>部分袋、</w:t>
            </w:r>
            <w:r>
              <w:rPr>
                <w:rFonts w:hint="eastAsia" w:ascii="宋体" w:hAnsi="宋体"/>
                <w:color w:val="auto"/>
                <w:szCs w:val="21"/>
                <w:highlight w:val="none"/>
              </w:rPr>
              <w:t>经济</w:t>
            </w:r>
            <w:r>
              <w:rPr>
                <w:rFonts w:ascii="宋体" w:hAnsi="宋体"/>
                <w:color w:val="auto"/>
                <w:szCs w:val="21"/>
                <w:highlight w:val="none"/>
              </w:rPr>
              <w:t>部分袋、技术部分袋</w:t>
            </w:r>
            <w:r>
              <w:rPr>
                <w:rFonts w:hint="eastAsia" w:ascii="宋体" w:hAnsi="宋体"/>
                <w:color w:val="auto"/>
                <w:szCs w:val="21"/>
                <w:highlight w:val="none"/>
              </w:rPr>
              <w:t>（如有）、资格审查部分袋</w:t>
            </w:r>
            <w:r>
              <w:rPr>
                <w:rFonts w:ascii="宋体" w:hAnsi="宋体"/>
                <w:color w:val="auto"/>
                <w:szCs w:val="21"/>
                <w:highlight w:val="none"/>
              </w:rPr>
              <w:t>；公布</w:t>
            </w:r>
            <w:r>
              <w:rPr>
                <w:rFonts w:hint="eastAsia" w:ascii="宋体" w:hAnsi="宋体"/>
                <w:color w:val="auto"/>
                <w:szCs w:val="21"/>
                <w:highlight w:val="none"/>
                <w:lang w:eastAsia="zh-CN"/>
              </w:rPr>
              <w:t>竞选人</w:t>
            </w:r>
            <w:r>
              <w:rPr>
                <w:rFonts w:ascii="宋体" w:hAnsi="宋体"/>
                <w:color w:val="auto"/>
                <w:szCs w:val="21"/>
                <w:highlight w:val="none"/>
              </w:rPr>
              <w:t>名称、投标报价、质量要求、工期及其他内容并记录在案</w:t>
            </w:r>
            <w:r>
              <w:rPr>
                <w:rFonts w:hint="eastAsia" w:ascii="宋体" w:hAnsi="宋体"/>
                <w:color w:val="auto"/>
                <w:szCs w:val="21"/>
                <w:highlight w:val="none"/>
              </w:rPr>
              <w:t>。</w:t>
            </w:r>
          </w:p>
          <w:p>
            <w:pPr>
              <w:numPr>
                <w:ilvl w:val="255"/>
                <w:numId w:val="0"/>
              </w:numPr>
              <w:autoSpaceDE w:val="0"/>
              <w:autoSpaceDN w:val="0"/>
              <w:adjustRightInd w:val="0"/>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lang w:val="en-US" w:eastAsia="zh-CN"/>
              </w:rPr>
              <w:t>9</w:t>
            </w:r>
            <w:r>
              <w:rPr>
                <w:rFonts w:hint="eastAsia" w:ascii="宋体" w:hAnsi="宋体"/>
                <w:color w:val="auto"/>
                <w:szCs w:val="21"/>
                <w:highlight w:val="none"/>
              </w:rPr>
              <w:t>.</w:t>
            </w:r>
            <w:r>
              <w:rPr>
                <w:rFonts w:hint="eastAsia" w:ascii="宋体" w:hAnsi="宋体"/>
                <w:color w:val="auto"/>
                <w:szCs w:val="21"/>
                <w:highlight w:val="none"/>
                <w:lang w:eastAsia="zh-CN"/>
              </w:rPr>
              <w:t>竞选人</w:t>
            </w:r>
            <w:r>
              <w:rPr>
                <w:rFonts w:hint="eastAsia" w:ascii="宋体" w:hAnsi="宋体"/>
                <w:color w:val="auto"/>
                <w:szCs w:val="21"/>
                <w:highlight w:val="none"/>
              </w:rPr>
              <w:t>对开标有异议的，应当场提出，由</w:t>
            </w:r>
            <w:r>
              <w:rPr>
                <w:rFonts w:hint="eastAsia" w:ascii="宋体" w:hAnsi="宋体"/>
                <w:color w:val="auto"/>
                <w:szCs w:val="21"/>
                <w:highlight w:val="none"/>
                <w:lang w:eastAsia="zh-CN"/>
              </w:rPr>
              <w:t>比选人</w:t>
            </w:r>
            <w:r>
              <w:rPr>
                <w:rFonts w:hint="eastAsia" w:ascii="宋体" w:hAnsi="宋体"/>
                <w:color w:val="auto"/>
                <w:szCs w:val="21"/>
                <w:highlight w:val="none"/>
              </w:rPr>
              <w:t>或代理机构当场答复，并记录到开标记录表中。异议处理完毕后，汇总开标情况，打印开标记录表。</w:t>
            </w:r>
          </w:p>
          <w:p>
            <w:pPr>
              <w:autoSpaceDE w:val="0"/>
              <w:autoSpaceDN w:val="0"/>
              <w:adjustRightInd w:val="0"/>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lang w:val="en-US" w:eastAsia="zh-CN"/>
              </w:rPr>
              <w:t>10</w:t>
            </w:r>
            <w:r>
              <w:rPr>
                <w:rFonts w:ascii="宋体" w:hAnsi="宋体"/>
                <w:color w:val="auto"/>
                <w:szCs w:val="21"/>
                <w:highlight w:val="none"/>
              </w:rPr>
              <w:t xml:space="preserve">. </w:t>
            </w:r>
            <w:r>
              <w:rPr>
                <w:rFonts w:hint="eastAsia" w:ascii="宋体" w:hAnsi="宋体"/>
                <w:color w:val="auto"/>
                <w:szCs w:val="21"/>
                <w:highlight w:val="none"/>
                <w:lang w:eastAsia="zh-CN"/>
              </w:rPr>
              <w:t>竞选人</w:t>
            </w:r>
            <w:r>
              <w:rPr>
                <w:rFonts w:ascii="宋体" w:hAnsi="宋体"/>
                <w:color w:val="auto"/>
                <w:szCs w:val="21"/>
                <w:highlight w:val="none"/>
              </w:rPr>
              <w:t>代表、</w:t>
            </w:r>
            <w:r>
              <w:rPr>
                <w:rFonts w:hint="eastAsia" w:ascii="宋体" w:hAnsi="宋体"/>
                <w:color w:val="auto"/>
                <w:szCs w:val="21"/>
                <w:highlight w:val="none"/>
                <w:lang w:eastAsia="zh-CN"/>
              </w:rPr>
              <w:t>比选人</w:t>
            </w:r>
            <w:r>
              <w:rPr>
                <w:rFonts w:ascii="宋体" w:hAnsi="宋体"/>
                <w:color w:val="auto"/>
                <w:szCs w:val="21"/>
                <w:highlight w:val="none"/>
              </w:rPr>
              <w:t>代表、监标人、</w:t>
            </w:r>
            <w:r>
              <w:rPr>
                <w:rFonts w:hint="eastAsia" w:ascii="宋体" w:hAnsi="宋体"/>
                <w:color w:val="auto"/>
                <w:szCs w:val="21"/>
                <w:highlight w:val="none"/>
              </w:rPr>
              <w:t>主持人、</w:t>
            </w:r>
            <w:r>
              <w:rPr>
                <w:rFonts w:ascii="宋体" w:hAnsi="宋体"/>
                <w:color w:val="auto"/>
                <w:szCs w:val="21"/>
                <w:highlight w:val="none"/>
              </w:rPr>
              <w:t>记录人等有关人员在开标记录上</w:t>
            </w:r>
            <w:r>
              <w:rPr>
                <w:rFonts w:hint="eastAsia" w:ascii="宋体" w:hAnsi="宋体"/>
                <w:color w:val="auto"/>
                <w:szCs w:val="21"/>
                <w:highlight w:val="none"/>
              </w:rPr>
              <w:t>签名</w:t>
            </w:r>
            <w:r>
              <w:rPr>
                <w:rFonts w:ascii="宋体" w:hAnsi="宋体"/>
                <w:color w:val="auto"/>
                <w:szCs w:val="21"/>
                <w:highlight w:val="none"/>
              </w:rPr>
              <w:t>确认</w:t>
            </w:r>
            <w:r>
              <w:rPr>
                <w:rFonts w:hint="eastAsia" w:ascii="宋体" w:hAnsi="宋体"/>
                <w:color w:val="auto"/>
                <w:szCs w:val="21"/>
                <w:highlight w:val="none"/>
              </w:rPr>
              <w:t>。因其他原因未能签名的，视为默认开标结果。</w:t>
            </w:r>
          </w:p>
          <w:p>
            <w:pPr>
              <w:autoSpaceDE w:val="0"/>
              <w:autoSpaceDN w:val="0"/>
              <w:adjustRightInd w:val="0"/>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1</w:t>
            </w:r>
            <w:r>
              <w:rPr>
                <w:rFonts w:hint="eastAsia" w:ascii="宋体" w:hAnsi="宋体"/>
                <w:color w:val="auto"/>
                <w:szCs w:val="21"/>
                <w:highlight w:val="none"/>
                <w:lang w:val="en-US" w:eastAsia="zh-CN"/>
              </w:rPr>
              <w:t>1</w:t>
            </w:r>
            <w:r>
              <w:rPr>
                <w:rFonts w:ascii="宋体" w:hAnsi="宋体"/>
                <w:color w:val="auto"/>
                <w:szCs w:val="21"/>
                <w:highlight w:val="none"/>
              </w:rPr>
              <w:t>. 开标结束。</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6.1.1</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评标委员会的组建</w:t>
            </w:r>
          </w:p>
        </w:tc>
        <w:tc>
          <w:tcPr>
            <w:tcW w:w="6490" w:type="dxa"/>
            <w:vAlign w:val="center"/>
          </w:tcPr>
          <w:p>
            <w:pPr>
              <w:autoSpaceDE w:val="0"/>
              <w:autoSpaceDN w:val="0"/>
              <w:adjustRightInd w:val="0"/>
              <w:snapToGrid w:val="0"/>
              <w:spacing w:line="400" w:lineRule="exact"/>
              <w:ind w:firstLine="436" w:firstLineChars="200"/>
              <w:rPr>
                <w:rFonts w:ascii="宋体" w:hAnsi="宋体"/>
                <w:color w:val="auto"/>
                <w:kern w:val="0"/>
                <w:szCs w:val="21"/>
                <w:highlight w:val="none"/>
              </w:rPr>
            </w:pPr>
            <w:r>
              <w:rPr>
                <w:rFonts w:hint="eastAsia" w:ascii="宋体" w:hAnsi="宋体"/>
                <w:color w:val="auto"/>
                <w:spacing w:val="4"/>
                <w:kern w:val="0"/>
                <w:szCs w:val="21"/>
                <w:highlight w:val="none"/>
              </w:rPr>
              <w:t>由</w:t>
            </w:r>
            <w:r>
              <w:rPr>
                <w:rFonts w:hint="eastAsia" w:ascii="宋体" w:hAnsi="宋体"/>
                <w:color w:val="auto"/>
                <w:spacing w:val="4"/>
                <w:kern w:val="0"/>
                <w:szCs w:val="21"/>
                <w:highlight w:val="none"/>
                <w:lang w:eastAsia="zh-CN"/>
              </w:rPr>
              <w:t>比选人</w:t>
            </w:r>
            <w:r>
              <w:rPr>
                <w:rFonts w:hint="eastAsia" w:ascii="宋体" w:hAnsi="宋体"/>
                <w:color w:val="auto"/>
                <w:spacing w:val="4"/>
                <w:kern w:val="0"/>
                <w:szCs w:val="21"/>
                <w:highlight w:val="none"/>
              </w:rPr>
              <w:t>按法律法规及相关规定依法组建评标委员会</w:t>
            </w:r>
            <w:r>
              <w:rPr>
                <w:rFonts w:hint="eastAsia" w:ascii="宋体" w:hAnsi="宋体"/>
                <w:color w:val="auto"/>
                <w:kern w:val="0"/>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7.1</w:t>
            </w:r>
          </w:p>
        </w:tc>
        <w:tc>
          <w:tcPr>
            <w:tcW w:w="1644" w:type="dxa"/>
            <w:vAlign w:val="center"/>
          </w:tcPr>
          <w:p>
            <w:pPr>
              <w:snapToGrid w:val="0"/>
              <w:spacing w:after="62" w:afterLines="20" w:line="400" w:lineRule="exact"/>
              <w:jc w:val="center"/>
              <w:rPr>
                <w:rFonts w:ascii="宋体" w:hAnsi="宋体"/>
                <w:color w:val="auto"/>
                <w:kern w:val="0"/>
                <w:szCs w:val="21"/>
                <w:highlight w:val="none"/>
              </w:rPr>
            </w:pPr>
            <w:r>
              <w:rPr>
                <w:rFonts w:ascii="宋体" w:hAnsi="宋体"/>
                <w:color w:val="auto"/>
                <w:kern w:val="0"/>
                <w:szCs w:val="21"/>
                <w:highlight w:val="none"/>
              </w:rPr>
              <w:t>是否授权评标委员会确定中标人</w:t>
            </w:r>
          </w:p>
        </w:tc>
        <w:tc>
          <w:tcPr>
            <w:tcW w:w="6490" w:type="dxa"/>
            <w:vAlign w:val="center"/>
          </w:tcPr>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是</w:t>
            </w:r>
          </w:p>
          <w:p>
            <w:pPr>
              <w:snapToGrid w:val="0"/>
              <w:spacing w:line="400" w:lineRule="exact"/>
              <w:ind w:firstLine="420" w:firstLineChars="200"/>
              <w:rPr>
                <w:rFonts w:ascii="宋体" w:hAnsi="宋体"/>
                <w:i/>
                <w:color w:val="auto"/>
                <w:kern w:val="0"/>
                <w:szCs w:val="21"/>
                <w:highlight w:val="none"/>
              </w:rPr>
            </w:pPr>
            <w:r>
              <w:rPr>
                <w:rFonts w:hint="eastAsia" w:ascii="宋体" w:hAnsi="宋体"/>
                <w:color w:val="auto"/>
                <w:kern w:val="0"/>
                <w:szCs w:val="21"/>
                <w:highlight w:val="none"/>
                <w:lang w:eastAsia="zh-CN"/>
              </w:rPr>
              <w:t>☑</w:t>
            </w:r>
            <w:r>
              <w:rPr>
                <w:rFonts w:hint="eastAsia" w:ascii="宋体" w:hAnsi="宋体"/>
                <w:color w:val="auto"/>
                <w:kern w:val="0"/>
                <w:szCs w:val="21"/>
                <w:highlight w:val="none"/>
              </w:rPr>
              <w:t>B</w:t>
            </w:r>
            <w:r>
              <w:rPr>
                <w:rFonts w:ascii="宋体" w:hAnsi="宋体"/>
                <w:color w:val="auto"/>
                <w:kern w:val="0"/>
                <w:szCs w:val="21"/>
                <w:highlight w:val="none"/>
              </w:rPr>
              <w:t>否，推荐经评审综合得分由高到低排名前三名为中标候选人。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rPr>
              <w:t>7.2</w:t>
            </w:r>
          </w:p>
        </w:tc>
        <w:tc>
          <w:tcPr>
            <w:tcW w:w="1644" w:type="dxa"/>
            <w:vAlign w:val="center"/>
          </w:tcPr>
          <w:p>
            <w:pPr>
              <w:snapToGrid w:val="0"/>
              <w:spacing w:after="62" w:afterLines="20" w:line="400" w:lineRule="exact"/>
              <w:jc w:val="center"/>
              <w:rPr>
                <w:rFonts w:ascii="宋体" w:hAnsi="宋体"/>
                <w:color w:val="auto"/>
                <w:kern w:val="0"/>
                <w:szCs w:val="21"/>
                <w:highlight w:val="none"/>
              </w:rPr>
            </w:pPr>
            <w:r>
              <w:rPr>
                <w:rFonts w:ascii="宋体" w:hAnsi="宋体"/>
                <w:color w:val="auto"/>
                <w:kern w:val="0"/>
                <w:szCs w:val="21"/>
                <w:highlight w:val="none"/>
              </w:rPr>
              <w:t>中标公示</w:t>
            </w:r>
          </w:p>
        </w:tc>
        <w:tc>
          <w:tcPr>
            <w:tcW w:w="6490" w:type="dxa"/>
            <w:vAlign w:val="center"/>
          </w:tcPr>
          <w:p>
            <w:pPr>
              <w:snapToGrid w:val="0"/>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lang w:eastAsia="zh-CN"/>
              </w:rPr>
              <w:t>比选人</w:t>
            </w:r>
            <w:r>
              <w:rPr>
                <w:rFonts w:hint="eastAsia" w:ascii="宋体" w:hAnsi="宋体" w:cs="宋体"/>
                <w:color w:val="auto"/>
                <w:szCs w:val="21"/>
                <w:highlight w:val="none"/>
              </w:rPr>
              <w:t>在收到评标报告后3日内将评标结果在</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u w:val="single"/>
                <w:lang w:eastAsia="zh-CN"/>
              </w:rPr>
              <w:t>重庆经开区投资集团有限公司(http://www.cetzig.com/）</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上进行公示，公示期为3日。为深化信息公开，接受社会监督，本项目将按照《</w:t>
            </w:r>
            <w:r>
              <w:rPr>
                <w:rFonts w:hint="eastAsia" w:ascii="宋体" w:hAnsi="宋体" w:cs="宋体"/>
                <w:color w:val="auto"/>
                <w:szCs w:val="21"/>
                <w:highlight w:val="none"/>
                <w:lang w:eastAsia="zh-CN"/>
              </w:rPr>
              <w:t>比选公告</w:t>
            </w:r>
            <w:r>
              <w:rPr>
                <w:rFonts w:hint="eastAsia" w:ascii="宋体" w:hAnsi="宋体" w:cs="宋体"/>
                <w:color w:val="auto"/>
                <w:szCs w:val="21"/>
                <w:highlight w:val="none"/>
              </w:rPr>
              <w:t>和公示信息发布管理办法》（国家发改委令第10号）的要求，公示内容包括中标候选人名称、排序、投标报价、质量、工期；中标候选人资质、投标业绩名称，中标候选人项目经理姓名及其相关证书名称和编号、投标业绩名称；否决投标情况及理由；提出异议、投诉的渠道和方式。</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7.3.1</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履约担保</w:t>
            </w:r>
          </w:p>
        </w:tc>
        <w:tc>
          <w:tcPr>
            <w:tcW w:w="6490" w:type="dxa"/>
            <w:vAlign w:val="center"/>
          </w:tcPr>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1、中标人是否提供履约担保：</w:t>
            </w:r>
            <w:r>
              <w:rPr>
                <w:rFonts w:hint="eastAsia" w:ascii="宋体" w:hAnsi="宋体"/>
                <w:color w:val="auto"/>
                <w:kern w:val="0"/>
                <w:szCs w:val="21"/>
                <w:highlight w:val="none"/>
                <w:u w:val="single"/>
              </w:rPr>
              <w:t>提供</w:t>
            </w:r>
            <w:r>
              <w:rPr>
                <w:rFonts w:hint="eastAsia" w:ascii="宋体" w:hAnsi="宋体"/>
                <w:color w:val="auto"/>
                <w:kern w:val="0"/>
                <w:szCs w:val="21"/>
                <w:highlight w:val="none"/>
              </w:rPr>
              <w:t>。</w:t>
            </w:r>
            <w:r>
              <w:rPr>
                <w:rFonts w:hint="eastAsia" w:ascii="宋体" w:hAnsi="宋体"/>
                <w:i/>
                <w:color w:val="auto"/>
                <w:kern w:val="0"/>
                <w:szCs w:val="21"/>
                <w:highlight w:val="none"/>
              </w:rPr>
              <w:t>[提示：</w:t>
            </w:r>
            <w:r>
              <w:rPr>
                <w:rFonts w:hint="eastAsia" w:ascii="宋体" w:hAnsi="宋体"/>
                <w:i/>
                <w:color w:val="auto"/>
                <w:kern w:val="0"/>
                <w:szCs w:val="21"/>
                <w:highlight w:val="none"/>
                <w:lang w:eastAsia="zh-CN"/>
              </w:rPr>
              <w:t>比选人</w:t>
            </w:r>
            <w:r>
              <w:rPr>
                <w:rFonts w:hint="eastAsia" w:ascii="宋体" w:hAnsi="宋体"/>
                <w:i/>
                <w:color w:val="auto"/>
                <w:kern w:val="0"/>
                <w:szCs w:val="21"/>
                <w:highlight w:val="none"/>
              </w:rPr>
              <w:t>要求中标人提供履约担保的，应向中标人提供相应的支付担保。]</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2、中标人提供履约担保的形式、金额及期限：</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（1）履约担保的形式：现金或银行保函或现金+银行保函的组合；采用银行保函形式的，保函必须为不可撤销且见索即付；</w:t>
            </w:r>
          </w:p>
          <w:p>
            <w:pPr>
              <w:snapToGrid w:val="0"/>
              <w:spacing w:line="400" w:lineRule="exact"/>
              <w:ind w:firstLine="420" w:firstLineChars="200"/>
              <w:rPr>
                <w:rFonts w:ascii="宋体" w:hAnsi="宋体"/>
                <w:i/>
                <w:color w:val="auto"/>
                <w:kern w:val="0"/>
                <w:szCs w:val="21"/>
                <w:highlight w:val="none"/>
              </w:rPr>
            </w:pPr>
            <w:r>
              <w:rPr>
                <w:rFonts w:hint="eastAsia" w:ascii="宋体" w:hAnsi="宋体"/>
                <w:color w:val="auto"/>
                <w:kern w:val="0"/>
                <w:szCs w:val="21"/>
                <w:highlight w:val="none"/>
              </w:rPr>
              <w:t>（2）履约担保的金额：</w:t>
            </w:r>
            <w:r>
              <w:rPr>
                <w:rFonts w:hint="eastAsia" w:ascii="宋体" w:hAnsi="宋体"/>
                <w:color w:val="auto"/>
                <w:kern w:val="0"/>
                <w:szCs w:val="21"/>
                <w:highlight w:val="none"/>
                <w:u w:val="single"/>
              </w:rPr>
              <w:t xml:space="preserve"> </w:t>
            </w:r>
            <w:r>
              <w:rPr>
                <w:rFonts w:hint="eastAsia" w:ascii="宋体" w:hAnsi="宋体"/>
                <w:color w:val="auto"/>
                <w:kern w:val="0"/>
                <w:szCs w:val="21"/>
                <w:highlight w:val="none"/>
                <w:u w:val="single"/>
                <w:lang w:val="en-US" w:eastAsia="zh-CN"/>
              </w:rPr>
              <w:t>中标金额10%</w:t>
            </w:r>
            <w:r>
              <w:rPr>
                <w:rFonts w:hint="eastAsia" w:ascii="宋体" w:hAnsi="宋体"/>
                <w:color w:val="auto"/>
                <w:kern w:val="0"/>
                <w:szCs w:val="21"/>
                <w:highlight w:val="none"/>
                <w:u w:val="single"/>
              </w:rPr>
              <w:t xml:space="preserve"> </w:t>
            </w:r>
            <w:r>
              <w:rPr>
                <w:rFonts w:hint="eastAsia" w:ascii="宋体" w:hAnsi="宋体"/>
                <w:color w:val="auto"/>
                <w:kern w:val="0"/>
                <w:szCs w:val="21"/>
                <w:highlight w:val="none"/>
              </w:rPr>
              <w:t>；</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（3）履约担保的提交时间：见专用合同条款。</w:t>
            </w:r>
          </w:p>
          <w:p>
            <w:pPr>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（4）履约担保的期限：见专用合同条款。</w:t>
            </w:r>
          </w:p>
          <w:p>
            <w:pPr>
              <w:snapToGrid w:val="0"/>
              <w:spacing w:after="62" w:afterLines="20"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（5）履约担保的退还时间：见专用合同条款。</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rPr>
              <w:t>7.4.1</w:t>
            </w:r>
          </w:p>
        </w:tc>
        <w:tc>
          <w:tcPr>
            <w:tcW w:w="1644" w:type="dxa"/>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rPr>
              <w:t>签订合同</w:t>
            </w:r>
          </w:p>
        </w:tc>
        <w:tc>
          <w:tcPr>
            <w:tcW w:w="6490" w:type="dxa"/>
            <w:vAlign w:val="center"/>
          </w:tcPr>
          <w:p>
            <w:pPr>
              <w:snapToGrid w:val="0"/>
              <w:spacing w:after="62" w:afterLines="20"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依法必须进行招标的项目，中标候选人有《招标投标法实施条例》第七十四条规定行为的，视为特别严重信用不良行为且情节特别严重，按信用记分上限一次性记12分，纳入黑名单管理；中标人有《招标投标法实施条例》第七十四条规定行为的，按中标项目金额10‰罚款上限予以行政处罚，按信用记分上限一次性并处记12分，纳入黑名单管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8.1</w:t>
            </w:r>
          </w:p>
        </w:tc>
        <w:tc>
          <w:tcPr>
            <w:tcW w:w="1644"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重新招标</w:t>
            </w:r>
            <w:r>
              <w:rPr>
                <w:rFonts w:hint="eastAsia" w:ascii="宋体" w:hAnsi="宋体"/>
                <w:color w:val="auto"/>
                <w:kern w:val="0"/>
                <w:szCs w:val="21"/>
                <w:highlight w:val="none"/>
              </w:rPr>
              <w:t>的情形</w:t>
            </w:r>
          </w:p>
        </w:tc>
        <w:tc>
          <w:tcPr>
            <w:tcW w:w="6490" w:type="dxa"/>
            <w:vAlign w:val="center"/>
          </w:tcPr>
          <w:p>
            <w:pPr>
              <w:snapToGrid w:val="0"/>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1.按</w:t>
            </w:r>
            <w:r>
              <w:rPr>
                <w:rFonts w:hint="eastAsia" w:ascii="宋体" w:hAnsi="宋体"/>
                <w:color w:val="auto"/>
                <w:kern w:val="0"/>
                <w:szCs w:val="21"/>
                <w:highlight w:val="none"/>
                <w:lang w:eastAsia="zh-CN"/>
              </w:rPr>
              <w:t>竞选人</w:t>
            </w:r>
            <w:r>
              <w:rPr>
                <w:rFonts w:ascii="宋体" w:hAnsi="宋体"/>
                <w:color w:val="auto"/>
                <w:kern w:val="0"/>
                <w:szCs w:val="21"/>
                <w:highlight w:val="none"/>
              </w:rPr>
              <w:t>须知第8.1（1）执行；</w:t>
            </w:r>
          </w:p>
          <w:p>
            <w:pPr>
              <w:snapToGrid w:val="0"/>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2.按</w:t>
            </w:r>
            <w:r>
              <w:rPr>
                <w:rFonts w:hint="eastAsia" w:ascii="宋体" w:hAnsi="宋体"/>
                <w:color w:val="auto"/>
                <w:kern w:val="0"/>
                <w:szCs w:val="21"/>
                <w:highlight w:val="none"/>
                <w:lang w:eastAsia="zh-CN"/>
              </w:rPr>
              <w:t>竞选人</w:t>
            </w:r>
            <w:r>
              <w:rPr>
                <w:rFonts w:ascii="宋体" w:hAnsi="宋体"/>
                <w:color w:val="auto"/>
                <w:kern w:val="0"/>
                <w:szCs w:val="21"/>
                <w:highlight w:val="none"/>
              </w:rPr>
              <w:t>须知第8.1（2）执行；</w:t>
            </w:r>
          </w:p>
          <w:p>
            <w:pPr>
              <w:widowControl/>
              <w:spacing w:line="400" w:lineRule="exact"/>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3.</w:t>
            </w:r>
            <w:r>
              <w:rPr>
                <w:rFonts w:ascii="宋体" w:hAnsi="宋体"/>
                <w:color w:val="auto"/>
                <w:kern w:val="0"/>
                <w:szCs w:val="21"/>
                <w:highlight w:val="none"/>
              </w:rPr>
              <w:t>按</w:t>
            </w:r>
            <w:r>
              <w:rPr>
                <w:rFonts w:hint="eastAsia" w:ascii="宋体" w:hAnsi="宋体"/>
                <w:color w:val="auto"/>
                <w:kern w:val="0"/>
                <w:szCs w:val="21"/>
                <w:highlight w:val="none"/>
                <w:lang w:eastAsia="zh-CN"/>
              </w:rPr>
              <w:t>竞选人</w:t>
            </w:r>
            <w:r>
              <w:rPr>
                <w:rFonts w:ascii="宋体" w:hAnsi="宋体"/>
                <w:color w:val="auto"/>
                <w:kern w:val="0"/>
                <w:szCs w:val="21"/>
                <w:highlight w:val="none"/>
              </w:rPr>
              <w:t>须知第8.1（3）执行；</w:t>
            </w:r>
          </w:p>
          <w:p>
            <w:pPr>
              <w:widowControl/>
              <w:spacing w:after="62" w:afterLines="20" w:line="400" w:lineRule="exact"/>
              <w:ind w:firstLine="420" w:firstLineChars="200"/>
              <w:rPr>
                <w:rFonts w:ascii="宋体" w:hAnsi="宋体"/>
                <w:color w:val="auto"/>
                <w:kern w:val="0"/>
                <w:szCs w:val="21"/>
                <w:highlight w:val="none"/>
              </w:rPr>
            </w:pPr>
            <w:r>
              <w:rPr>
                <w:rFonts w:ascii="宋体" w:hAnsi="宋体"/>
                <w:snapToGrid w:val="0"/>
                <w:color w:val="auto"/>
                <w:kern w:val="0"/>
                <w:szCs w:val="21"/>
                <w:highlight w:val="none"/>
              </w:rPr>
              <w:t>4.</w:t>
            </w:r>
            <w:r>
              <w:rPr>
                <w:rFonts w:ascii="宋体" w:hAnsi="宋体"/>
                <w:color w:val="auto"/>
                <w:kern w:val="0"/>
                <w:szCs w:val="21"/>
                <w:highlight w:val="none"/>
              </w:rPr>
              <w:t>按</w:t>
            </w:r>
            <w:r>
              <w:rPr>
                <w:rFonts w:hint="eastAsia" w:ascii="宋体" w:hAnsi="宋体"/>
                <w:color w:val="auto"/>
                <w:kern w:val="0"/>
                <w:szCs w:val="21"/>
                <w:highlight w:val="none"/>
                <w:lang w:eastAsia="zh-CN"/>
              </w:rPr>
              <w:t>竞选人</w:t>
            </w:r>
            <w:r>
              <w:rPr>
                <w:rFonts w:ascii="宋体" w:hAnsi="宋体"/>
                <w:color w:val="auto"/>
                <w:kern w:val="0"/>
                <w:szCs w:val="21"/>
                <w:highlight w:val="none"/>
              </w:rPr>
              <w:t>须知第8.1（4）执行</w:t>
            </w:r>
            <w:r>
              <w:rPr>
                <w:rFonts w:hint="eastAsia" w:ascii="宋体" w:hAnsi="宋体"/>
                <w:color w:val="auto"/>
                <w:kern w:val="0"/>
                <w:szCs w:val="21"/>
                <w:highlight w:val="none"/>
              </w:rPr>
              <w:t>。</w:t>
            </w:r>
          </w:p>
          <w:p>
            <w:pPr>
              <w:widowControl/>
              <w:spacing w:after="62" w:afterLines="20"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注：本款只适用于首次招标。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8.2</w:t>
            </w:r>
          </w:p>
        </w:tc>
        <w:tc>
          <w:tcPr>
            <w:tcW w:w="1644" w:type="dxa"/>
            <w:vAlign w:val="center"/>
          </w:tcPr>
          <w:p>
            <w:pPr>
              <w:snapToGrid w:val="0"/>
              <w:spacing w:line="400" w:lineRule="exact"/>
              <w:jc w:val="center"/>
              <w:rPr>
                <w:color w:val="auto"/>
                <w:highlight w:val="none"/>
              </w:rPr>
            </w:pPr>
            <w:bookmarkStart w:id="106" w:name="_Toc430530434"/>
            <w:bookmarkStart w:id="107" w:name="_Toc16930431"/>
            <w:bookmarkStart w:id="108" w:name="_Toc509218709"/>
            <w:bookmarkStart w:id="109" w:name="_Toc13210670"/>
            <w:bookmarkStart w:id="110" w:name="_Toc536628250"/>
            <w:r>
              <w:rPr>
                <w:rFonts w:hint="eastAsia" w:ascii="宋体" w:hAnsi="宋体"/>
                <w:color w:val="auto"/>
                <w:kern w:val="0"/>
                <w:szCs w:val="21"/>
                <w:highlight w:val="none"/>
              </w:rPr>
              <w:t>重新</w:t>
            </w:r>
            <w:r>
              <w:rPr>
                <w:rFonts w:ascii="宋体" w:hAnsi="宋体"/>
                <w:color w:val="auto"/>
                <w:kern w:val="0"/>
                <w:szCs w:val="21"/>
                <w:highlight w:val="none"/>
              </w:rPr>
              <w:t>招标和不再招标</w:t>
            </w:r>
            <w:bookmarkEnd w:id="106"/>
            <w:bookmarkEnd w:id="107"/>
            <w:bookmarkEnd w:id="108"/>
            <w:bookmarkEnd w:id="109"/>
            <w:bookmarkEnd w:id="110"/>
          </w:p>
        </w:tc>
        <w:tc>
          <w:tcPr>
            <w:tcW w:w="6490" w:type="dxa"/>
            <w:vAlign w:val="center"/>
          </w:tcPr>
          <w:p>
            <w:pPr>
              <w:autoSpaceDE w:val="0"/>
              <w:autoSpaceDN w:val="0"/>
              <w:adjustRightInd w:val="0"/>
              <w:snapToGrid w:val="0"/>
              <w:spacing w:after="62" w:afterLines="20" w:line="400" w:lineRule="exact"/>
              <w:ind w:firstLine="420" w:firstLineChars="200"/>
              <w:rPr>
                <w:rFonts w:ascii="宋体" w:hAnsi="宋体"/>
                <w:snapToGrid w:val="0"/>
                <w:color w:val="auto"/>
                <w:kern w:val="0"/>
                <w:szCs w:val="21"/>
                <w:highlight w:val="none"/>
              </w:rPr>
            </w:pPr>
            <w:r>
              <w:rPr>
                <w:rFonts w:hint="eastAsia" w:ascii="宋体" w:hAnsi="宋体"/>
                <w:snapToGrid w:val="0"/>
                <w:color w:val="auto"/>
                <w:kern w:val="0"/>
                <w:szCs w:val="21"/>
                <w:highlight w:val="none"/>
              </w:rPr>
              <w:t>重新招标的</w:t>
            </w:r>
            <w:r>
              <w:rPr>
                <w:rFonts w:hint="eastAsia" w:ascii="宋体" w:hAnsi="宋体"/>
                <w:snapToGrid w:val="0"/>
                <w:color w:val="auto"/>
                <w:kern w:val="0"/>
                <w:szCs w:val="21"/>
                <w:highlight w:val="none"/>
                <w:lang w:eastAsia="zh-CN"/>
              </w:rPr>
              <w:t>竞选人</w:t>
            </w:r>
            <w:r>
              <w:rPr>
                <w:rFonts w:hint="eastAsia" w:ascii="宋体" w:hAnsi="宋体"/>
                <w:snapToGrid w:val="0"/>
                <w:color w:val="auto"/>
                <w:kern w:val="0"/>
                <w:szCs w:val="21"/>
                <w:highlight w:val="none"/>
              </w:rPr>
              <w:t>仍然少于三个的，按照招标投标法律法规规定的程序开标和评标。重新招标经评审有有效</w:t>
            </w:r>
            <w:r>
              <w:rPr>
                <w:rFonts w:hint="eastAsia" w:ascii="宋体" w:hAnsi="宋体"/>
                <w:snapToGrid w:val="0"/>
                <w:color w:val="auto"/>
                <w:kern w:val="0"/>
                <w:szCs w:val="21"/>
                <w:highlight w:val="none"/>
                <w:lang w:eastAsia="zh-CN"/>
              </w:rPr>
              <w:t>竞选人</w:t>
            </w:r>
            <w:r>
              <w:rPr>
                <w:rFonts w:hint="eastAsia" w:ascii="宋体" w:hAnsi="宋体"/>
                <w:snapToGrid w:val="0"/>
                <w:color w:val="auto"/>
                <w:kern w:val="0"/>
                <w:szCs w:val="21"/>
                <w:highlight w:val="none"/>
              </w:rPr>
              <w:t>的，应当依法确定中标候选人；无有效</w:t>
            </w:r>
            <w:r>
              <w:rPr>
                <w:rFonts w:hint="eastAsia" w:ascii="宋体" w:hAnsi="宋体"/>
                <w:snapToGrid w:val="0"/>
                <w:color w:val="auto"/>
                <w:kern w:val="0"/>
                <w:szCs w:val="21"/>
                <w:highlight w:val="none"/>
                <w:lang w:eastAsia="zh-CN"/>
              </w:rPr>
              <w:t>竞选人</w:t>
            </w:r>
            <w:r>
              <w:rPr>
                <w:rFonts w:hint="eastAsia" w:ascii="宋体" w:hAnsi="宋体"/>
                <w:snapToGrid w:val="0"/>
                <w:color w:val="auto"/>
                <w:kern w:val="0"/>
                <w:szCs w:val="21"/>
                <w:highlight w:val="none"/>
              </w:rPr>
              <w:t>的，可以不再进行招标，但是按照国家有关规定需要履行审批、核准、备案手续的依法必须进行招标的项目，应当报原项目投资主管部门审批、核准、备案</w:t>
            </w:r>
            <w:r>
              <w:rPr>
                <w:rFonts w:ascii="宋体" w:hAnsi="宋体"/>
                <w:snapToGrid w:val="0"/>
                <w:color w:val="auto"/>
                <w:kern w:val="0"/>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10</w:t>
            </w:r>
          </w:p>
        </w:tc>
        <w:tc>
          <w:tcPr>
            <w:tcW w:w="8134" w:type="dxa"/>
            <w:gridSpan w:val="2"/>
            <w:vAlign w:val="center"/>
          </w:tcPr>
          <w:p>
            <w:pPr>
              <w:snapToGrid w:val="0"/>
              <w:spacing w:line="400" w:lineRule="exact"/>
              <w:jc w:val="center"/>
              <w:rPr>
                <w:rFonts w:ascii="宋体" w:hAnsi="宋体"/>
                <w:color w:val="auto"/>
                <w:kern w:val="0"/>
                <w:szCs w:val="21"/>
                <w:highlight w:val="none"/>
              </w:rPr>
            </w:pPr>
            <w:r>
              <w:rPr>
                <w:rFonts w:ascii="宋体" w:hAnsi="宋体"/>
                <w:color w:val="auto"/>
                <w:kern w:val="0"/>
                <w:szCs w:val="21"/>
                <w:highlight w:val="none"/>
              </w:rPr>
              <w:t>需要补充的其他内容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pacing w:line="360" w:lineRule="auto"/>
              <w:jc w:val="center"/>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10.</w:t>
            </w:r>
            <w:r>
              <w:rPr>
                <w:rFonts w:hint="eastAsia" w:ascii="宋体" w:hAnsi="宋体" w:eastAsia="宋体" w:cs="宋体"/>
                <w:color w:val="auto"/>
                <w:sz w:val="21"/>
                <w:szCs w:val="21"/>
                <w:highlight w:val="none"/>
                <w:lang w:val="en-US" w:eastAsia="zh-CN"/>
              </w:rPr>
              <w:t>1</w:t>
            </w:r>
          </w:p>
        </w:tc>
        <w:tc>
          <w:tcPr>
            <w:tcW w:w="1644" w:type="dxa"/>
            <w:vAlign w:val="center"/>
          </w:tcPr>
          <w:p>
            <w:pPr>
              <w:spacing w:line="360" w:lineRule="auto"/>
              <w:ind w:firstLine="420" w:firstLineChars="200"/>
              <w:rPr>
                <w:rFonts w:hint="eastAsia" w:ascii="宋体" w:hAnsi="宋体" w:eastAsia="宋体" w:cs="宋体"/>
                <w:color w:val="auto"/>
                <w:kern w:val="0"/>
                <w:sz w:val="21"/>
                <w:szCs w:val="21"/>
                <w:highlight w:val="none"/>
                <w:lang w:val="en-US" w:eastAsia="zh-CN" w:bidi="ar-SA"/>
              </w:rPr>
            </w:pPr>
            <w:r>
              <w:rPr>
                <w:rFonts w:hint="eastAsia" w:ascii="宋体" w:hAnsi="宋体" w:eastAsia="宋体" w:cs="宋体"/>
                <w:color w:val="auto"/>
                <w:kern w:val="0"/>
                <w:sz w:val="21"/>
                <w:szCs w:val="21"/>
                <w:highlight w:val="none"/>
              </w:rPr>
              <w:t>建筑领域实施农民工工资专用账户相关要求</w:t>
            </w:r>
          </w:p>
        </w:tc>
        <w:tc>
          <w:tcPr>
            <w:tcW w:w="6490" w:type="dxa"/>
          </w:tcPr>
          <w:p>
            <w:pPr>
              <w:spacing w:line="360" w:lineRule="auto"/>
              <w:ind w:firstLine="420" w:firstLineChars="200"/>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rPr>
              <w:t>本项目在实施过程中，中标人必须执行《重庆市城乡建设委员会、中国人民银行重庆营业管理部、中国银行业监督管理委员会重庆监管局关于建筑领域实施农民工工资专用账户管理及银行代发制度（试行）的通知》（渝建发〔2017〕13号）及《关于建筑领域农民工工资专户管理网络系统正式运行有关事宜的通知》，实行农民工工资专用账户管理及银行代发制度，填报相应的网络管理系统。</w:t>
            </w:r>
          </w:p>
          <w:p>
            <w:pPr>
              <w:spacing w:line="360" w:lineRule="auto"/>
              <w:ind w:firstLine="420" w:firstLineChars="200"/>
              <w:rPr>
                <w:rFonts w:hint="eastAsia" w:ascii="宋体" w:hAnsi="宋体" w:eastAsia="宋体" w:cs="宋体"/>
                <w:color w:val="auto"/>
                <w:kern w:val="0"/>
                <w:sz w:val="21"/>
                <w:szCs w:val="21"/>
                <w:highlight w:val="none"/>
                <w:lang w:val="en-US" w:eastAsia="zh-CN" w:bidi="ar-SA"/>
              </w:rPr>
            </w:pPr>
            <w:r>
              <w:rPr>
                <w:rFonts w:hint="eastAsia" w:ascii="宋体" w:hAnsi="宋体" w:eastAsia="宋体" w:cs="宋体"/>
                <w:color w:val="auto"/>
                <w:kern w:val="0"/>
                <w:sz w:val="21"/>
                <w:szCs w:val="21"/>
                <w:highlight w:val="none"/>
              </w:rPr>
              <w:t>投标人中标后，在与发包人签订的合同中，必须明确在我市的农民工工资专用账户信息、人工费（工资款）支付比例；在项目开工后，为农民工办理平安卡和工资卡，委托银行通过农民工工资专用账户直接将农民工工资发放至工资卡，并按照有关规定在“工资专户管理网络系统”中填报相关信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hint="eastAsia" w:ascii="宋体" w:hAnsi="宋体" w:eastAsia="宋体"/>
                <w:color w:val="auto"/>
                <w:kern w:val="0"/>
                <w:szCs w:val="21"/>
                <w:highlight w:val="none"/>
                <w:lang w:eastAsia="zh-CN"/>
              </w:rPr>
            </w:pPr>
            <w:r>
              <w:rPr>
                <w:rFonts w:ascii="宋体" w:hAnsi="宋体"/>
                <w:color w:val="auto"/>
                <w:kern w:val="0"/>
                <w:szCs w:val="21"/>
                <w:highlight w:val="none"/>
              </w:rPr>
              <w:t>10.</w:t>
            </w:r>
            <w:r>
              <w:rPr>
                <w:rFonts w:hint="eastAsia" w:ascii="宋体" w:hAnsi="宋体"/>
                <w:color w:val="auto"/>
                <w:kern w:val="0"/>
                <w:szCs w:val="21"/>
                <w:highlight w:val="none"/>
                <w:lang w:val="en-US" w:eastAsia="zh-CN"/>
              </w:rPr>
              <w:t>2</w:t>
            </w:r>
          </w:p>
        </w:tc>
        <w:tc>
          <w:tcPr>
            <w:tcW w:w="1644" w:type="dxa"/>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rPr>
              <w:t>异议、</w:t>
            </w:r>
            <w:r>
              <w:rPr>
                <w:rFonts w:ascii="宋体" w:hAnsi="宋体"/>
                <w:color w:val="auto"/>
                <w:kern w:val="0"/>
                <w:szCs w:val="21"/>
                <w:highlight w:val="none"/>
              </w:rPr>
              <w:t>投诉处理</w:t>
            </w:r>
          </w:p>
        </w:tc>
        <w:tc>
          <w:tcPr>
            <w:tcW w:w="6490" w:type="dxa"/>
            <w:vAlign w:val="center"/>
          </w:tcPr>
          <w:p>
            <w:pPr>
              <w:widowControl/>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1.</w:t>
            </w:r>
            <w:r>
              <w:rPr>
                <w:rFonts w:hint="eastAsia" w:ascii="宋体" w:hAnsi="宋体"/>
                <w:color w:val="auto"/>
                <w:kern w:val="0"/>
                <w:szCs w:val="21"/>
                <w:highlight w:val="none"/>
              </w:rPr>
              <w:t xml:space="preserve"> </w:t>
            </w:r>
            <w:r>
              <w:rPr>
                <w:rFonts w:hint="eastAsia" w:ascii="宋体" w:hAnsi="宋体"/>
                <w:color w:val="auto"/>
                <w:kern w:val="0"/>
                <w:szCs w:val="21"/>
                <w:highlight w:val="none"/>
                <w:lang w:eastAsia="zh-CN"/>
              </w:rPr>
              <w:t>竞选人</w:t>
            </w:r>
            <w:r>
              <w:rPr>
                <w:rFonts w:ascii="宋体" w:hAnsi="宋体"/>
                <w:color w:val="auto"/>
                <w:kern w:val="0"/>
                <w:szCs w:val="21"/>
                <w:highlight w:val="none"/>
              </w:rPr>
              <w:t>或者其他利害关系人就本项目的招标文件</w:t>
            </w:r>
            <w:r>
              <w:rPr>
                <w:rFonts w:hint="eastAsia" w:ascii="宋体" w:hAnsi="宋体"/>
                <w:color w:val="auto"/>
                <w:kern w:val="0"/>
                <w:szCs w:val="21"/>
                <w:highlight w:val="none"/>
              </w:rPr>
              <w:t>（含澄清修改）、开标情况、</w:t>
            </w:r>
            <w:r>
              <w:rPr>
                <w:rFonts w:ascii="宋体" w:hAnsi="宋体"/>
                <w:color w:val="auto"/>
                <w:kern w:val="0"/>
                <w:szCs w:val="21"/>
                <w:highlight w:val="none"/>
              </w:rPr>
              <w:t>评标结果等事项提出异议或投诉</w:t>
            </w:r>
            <w:r>
              <w:rPr>
                <w:rFonts w:hint="eastAsia" w:ascii="宋体" w:hAnsi="宋体"/>
                <w:color w:val="auto"/>
                <w:kern w:val="0"/>
                <w:szCs w:val="21"/>
                <w:highlight w:val="none"/>
              </w:rPr>
              <w:t>的</w:t>
            </w:r>
            <w:r>
              <w:rPr>
                <w:rFonts w:ascii="宋体" w:hAnsi="宋体"/>
                <w:color w:val="auto"/>
                <w:kern w:val="0"/>
                <w:szCs w:val="21"/>
                <w:highlight w:val="none"/>
              </w:rPr>
              <w:t>，应当先向</w:t>
            </w:r>
            <w:r>
              <w:rPr>
                <w:rFonts w:hint="eastAsia" w:ascii="宋体" w:hAnsi="宋体"/>
                <w:color w:val="auto"/>
                <w:kern w:val="0"/>
                <w:szCs w:val="21"/>
                <w:highlight w:val="none"/>
                <w:lang w:eastAsia="zh-CN"/>
              </w:rPr>
              <w:t>比选人</w:t>
            </w:r>
            <w:r>
              <w:rPr>
                <w:rFonts w:ascii="宋体" w:hAnsi="宋体"/>
                <w:color w:val="auto"/>
                <w:kern w:val="0"/>
                <w:szCs w:val="21"/>
                <w:highlight w:val="none"/>
              </w:rPr>
              <w:t>提出异议；</w:t>
            </w:r>
            <w:r>
              <w:rPr>
                <w:rFonts w:hint="eastAsia" w:ascii="宋体" w:hAnsi="宋体"/>
                <w:color w:val="auto"/>
                <w:kern w:val="0"/>
                <w:szCs w:val="21"/>
                <w:highlight w:val="none"/>
                <w:lang w:eastAsia="zh-CN"/>
              </w:rPr>
              <w:t>比选人</w:t>
            </w:r>
            <w:r>
              <w:rPr>
                <w:rFonts w:ascii="宋体" w:hAnsi="宋体"/>
                <w:color w:val="auto"/>
                <w:kern w:val="0"/>
                <w:szCs w:val="21"/>
                <w:highlight w:val="none"/>
              </w:rPr>
              <w:t>应当在规定时间内答复；对</w:t>
            </w:r>
            <w:r>
              <w:rPr>
                <w:rFonts w:hint="eastAsia" w:ascii="宋体" w:hAnsi="宋体"/>
                <w:color w:val="auto"/>
                <w:kern w:val="0"/>
                <w:szCs w:val="21"/>
                <w:highlight w:val="none"/>
                <w:lang w:eastAsia="zh-CN"/>
              </w:rPr>
              <w:t>比选人</w:t>
            </w:r>
            <w:r>
              <w:rPr>
                <w:rFonts w:ascii="宋体" w:hAnsi="宋体"/>
                <w:color w:val="auto"/>
                <w:kern w:val="0"/>
                <w:szCs w:val="21"/>
                <w:highlight w:val="none"/>
              </w:rPr>
              <w:t>的答复不满意，可向行政监督部门投诉。</w:t>
            </w:r>
          </w:p>
          <w:p>
            <w:pPr>
              <w:widowControl/>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提出异议或投诉时应当包括下列内容：</w:t>
            </w:r>
          </w:p>
          <w:p>
            <w:pPr>
              <w:widowControl/>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（1）异议</w:t>
            </w:r>
            <w:r>
              <w:rPr>
                <w:rFonts w:hint="eastAsia" w:ascii="宋体" w:hAnsi="宋体"/>
                <w:color w:val="auto"/>
                <w:kern w:val="0"/>
                <w:szCs w:val="21"/>
                <w:highlight w:val="none"/>
                <w:lang w:val="en-US" w:eastAsia="zh-CN"/>
              </w:rPr>
              <w:t>人</w:t>
            </w:r>
            <w:r>
              <w:rPr>
                <w:rFonts w:hint="eastAsia" w:ascii="宋体" w:hAnsi="宋体"/>
                <w:color w:val="auto"/>
                <w:kern w:val="0"/>
                <w:szCs w:val="21"/>
                <w:highlight w:val="none"/>
              </w:rPr>
              <w:t>或投诉人的名称、地址及有效联系方式；</w:t>
            </w:r>
          </w:p>
          <w:p>
            <w:pPr>
              <w:widowControl/>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（2）被异议</w:t>
            </w:r>
            <w:r>
              <w:rPr>
                <w:rFonts w:hint="eastAsia" w:ascii="宋体" w:hAnsi="宋体"/>
                <w:color w:val="auto"/>
                <w:kern w:val="0"/>
                <w:szCs w:val="21"/>
                <w:highlight w:val="none"/>
                <w:lang w:val="en-US" w:eastAsia="zh-CN"/>
              </w:rPr>
              <w:t>人</w:t>
            </w:r>
            <w:r>
              <w:rPr>
                <w:rFonts w:hint="eastAsia" w:ascii="宋体" w:hAnsi="宋体"/>
                <w:color w:val="auto"/>
                <w:kern w:val="0"/>
                <w:szCs w:val="21"/>
                <w:highlight w:val="none"/>
              </w:rPr>
              <w:t>或</w:t>
            </w:r>
            <w:r>
              <w:rPr>
                <w:rFonts w:hint="eastAsia" w:ascii="宋体" w:hAnsi="宋体"/>
                <w:color w:val="auto"/>
                <w:kern w:val="0"/>
                <w:szCs w:val="21"/>
                <w:highlight w:val="none"/>
                <w:lang w:val="en-US" w:eastAsia="zh-CN"/>
              </w:rPr>
              <w:t>被</w:t>
            </w:r>
            <w:r>
              <w:rPr>
                <w:rFonts w:hint="eastAsia" w:ascii="宋体" w:hAnsi="宋体"/>
                <w:color w:val="auto"/>
                <w:kern w:val="0"/>
                <w:szCs w:val="21"/>
                <w:highlight w:val="none"/>
              </w:rPr>
              <w:t>投诉人的名称、地址及有效联系方式；</w:t>
            </w:r>
          </w:p>
          <w:p>
            <w:pPr>
              <w:widowControl/>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（3）异议或投诉事项的基本事实；</w:t>
            </w:r>
          </w:p>
          <w:p>
            <w:pPr>
              <w:widowControl/>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（4）请求及主张；</w:t>
            </w:r>
          </w:p>
          <w:p>
            <w:pPr>
              <w:widowControl/>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（5）涉及事项的证据、证明材料。</w:t>
            </w:r>
          </w:p>
          <w:p>
            <w:pPr>
              <w:widowControl/>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异议人或投诉人是法人的，异议书或投诉书必须由其法定代表人或者委托代理人签名并加盖单位公章；异议人或投诉人是其他组织或者自然人的，异议书或投诉书必须由其主要负责人签名或者异议人（或投诉人）本人签名，并附有效身份证明。如有关材料是外文，应当同时提供中文译本。</w:t>
            </w:r>
          </w:p>
          <w:p>
            <w:pPr>
              <w:widowControl/>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2.</w:t>
            </w:r>
            <w:r>
              <w:rPr>
                <w:rFonts w:hint="eastAsia" w:ascii="宋体" w:hAnsi="宋体"/>
                <w:color w:val="auto"/>
                <w:kern w:val="0"/>
                <w:szCs w:val="21"/>
                <w:highlight w:val="none"/>
              </w:rPr>
              <w:t xml:space="preserve"> </w:t>
            </w:r>
            <w:r>
              <w:rPr>
                <w:rFonts w:ascii="宋体" w:hAnsi="宋体"/>
                <w:color w:val="auto"/>
                <w:kern w:val="0"/>
                <w:szCs w:val="21"/>
                <w:highlight w:val="none"/>
              </w:rPr>
              <w:t>行政监督部门依照《</w:t>
            </w:r>
            <w:r>
              <w:rPr>
                <w:rFonts w:hint="eastAsia" w:ascii="宋体" w:hAnsi="宋体"/>
                <w:color w:val="auto"/>
                <w:kern w:val="0"/>
                <w:szCs w:val="21"/>
                <w:highlight w:val="none"/>
              </w:rPr>
              <w:t>中华人民共和国</w:t>
            </w:r>
            <w:r>
              <w:rPr>
                <w:rFonts w:ascii="宋体" w:hAnsi="宋体"/>
                <w:color w:val="auto"/>
                <w:kern w:val="0"/>
                <w:szCs w:val="21"/>
                <w:highlight w:val="none"/>
              </w:rPr>
              <w:t>招标投标法》、《</w:t>
            </w:r>
            <w:r>
              <w:rPr>
                <w:rFonts w:hint="eastAsia" w:ascii="宋体" w:hAnsi="宋体"/>
                <w:color w:val="auto"/>
                <w:kern w:val="0"/>
                <w:szCs w:val="21"/>
                <w:highlight w:val="none"/>
              </w:rPr>
              <w:t>中华人民共和国</w:t>
            </w:r>
            <w:r>
              <w:rPr>
                <w:rFonts w:ascii="宋体" w:hAnsi="宋体"/>
                <w:color w:val="auto"/>
                <w:kern w:val="0"/>
                <w:szCs w:val="21"/>
                <w:highlight w:val="none"/>
              </w:rPr>
              <w:t>招标投标法实施条例》、《重庆市招标投标条例》、《工程建设项目招标投标活动投诉处理办法》（七部委令第11号（根据九部门2013年第23号令修正））、</w:t>
            </w:r>
            <w:r>
              <w:rPr>
                <w:rFonts w:hint="eastAsia" w:ascii="宋体" w:hAnsi="宋体" w:eastAsia="宋体" w:cs="宋体"/>
                <w:color w:val="auto"/>
                <w:kern w:val="0"/>
                <w:szCs w:val="21"/>
                <w:highlight w:val="none"/>
              </w:rPr>
              <w:t>《关于印发&lt;重庆市招标投标活动投诉处理实施细则（修订）&gt;的通知》（渝公管发〔2021〕54号）</w:t>
            </w:r>
            <w:r>
              <w:rPr>
                <w:rFonts w:ascii="宋体" w:hAnsi="宋体"/>
                <w:color w:val="auto"/>
                <w:kern w:val="0"/>
                <w:szCs w:val="21"/>
                <w:highlight w:val="none"/>
              </w:rPr>
              <w:t>等法律法规文件处理投诉。</w:t>
            </w:r>
          </w:p>
          <w:p>
            <w:pPr>
              <w:snapToGrid w:val="0"/>
              <w:spacing w:after="124" w:afterLines="40"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3. 根据《重庆市工程建设领域招标投标信用管理暂行办法》的规定，</w:t>
            </w:r>
            <w:r>
              <w:rPr>
                <w:rFonts w:hint="eastAsia" w:ascii="宋体" w:hAnsi="宋体"/>
                <w:color w:val="auto"/>
                <w:kern w:val="0"/>
                <w:szCs w:val="21"/>
                <w:highlight w:val="none"/>
                <w:lang w:eastAsia="zh-CN"/>
              </w:rPr>
              <w:t>竞选人</w:t>
            </w:r>
            <w:r>
              <w:rPr>
                <w:rFonts w:hint="eastAsia" w:ascii="宋体" w:hAnsi="宋体"/>
                <w:color w:val="auto"/>
                <w:kern w:val="0"/>
                <w:szCs w:val="21"/>
                <w:highlight w:val="none"/>
              </w:rPr>
              <w:t>捏造事实、伪造材料，或者以非法手段获取证明材料进行质疑或者投诉的，将被列入黑名单管理；</w:t>
            </w:r>
            <w:r>
              <w:rPr>
                <w:rFonts w:ascii="宋体" w:hAnsi="宋体"/>
                <w:color w:val="auto"/>
                <w:kern w:val="0"/>
                <w:szCs w:val="21"/>
                <w:highlight w:val="none"/>
              </w:rPr>
              <w:t>给他人造成损失的，依法承担赔偿责任。</w:t>
            </w:r>
          </w:p>
          <w:p>
            <w:pPr>
              <w:widowControl/>
              <w:spacing w:line="400" w:lineRule="exact"/>
              <w:ind w:firstLine="420" w:firstLineChars="200"/>
              <w:rPr>
                <w:rFonts w:hint="default" w:ascii="宋体" w:hAnsi="宋体"/>
                <w:color w:val="auto"/>
                <w:kern w:val="0"/>
                <w:szCs w:val="21"/>
                <w:highlight w:val="none"/>
                <w:lang w:val="en-US"/>
              </w:rPr>
            </w:pPr>
            <w:r>
              <w:rPr>
                <w:rFonts w:hint="eastAsia" w:ascii="宋体" w:hAnsi="宋体"/>
                <w:color w:val="auto"/>
                <w:kern w:val="0"/>
                <w:szCs w:val="21"/>
                <w:highlight w:val="none"/>
              </w:rPr>
              <w:t>4.异议受理单位：</w:t>
            </w:r>
            <w:r>
              <w:rPr>
                <w:rFonts w:hint="eastAsia" w:ascii="宋体" w:hAnsi="宋体"/>
                <w:color w:val="auto"/>
                <w:kern w:val="0"/>
                <w:szCs w:val="21"/>
                <w:highlight w:val="none"/>
                <w:lang w:eastAsia="zh-CN"/>
              </w:rPr>
              <w:t>重庆广阳岛生态城置地有限公司</w:t>
            </w:r>
          </w:p>
          <w:p>
            <w:pPr>
              <w:widowControl/>
              <w:spacing w:line="400" w:lineRule="exact"/>
              <w:ind w:firstLine="630" w:firstLineChars="300"/>
              <w:rPr>
                <w:rFonts w:hint="default" w:ascii="宋体" w:hAnsi="宋体" w:eastAsia="宋体"/>
                <w:color w:val="auto"/>
                <w:kern w:val="0"/>
                <w:szCs w:val="21"/>
                <w:highlight w:val="none"/>
                <w:lang w:val="en-US" w:eastAsia="zh-CN"/>
              </w:rPr>
            </w:pPr>
            <w:r>
              <w:rPr>
                <w:rFonts w:hint="eastAsia" w:ascii="宋体" w:hAnsi="宋体"/>
                <w:color w:val="auto"/>
                <w:kern w:val="0"/>
                <w:szCs w:val="21"/>
                <w:highlight w:val="none"/>
              </w:rPr>
              <w:t>联系电话：023-62913312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hint="eastAsia" w:ascii="宋体" w:hAnsi="宋体" w:eastAsia="宋体" w:cs="Times New Roman"/>
                <w:strike w:val="0"/>
                <w:dstrike w:val="0"/>
                <w:color w:val="auto"/>
                <w:kern w:val="0"/>
                <w:sz w:val="21"/>
                <w:szCs w:val="21"/>
                <w:highlight w:val="none"/>
                <w:lang w:val="en-US" w:eastAsia="zh-CN" w:bidi="ar-SA"/>
              </w:rPr>
            </w:pPr>
            <w:r>
              <w:rPr>
                <w:rFonts w:hint="eastAsia" w:ascii="宋体" w:hAnsi="宋体"/>
                <w:strike w:val="0"/>
                <w:dstrike w:val="0"/>
                <w:color w:val="auto"/>
                <w:kern w:val="0"/>
                <w:szCs w:val="21"/>
                <w:highlight w:val="none"/>
              </w:rPr>
              <w:t>10.</w:t>
            </w:r>
            <w:r>
              <w:rPr>
                <w:rFonts w:hint="eastAsia" w:ascii="宋体" w:hAnsi="宋体"/>
                <w:strike w:val="0"/>
                <w:dstrike w:val="0"/>
                <w:color w:val="auto"/>
                <w:kern w:val="0"/>
                <w:szCs w:val="21"/>
                <w:highlight w:val="none"/>
                <w:lang w:val="en-US" w:eastAsia="zh-CN"/>
              </w:rPr>
              <w:t>3</w:t>
            </w:r>
          </w:p>
        </w:tc>
        <w:tc>
          <w:tcPr>
            <w:tcW w:w="1644" w:type="dxa"/>
            <w:vAlign w:val="center"/>
          </w:tcPr>
          <w:p>
            <w:pPr>
              <w:snapToGrid w:val="0"/>
              <w:spacing w:line="400" w:lineRule="exact"/>
              <w:jc w:val="center"/>
              <w:rPr>
                <w:rFonts w:ascii="宋体" w:hAnsi="宋体"/>
                <w:strike w:val="0"/>
                <w:dstrike w:val="0"/>
                <w:color w:val="auto"/>
                <w:kern w:val="0"/>
                <w:szCs w:val="21"/>
                <w:highlight w:val="none"/>
              </w:rPr>
            </w:pPr>
            <w:r>
              <w:rPr>
                <w:rFonts w:hint="eastAsia" w:ascii="宋体" w:hAnsi="宋体"/>
                <w:strike w:val="0"/>
                <w:dstrike w:val="0"/>
                <w:color w:val="auto"/>
                <w:kern w:val="0"/>
                <w:szCs w:val="21"/>
                <w:highlight w:val="none"/>
              </w:rPr>
              <w:t>低价风险担保</w:t>
            </w:r>
          </w:p>
          <w:p>
            <w:pPr>
              <w:snapToGrid w:val="0"/>
              <w:spacing w:line="400" w:lineRule="exact"/>
              <w:jc w:val="center"/>
              <w:rPr>
                <w:rFonts w:hint="eastAsia" w:ascii="宋体" w:hAnsi="宋体" w:eastAsia="宋体" w:cs="Times New Roman"/>
                <w:strike w:val="0"/>
                <w:dstrike w:val="0"/>
                <w:color w:val="auto"/>
                <w:kern w:val="0"/>
                <w:sz w:val="21"/>
                <w:szCs w:val="21"/>
                <w:highlight w:val="none"/>
                <w:lang w:val="en-US" w:eastAsia="zh-CN" w:bidi="ar-SA"/>
              </w:rPr>
            </w:pPr>
            <w:r>
              <w:rPr>
                <w:rFonts w:hint="eastAsia" w:ascii="宋体" w:hAnsi="宋体"/>
                <w:strike w:val="0"/>
                <w:dstrike w:val="0"/>
                <w:color w:val="auto"/>
                <w:kern w:val="0"/>
                <w:szCs w:val="21"/>
                <w:highlight w:val="none"/>
              </w:rPr>
              <w:t>（采用经评审的最低投标价法适用）</w:t>
            </w:r>
          </w:p>
        </w:tc>
        <w:tc>
          <w:tcPr>
            <w:tcW w:w="6490" w:type="dxa"/>
            <w:vAlign w:val="center"/>
          </w:tcPr>
          <w:p>
            <w:pPr>
              <w:autoSpaceDE w:val="0"/>
              <w:autoSpaceDN w:val="0"/>
              <w:adjustRightInd w:val="0"/>
              <w:snapToGrid w:val="0"/>
              <w:spacing w:line="400" w:lineRule="exact"/>
              <w:ind w:firstLine="420" w:firstLineChars="200"/>
              <w:rPr>
                <w:rFonts w:hint="eastAsia" w:asciiTheme="minorEastAsia" w:hAnsiTheme="minorEastAsia" w:eastAsiaTheme="minorEastAsia" w:cstheme="minorEastAsia"/>
                <w:strike w:val="0"/>
                <w:dstrike w:val="0"/>
                <w:color w:val="auto"/>
                <w:kern w:val="0"/>
                <w:sz w:val="21"/>
                <w:szCs w:val="21"/>
                <w:highlight w:val="none"/>
              </w:rPr>
            </w:pPr>
            <w:r>
              <w:rPr>
                <w:rFonts w:hint="eastAsia" w:asciiTheme="minorEastAsia" w:hAnsiTheme="minorEastAsia" w:eastAsiaTheme="minorEastAsia" w:cstheme="minorEastAsia"/>
                <w:strike w:val="0"/>
                <w:dstrike w:val="0"/>
                <w:color w:val="auto"/>
                <w:kern w:val="0"/>
                <w:sz w:val="21"/>
                <w:szCs w:val="21"/>
                <w:highlight w:val="none"/>
              </w:rPr>
              <w:t>1、低价风险担保：中标价低于最高限价的85%时提供，如不按时足额提供，视为中标人放弃中标，</w:t>
            </w:r>
            <w:r>
              <w:rPr>
                <w:rFonts w:hint="eastAsia" w:asciiTheme="minorEastAsia" w:hAnsiTheme="minorEastAsia" w:eastAsiaTheme="minorEastAsia" w:cstheme="minorEastAsia"/>
                <w:strike w:val="0"/>
                <w:dstrike w:val="0"/>
                <w:color w:val="auto"/>
                <w:kern w:val="0"/>
                <w:sz w:val="21"/>
                <w:szCs w:val="21"/>
                <w:highlight w:val="none"/>
                <w:lang w:eastAsia="zh-CN"/>
              </w:rPr>
              <w:t>比选人</w:t>
            </w:r>
            <w:r>
              <w:rPr>
                <w:rFonts w:hint="eastAsia" w:asciiTheme="minorEastAsia" w:hAnsiTheme="minorEastAsia" w:eastAsiaTheme="minorEastAsia" w:cstheme="minorEastAsia"/>
                <w:strike w:val="0"/>
                <w:dstrike w:val="0"/>
                <w:color w:val="auto"/>
                <w:kern w:val="0"/>
                <w:sz w:val="21"/>
                <w:szCs w:val="21"/>
                <w:highlight w:val="none"/>
              </w:rPr>
              <w:t>有权不退还其投标保证金，</w:t>
            </w:r>
            <w:r>
              <w:rPr>
                <w:rFonts w:hint="eastAsia" w:asciiTheme="minorEastAsia" w:hAnsiTheme="minorEastAsia" w:eastAsiaTheme="minorEastAsia" w:cstheme="minorEastAsia"/>
                <w:strike w:val="0"/>
                <w:dstrike w:val="0"/>
                <w:color w:val="auto"/>
                <w:sz w:val="21"/>
                <w:szCs w:val="21"/>
                <w:highlight w:val="none"/>
              </w:rPr>
              <w:t>并报招标投标行政监督部门按照信用管理办法的规定处理，对中标人的不良行为直接记12分，纳入重点关注名单。若投标人为联合体，由联合体牵头人或按照联合体协议的约定提交低价风险担保</w:t>
            </w:r>
            <w:r>
              <w:rPr>
                <w:rFonts w:hint="eastAsia" w:asciiTheme="minorEastAsia" w:hAnsiTheme="minorEastAsia" w:eastAsiaTheme="minorEastAsia" w:cstheme="minorEastAsia"/>
                <w:strike w:val="0"/>
                <w:dstrike w:val="0"/>
                <w:color w:val="auto"/>
                <w:kern w:val="0"/>
                <w:sz w:val="21"/>
                <w:szCs w:val="21"/>
                <w:highlight w:val="none"/>
              </w:rPr>
              <w:t>。</w:t>
            </w:r>
          </w:p>
          <w:p>
            <w:pPr>
              <w:autoSpaceDE w:val="0"/>
              <w:autoSpaceDN w:val="0"/>
              <w:adjustRightInd w:val="0"/>
              <w:snapToGrid w:val="0"/>
              <w:spacing w:line="400" w:lineRule="exact"/>
              <w:ind w:firstLine="420" w:firstLineChars="200"/>
              <w:rPr>
                <w:rFonts w:hint="eastAsia" w:asciiTheme="minorEastAsia" w:hAnsiTheme="minorEastAsia" w:eastAsiaTheme="minorEastAsia" w:cstheme="minorEastAsia"/>
                <w:strike w:val="0"/>
                <w:dstrike w:val="0"/>
                <w:color w:val="auto"/>
                <w:kern w:val="0"/>
                <w:sz w:val="21"/>
                <w:szCs w:val="21"/>
                <w:highlight w:val="none"/>
              </w:rPr>
            </w:pPr>
            <w:r>
              <w:rPr>
                <w:rFonts w:hint="eastAsia" w:asciiTheme="minorEastAsia" w:hAnsiTheme="minorEastAsia" w:eastAsiaTheme="minorEastAsia" w:cstheme="minorEastAsia"/>
                <w:strike w:val="0"/>
                <w:dstrike w:val="0"/>
                <w:color w:val="auto"/>
                <w:kern w:val="0"/>
                <w:sz w:val="21"/>
                <w:szCs w:val="21"/>
                <w:highlight w:val="none"/>
              </w:rPr>
              <w:t>2、中标人提供低价风险担保的形式、金额及期限：</w:t>
            </w:r>
          </w:p>
          <w:p>
            <w:pPr>
              <w:autoSpaceDE w:val="0"/>
              <w:autoSpaceDN w:val="0"/>
              <w:adjustRightInd w:val="0"/>
              <w:snapToGrid w:val="0"/>
              <w:spacing w:line="400" w:lineRule="exact"/>
              <w:ind w:firstLine="420" w:firstLineChars="200"/>
              <w:rPr>
                <w:rFonts w:hint="eastAsia" w:asciiTheme="minorEastAsia" w:hAnsiTheme="minorEastAsia" w:eastAsiaTheme="minorEastAsia" w:cstheme="minorEastAsia"/>
                <w:strike w:val="0"/>
                <w:dstrike w:val="0"/>
                <w:color w:val="auto"/>
                <w:kern w:val="0"/>
                <w:sz w:val="21"/>
                <w:szCs w:val="21"/>
                <w:highlight w:val="none"/>
              </w:rPr>
            </w:pPr>
            <w:r>
              <w:rPr>
                <w:rFonts w:hint="eastAsia" w:asciiTheme="minorEastAsia" w:hAnsiTheme="minorEastAsia" w:eastAsiaTheme="minorEastAsia" w:cstheme="minorEastAsia"/>
                <w:strike w:val="0"/>
                <w:dstrike w:val="0"/>
                <w:color w:val="auto"/>
                <w:kern w:val="0"/>
                <w:sz w:val="21"/>
                <w:szCs w:val="21"/>
                <w:highlight w:val="none"/>
              </w:rPr>
              <w:t>（1）低价风险担保的形式：现金或银行保函</w:t>
            </w:r>
            <w:r>
              <w:rPr>
                <w:rFonts w:hint="eastAsia" w:asciiTheme="minorEastAsia" w:hAnsiTheme="minorEastAsia" w:eastAsiaTheme="minorEastAsia" w:cstheme="minorEastAsia"/>
                <w:strike w:val="0"/>
                <w:dstrike w:val="0"/>
                <w:color w:val="auto"/>
                <w:sz w:val="21"/>
                <w:szCs w:val="21"/>
                <w:highlight w:val="none"/>
              </w:rPr>
              <w:t>或现金+银行保函的组合；采用银行保函形式的，保函必须为不可撤销、不可转让且见索即付的独立保函，保函格式详见第四章合同条款及格式附件，中标人出具保函时，不得修改“低价风险担保保函”名称，也不得对低价风险担保保函示范文本中付款条件等实质性内容进行修改，否则视为不符合招标文件规定</w:t>
            </w:r>
            <w:r>
              <w:rPr>
                <w:rFonts w:hint="eastAsia" w:asciiTheme="minorEastAsia" w:hAnsiTheme="minorEastAsia" w:eastAsiaTheme="minorEastAsia" w:cstheme="minorEastAsia"/>
                <w:strike w:val="0"/>
                <w:dstrike w:val="0"/>
                <w:color w:val="auto"/>
                <w:kern w:val="0"/>
                <w:sz w:val="21"/>
                <w:szCs w:val="21"/>
                <w:highlight w:val="none"/>
              </w:rPr>
              <w:t>。</w:t>
            </w:r>
          </w:p>
          <w:p>
            <w:pPr>
              <w:autoSpaceDE w:val="0"/>
              <w:autoSpaceDN w:val="0"/>
              <w:adjustRightInd w:val="0"/>
              <w:snapToGrid w:val="0"/>
              <w:spacing w:line="400" w:lineRule="exact"/>
              <w:ind w:firstLine="420" w:firstLineChars="200"/>
              <w:rPr>
                <w:rFonts w:hint="eastAsia" w:asciiTheme="minorEastAsia" w:hAnsiTheme="minorEastAsia" w:eastAsiaTheme="minorEastAsia" w:cstheme="minorEastAsia"/>
                <w:strike w:val="0"/>
                <w:dstrike w:val="0"/>
                <w:color w:val="auto"/>
                <w:sz w:val="21"/>
                <w:szCs w:val="21"/>
                <w:highlight w:val="none"/>
              </w:rPr>
            </w:pPr>
            <w:r>
              <w:rPr>
                <w:rFonts w:hint="eastAsia" w:asciiTheme="minorEastAsia" w:hAnsiTheme="minorEastAsia" w:eastAsiaTheme="minorEastAsia" w:cstheme="minorEastAsia"/>
                <w:strike w:val="0"/>
                <w:dstrike w:val="0"/>
                <w:color w:val="auto"/>
                <w:kern w:val="0"/>
                <w:sz w:val="21"/>
                <w:szCs w:val="21"/>
                <w:highlight w:val="none"/>
              </w:rPr>
              <w:t>（2）低价风险担保的金额：（最高限价×85%-中标价）×</w:t>
            </w:r>
            <w:r>
              <w:rPr>
                <w:rFonts w:hint="eastAsia" w:asciiTheme="minorEastAsia" w:hAnsiTheme="minorEastAsia" w:eastAsiaTheme="minorEastAsia" w:cstheme="minorEastAsia"/>
                <w:strike w:val="0"/>
                <w:dstrike w:val="0"/>
                <w:color w:val="auto"/>
                <w:kern w:val="0"/>
                <w:sz w:val="21"/>
                <w:szCs w:val="21"/>
                <w:highlight w:val="none"/>
                <w:lang w:eastAsia="zh-CN"/>
              </w:rPr>
              <w:t>☑</w:t>
            </w:r>
            <w:r>
              <w:rPr>
                <w:rFonts w:hint="eastAsia" w:asciiTheme="minorEastAsia" w:hAnsiTheme="minorEastAsia" w:eastAsiaTheme="minorEastAsia" w:cstheme="minorEastAsia"/>
                <w:strike w:val="0"/>
                <w:dstrike w:val="0"/>
                <w:color w:val="auto"/>
                <w:kern w:val="0"/>
                <w:sz w:val="21"/>
                <w:szCs w:val="21"/>
                <w:highlight w:val="none"/>
              </w:rPr>
              <w:t>3</w:t>
            </w:r>
            <w:r>
              <w:rPr>
                <w:rStyle w:val="54"/>
                <w:rFonts w:hint="eastAsia" w:asciiTheme="minorEastAsia" w:hAnsiTheme="minorEastAsia" w:eastAsiaTheme="minorEastAsia" w:cstheme="minorEastAsia"/>
                <w:strike w:val="0"/>
                <w:dstrike w:val="0"/>
                <w:color w:val="auto"/>
                <w:sz w:val="21"/>
                <w:szCs w:val="21"/>
                <w:highlight w:val="none"/>
              </w:rPr>
              <w:t>，且最高不超过最高限价的85%，</w:t>
            </w:r>
            <w:r>
              <w:rPr>
                <w:rFonts w:hint="eastAsia" w:asciiTheme="minorEastAsia" w:hAnsiTheme="minorEastAsia" w:eastAsiaTheme="minorEastAsia" w:cstheme="minorEastAsia"/>
                <w:strike w:val="0"/>
                <w:dstrike w:val="0"/>
                <w:color w:val="auto"/>
                <w:sz w:val="21"/>
                <w:szCs w:val="21"/>
                <w:highlight w:val="none"/>
              </w:rPr>
              <w:t>红名单中的中标人低价风险担保金额为应提交金额的</w:t>
            </w:r>
            <w:r>
              <w:rPr>
                <w:rFonts w:hint="eastAsia" w:asciiTheme="minorEastAsia" w:hAnsiTheme="minorEastAsia" w:eastAsiaTheme="minorEastAsia" w:cstheme="minorEastAsia"/>
                <w:strike w:val="0"/>
                <w:dstrike w:val="0"/>
                <w:color w:val="auto"/>
                <w:sz w:val="21"/>
                <w:szCs w:val="21"/>
                <w:highlight w:val="none"/>
                <w:u w:val="single"/>
              </w:rPr>
              <w:t xml:space="preserve">  </w:t>
            </w:r>
            <w:r>
              <w:rPr>
                <w:rFonts w:hint="eastAsia" w:asciiTheme="minorEastAsia" w:hAnsiTheme="minorEastAsia" w:eastAsiaTheme="minorEastAsia" w:cstheme="minorEastAsia"/>
                <w:strike w:val="0"/>
                <w:dstrike w:val="0"/>
                <w:color w:val="auto"/>
                <w:sz w:val="21"/>
                <w:szCs w:val="21"/>
                <w:highlight w:val="none"/>
                <w:u w:val="single"/>
                <w:lang w:val="en-US" w:eastAsia="zh-CN"/>
              </w:rPr>
              <w:t>50%</w:t>
            </w:r>
            <w:r>
              <w:rPr>
                <w:rFonts w:hint="eastAsia" w:asciiTheme="minorEastAsia" w:hAnsiTheme="minorEastAsia" w:eastAsiaTheme="minorEastAsia" w:cstheme="minorEastAsia"/>
                <w:strike w:val="0"/>
                <w:dstrike w:val="0"/>
                <w:color w:val="auto"/>
                <w:sz w:val="21"/>
                <w:szCs w:val="21"/>
                <w:highlight w:val="none"/>
                <w:u w:val="single"/>
              </w:rPr>
              <w:t xml:space="preserve"> </w:t>
            </w:r>
            <w:r>
              <w:rPr>
                <w:rFonts w:hint="eastAsia" w:asciiTheme="minorEastAsia" w:hAnsiTheme="minorEastAsia" w:eastAsiaTheme="minorEastAsia" w:cstheme="minorEastAsia"/>
                <w:strike w:val="0"/>
                <w:dstrike w:val="0"/>
                <w:color w:val="auto"/>
                <w:sz w:val="21"/>
                <w:szCs w:val="21"/>
                <w:highlight w:val="none"/>
              </w:rPr>
              <w:t>（50%～80%）；联合体中标的，须联合体牵头人在红名单中。中标人是否属于红名单</w:t>
            </w:r>
            <w:r>
              <w:rPr>
                <w:rFonts w:hint="eastAsia" w:asciiTheme="minorEastAsia" w:hAnsiTheme="minorEastAsia" w:eastAsiaTheme="minorEastAsia" w:cstheme="minorEastAsia"/>
                <w:strike w:val="0"/>
                <w:dstrike w:val="0"/>
                <w:color w:val="auto"/>
                <w:sz w:val="21"/>
                <w:szCs w:val="21"/>
                <w:highlight w:val="none"/>
                <w:lang w:eastAsia="zh-CN"/>
              </w:rPr>
              <w:t>☑</w:t>
            </w:r>
            <w:r>
              <w:rPr>
                <w:rFonts w:hint="eastAsia" w:asciiTheme="minorEastAsia" w:hAnsiTheme="minorEastAsia" w:eastAsiaTheme="minorEastAsia" w:cstheme="minorEastAsia"/>
                <w:strike w:val="0"/>
                <w:dstrike w:val="0"/>
                <w:color w:val="auto"/>
                <w:sz w:val="21"/>
                <w:szCs w:val="21"/>
                <w:highlight w:val="none"/>
              </w:rPr>
              <w:t>方式一：以开标环节信用状况查询结果为准；。</w:t>
            </w:r>
          </w:p>
          <w:p>
            <w:pPr>
              <w:autoSpaceDE w:val="0"/>
              <w:autoSpaceDN w:val="0"/>
              <w:adjustRightInd w:val="0"/>
              <w:snapToGrid w:val="0"/>
              <w:spacing w:line="400" w:lineRule="exact"/>
              <w:ind w:firstLine="420" w:firstLineChars="200"/>
              <w:rPr>
                <w:rFonts w:hint="eastAsia" w:asciiTheme="minorEastAsia" w:hAnsiTheme="minorEastAsia" w:eastAsiaTheme="minorEastAsia" w:cstheme="minorEastAsia"/>
                <w:strike w:val="0"/>
                <w:dstrike w:val="0"/>
                <w:color w:val="auto"/>
                <w:kern w:val="0"/>
                <w:sz w:val="21"/>
                <w:szCs w:val="21"/>
                <w:highlight w:val="none"/>
              </w:rPr>
            </w:pPr>
            <w:r>
              <w:rPr>
                <w:rFonts w:hint="eastAsia" w:asciiTheme="minorEastAsia" w:hAnsiTheme="minorEastAsia" w:eastAsiaTheme="minorEastAsia" w:cstheme="minorEastAsia"/>
                <w:strike w:val="0"/>
                <w:dstrike w:val="0"/>
                <w:color w:val="auto"/>
                <w:kern w:val="0"/>
                <w:sz w:val="21"/>
                <w:szCs w:val="21"/>
                <w:highlight w:val="none"/>
              </w:rPr>
              <w:t>（3）低价风险担保送达</w:t>
            </w:r>
            <w:r>
              <w:rPr>
                <w:rFonts w:hint="eastAsia" w:asciiTheme="minorEastAsia" w:hAnsiTheme="minorEastAsia" w:eastAsiaTheme="minorEastAsia" w:cstheme="minorEastAsia"/>
                <w:strike w:val="0"/>
                <w:dstrike w:val="0"/>
                <w:color w:val="auto"/>
                <w:kern w:val="0"/>
                <w:sz w:val="21"/>
                <w:szCs w:val="21"/>
                <w:highlight w:val="none"/>
                <w:lang w:eastAsia="zh-CN"/>
              </w:rPr>
              <w:t>比选人</w:t>
            </w:r>
            <w:r>
              <w:rPr>
                <w:rFonts w:hint="eastAsia" w:asciiTheme="minorEastAsia" w:hAnsiTheme="minorEastAsia" w:eastAsiaTheme="minorEastAsia" w:cstheme="minorEastAsia"/>
                <w:strike w:val="0"/>
                <w:dstrike w:val="0"/>
                <w:color w:val="auto"/>
                <w:kern w:val="0"/>
                <w:sz w:val="21"/>
                <w:szCs w:val="21"/>
                <w:highlight w:val="none"/>
              </w:rPr>
              <w:t>的时间：</w:t>
            </w:r>
            <w:r>
              <w:rPr>
                <w:rFonts w:hint="eastAsia" w:asciiTheme="minorEastAsia" w:hAnsiTheme="minorEastAsia" w:eastAsiaTheme="minorEastAsia" w:cstheme="minorEastAsia"/>
                <w:strike w:val="0"/>
                <w:dstrike w:val="0"/>
                <w:color w:val="auto"/>
                <w:sz w:val="21"/>
                <w:szCs w:val="21"/>
                <w:highlight w:val="none"/>
              </w:rPr>
              <w:t>从</w:t>
            </w:r>
            <w:r>
              <w:rPr>
                <w:rFonts w:hint="eastAsia" w:asciiTheme="minorEastAsia" w:hAnsiTheme="minorEastAsia" w:eastAsiaTheme="minorEastAsia" w:cstheme="minorEastAsia"/>
                <w:strike w:val="0"/>
                <w:dstrike w:val="0"/>
                <w:color w:val="auto"/>
                <w:sz w:val="21"/>
                <w:szCs w:val="21"/>
                <w:highlight w:val="none"/>
                <w:lang w:eastAsia="zh-CN"/>
              </w:rPr>
              <w:t>比选人</w:t>
            </w:r>
            <w:r>
              <w:rPr>
                <w:rFonts w:hint="eastAsia" w:asciiTheme="minorEastAsia" w:hAnsiTheme="minorEastAsia" w:eastAsiaTheme="minorEastAsia" w:cstheme="minorEastAsia"/>
                <w:strike w:val="0"/>
                <w:dstrike w:val="0"/>
                <w:color w:val="auto"/>
                <w:sz w:val="21"/>
                <w:szCs w:val="21"/>
                <w:highlight w:val="none"/>
              </w:rPr>
              <w:t>中标通知书送达拟中标人之日起</w:t>
            </w:r>
            <w:r>
              <w:rPr>
                <w:rFonts w:hint="eastAsia" w:asciiTheme="minorEastAsia" w:hAnsiTheme="minorEastAsia" w:eastAsiaTheme="minorEastAsia" w:cstheme="minorEastAsia"/>
                <w:strike w:val="0"/>
                <w:dstrike w:val="0"/>
                <w:color w:val="auto"/>
                <w:sz w:val="21"/>
                <w:szCs w:val="21"/>
                <w:highlight w:val="none"/>
                <w:u w:val="single"/>
              </w:rPr>
              <w:t xml:space="preserve"> </w:t>
            </w:r>
            <w:r>
              <w:rPr>
                <w:rFonts w:hint="eastAsia" w:asciiTheme="minorEastAsia" w:hAnsiTheme="minorEastAsia" w:eastAsiaTheme="minorEastAsia" w:cstheme="minorEastAsia"/>
                <w:strike w:val="0"/>
                <w:dstrike w:val="0"/>
                <w:color w:val="auto"/>
                <w:sz w:val="21"/>
                <w:szCs w:val="21"/>
                <w:highlight w:val="none"/>
                <w:u w:val="single"/>
                <w:lang w:val="en-US" w:eastAsia="zh-CN"/>
              </w:rPr>
              <w:t>10</w:t>
            </w:r>
            <w:r>
              <w:rPr>
                <w:rFonts w:hint="eastAsia" w:asciiTheme="minorEastAsia" w:hAnsiTheme="minorEastAsia" w:eastAsiaTheme="minorEastAsia" w:cstheme="minorEastAsia"/>
                <w:strike w:val="0"/>
                <w:dstrike w:val="0"/>
                <w:color w:val="auto"/>
                <w:sz w:val="21"/>
                <w:szCs w:val="21"/>
                <w:highlight w:val="none"/>
                <w:u w:val="single"/>
              </w:rPr>
              <w:t xml:space="preserve"> </w:t>
            </w:r>
            <w:r>
              <w:rPr>
                <w:rFonts w:hint="eastAsia" w:asciiTheme="minorEastAsia" w:hAnsiTheme="minorEastAsia" w:eastAsiaTheme="minorEastAsia" w:cstheme="minorEastAsia"/>
                <w:strike w:val="0"/>
                <w:dstrike w:val="0"/>
                <w:color w:val="auto"/>
                <w:sz w:val="21"/>
                <w:szCs w:val="21"/>
                <w:highlight w:val="none"/>
              </w:rPr>
              <w:t>工作日内</w:t>
            </w:r>
            <w:r>
              <w:rPr>
                <w:rFonts w:hint="eastAsia" w:asciiTheme="minorEastAsia" w:hAnsiTheme="minorEastAsia" w:eastAsiaTheme="minorEastAsia" w:cstheme="minorEastAsia"/>
                <w:strike w:val="0"/>
                <w:dstrike w:val="0"/>
                <w:color w:val="auto"/>
                <w:kern w:val="0"/>
                <w:sz w:val="21"/>
                <w:szCs w:val="21"/>
                <w:highlight w:val="none"/>
              </w:rPr>
              <w:t>；</w:t>
            </w:r>
          </w:p>
          <w:p>
            <w:pPr>
              <w:autoSpaceDE w:val="0"/>
              <w:autoSpaceDN w:val="0"/>
              <w:adjustRightInd w:val="0"/>
              <w:snapToGrid w:val="0"/>
              <w:spacing w:line="400" w:lineRule="exact"/>
              <w:ind w:firstLine="420" w:firstLineChars="200"/>
              <w:rPr>
                <w:rFonts w:hint="eastAsia" w:asciiTheme="minorEastAsia" w:hAnsiTheme="minorEastAsia" w:eastAsiaTheme="minorEastAsia" w:cstheme="minorEastAsia"/>
                <w:strike w:val="0"/>
                <w:dstrike w:val="0"/>
                <w:color w:val="auto"/>
                <w:kern w:val="0"/>
                <w:sz w:val="21"/>
                <w:szCs w:val="21"/>
                <w:highlight w:val="none"/>
              </w:rPr>
            </w:pPr>
            <w:r>
              <w:rPr>
                <w:rFonts w:hint="eastAsia" w:asciiTheme="minorEastAsia" w:hAnsiTheme="minorEastAsia" w:eastAsiaTheme="minorEastAsia" w:cstheme="minorEastAsia"/>
                <w:strike w:val="0"/>
                <w:dstrike w:val="0"/>
                <w:color w:val="auto"/>
                <w:kern w:val="0"/>
                <w:sz w:val="21"/>
                <w:szCs w:val="21"/>
                <w:highlight w:val="none"/>
              </w:rPr>
              <w:t>（4）中标人因自身原因未按中标通知书规定的时限与</w:t>
            </w:r>
            <w:r>
              <w:rPr>
                <w:rFonts w:hint="eastAsia" w:asciiTheme="minorEastAsia" w:hAnsiTheme="minorEastAsia" w:eastAsiaTheme="minorEastAsia" w:cstheme="minorEastAsia"/>
                <w:strike w:val="0"/>
                <w:dstrike w:val="0"/>
                <w:color w:val="auto"/>
                <w:kern w:val="0"/>
                <w:sz w:val="21"/>
                <w:szCs w:val="21"/>
                <w:highlight w:val="none"/>
                <w:lang w:eastAsia="zh-CN"/>
              </w:rPr>
              <w:t>比选人</w:t>
            </w:r>
            <w:r>
              <w:rPr>
                <w:rFonts w:hint="eastAsia" w:asciiTheme="minorEastAsia" w:hAnsiTheme="minorEastAsia" w:eastAsiaTheme="minorEastAsia" w:cstheme="minorEastAsia"/>
                <w:strike w:val="0"/>
                <w:dstrike w:val="0"/>
                <w:color w:val="auto"/>
                <w:kern w:val="0"/>
                <w:sz w:val="21"/>
                <w:szCs w:val="21"/>
                <w:highlight w:val="none"/>
              </w:rPr>
              <w:t>签订合同的，</w:t>
            </w:r>
            <w:r>
              <w:rPr>
                <w:rFonts w:hint="eastAsia" w:asciiTheme="minorEastAsia" w:hAnsiTheme="minorEastAsia" w:eastAsiaTheme="minorEastAsia" w:cstheme="minorEastAsia"/>
                <w:strike w:val="0"/>
                <w:dstrike w:val="0"/>
                <w:color w:val="auto"/>
                <w:kern w:val="0"/>
                <w:sz w:val="21"/>
                <w:szCs w:val="21"/>
                <w:highlight w:val="none"/>
                <w:lang w:eastAsia="zh-CN"/>
              </w:rPr>
              <w:t>比选人</w:t>
            </w:r>
            <w:r>
              <w:rPr>
                <w:rFonts w:hint="eastAsia" w:asciiTheme="minorEastAsia" w:hAnsiTheme="minorEastAsia" w:eastAsiaTheme="minorEastAsia" w:cstheme="minorEastAsia"/>
                <w:strike w:val="0"/>
                <w:dstrike w:val="0"/>
                <w:color w:val="auto"/>
                <w:kern w:val="0"/>
                <w:sz w:val="21"/>
                <w:szCs w:val="21"/>
                <w:highlight w:val="none"/>
              </w:rPr>
              <w:t>有权扣除其低价风险担保并取消中标资格。</w:t>
            </w:r>
          </w:p>
          <w:p>
            <w:pPr>
              <w:autoSpaceDE w:val="0"/>
              <w:autoSpaceDN w:val="0"/>
              <w:adjustRightInd w:val="0"/>
              <w:snapToGrid w:val="0"/>
              <w:spacing w:line="400" w:lineRule="exact"/>
              <w:ind w:firstLine="420" w:firstLineChars="200"/>
              <w:rPr>
                <w:rFonts w:hint="eastAsia" w:asciiTheme="minorEastAsia" w:hAnsiTheme="minorEastAsia" w:eastAsiaTheme="minorEastAsia" w:cstheme="minorEastAsia"/>
                <w:strike w:val="0"/>
                <w:dstrike w:val="0"/>
                <w:color w:val="auto"/>
                <w:kern w:val="0"/>
                <w:sz w:val="21"/>
                <w:szCs w:val="21"/>
                <w:highlight w:val="none"/>
              </w:rPr>
            </w:pPr>
            <w:r>
              <w:rPr>
                <w:rFonts w:hint="eastAsia" w:asciiTheme="minorEastAsia" w:hAnsiTheme="minorEastAsia" w:eastAsiaTheme="minorEastAsia" w:cstheme="minorEastAsia"/>
                <w:strike w:val="0"/>
                <w:dstrike w:val="0"/>
                <w:color w:val="auto"/>
                <w:kern w:val="0"/>
                <w:sz w:val="21"/>
                <w:szCs w:val="21"/>
                <w:highlight w:val="none"/>
              </w:rPr>
              <w:t>（5）低价风险担保的期限：</w:t>
            </w:r>
            <w:r>
              <w:rPr>
                <w:rFonts w:hint="eastAsia" w:asciiTheme="minorEastAsia" w:hAnsiTheme="minorEastAsia" w:eastAsiaTheme="minorEastAsia" w:cstheme="minorEastAsia"/>
                <w:strike w:val="0"/>
                <w:dstrike w:val="0"/>
                <w:color w:val="auto"/>
                <w:kern w:val="0"/>
                <w:sz w:val="21"/>
                <w:szCs w:val="21"/>
                <w:highlight w:val="none"/>
                <w:u w:val="single"/>
              </w:rPr>
              <w:t>自低价风险担保生效之日起至竣工验收合格之日止</w:t>
            </w:r>
            <w:r>
              <w:rPr>
                <w:rFonts w:hint="eastAsia" w:asciiTheme="minorEastAsia" w:hAnsiTheme="minorEastAsia" w:eastAsiaTheme="minorEastAsia" w:cstheme="minorEastAsia"/>
                <w:strike w:val="0"/>
                <w:dstrike w:val="0"/>
                <w:color w:val="auto"/>
                <w:kern w:val="0"/>
                <w:sz w:val="21"/>
                <w:szCs w:val="21"/>
                <w:highlight w:val="none"/>
              </w:rPr>
              <w:t>。</w:t>
            </w:r>
          </w:p>
          <w:p>
            <w:pPr>
              <w:widowControl/>
              <w:spacing w:line="400" w:lineRule="exact"/>
              <w:ind w:firstLine="420" w:firstLineChars="200"/>
              <w:rPr>
                <w:rFonts w:hint="eastAsia" w:asciiTheme="minorEastAsia" w:hAnsiTheme="minorEastAsia" w:eastAsiaTheme="minorEastAsia" w:cstheme="minorEastAsia"/>
                <w:strike w:val="0"/>
                <w:dstrike w:val="0"/>
                <w:color w:val="auto"/>
                <w:kern w:val="0"/>
                <w:sz w:val="21"/>
                <w:szCs w:val="21"/>
                <w:highlight w:val="none"/>
              </w:rPr>
            </w:pPr>
            <w:r>
              <w:rPr>
                <w:rFonts w:hint="eastAsia" w:asciiTheme="minorEastAsia" w:hAnsiTheme="minorEastAsia" w:eastAsiaTheme="minorEastAsia" w:cstheme="minorEastAsia"/>
                <w:strike w:val="0"/>
                <w:dstrike w:val="0"/>
                <w:color w:val="auto"/>
                <w:kern w:val="0"/>
                <w:sz w:val="21"/>
                <w:szCs w:val="21"/>
                <w:highlight w:val="none"/>
              </w:rPr>
              <w:t>3、低价风险担保的退还时间：见专用合同条款。</w:t>
            </w:r>
          </w:p>
          <w:p>
            <w:pPr>
              <w:widowControl/>
              <w:spacing w:line="400" w:lineRule="exact"/>
              <w:ind w:firstLine="420" w:firstLineChars="200"/>
              <w:rPr>
                <w:rFonts w:hint="eastAsia" w:asciiTheme="minorEastAsia" w:hAnsiTheme="minorEastAsia" w:eastAsiaTheme="minorEastAsia" w:cstheme="minorEastAsia"/>
                <w:strike w:val="0"/>
                <w:dstrike w:val="0"/>
                <w:color w:val="auto"/>
                <w:sz w:val="21"/>
                <w:szCs w:val="21"/>
                <w:highlight w:val="none"/>
              </w:rPr>
            </w:pPr>
            <w:r>
              <w:rPr>
                <w:rFonts w:hint="eastAsia" w:asciiTheme="minorEastAsia" w:hAnsiTheme="minorEastAsia" w:eastAsiaTheme="minorEastAsia" w:cstheme="minorEastAsia"/>
                <w:strike w:val="0"/>
                <w:dstrike w:val="0"/>
                <w:color w:val="auto"/>
                <w:sz w:val="21"/>
                <w:szCs w:val="21"/>
                <w:highlight w:val="none"/>
              </w:rPr>
              <w:t>4、采用经评审最低投标价法的项目，拟中标人或者中标人放弃中标项目，无正当理由不与</w:t>
            </w:r>
            <w:r>
              <w:rPr>
                <w:rFonts w:hint="eastAsia" w:asciiTheme="minorEastAsia" w:hAnsiTheme="minorEastAsia" w:eastAsiaTheme="minorEastAsia" w:cstheme="minorEastAsia"/>
                <w:strike w:val="0"/>
                <w:dstrike w:val="0"/>
                <w:color w:val="auto"/>
                <w:sz w:val="21"/>
                <w:szCs w:val="21"/>
                <w:highlight w:val="none"/>
                <w:lang w:eastAsia="zh-CN"/>
              </w:rPr>
              <w:t>比选人</w:t>
            </w:r>
            <w:r>
              <w:rPr>
                <w:rFonts w:hint="eastAsia" w:asciiTheme="minorEastAsia" w:hAnsiTheme="minorEastAsia" w:eastAsiaTheme="minorEastAsia" w:cstheme="minorEastAsia"/>
                <w:strike w:val="0"/>
                <w:dstrike w:val="0"/>
                <w:color w:val="auto"/>
                <w:sz w:val="21"/>
                <w:szCs w:val="21"/>
                <w:highlight w:val="none"/>
              </w:rPr>
              <w:t>签订合同，在签订合同时向</w:t>
            </w:r>
            <w:r>
              <w:rPr>
                <w:rFonts w:hint="eastAsia" w:asciiTheme="minorEastAsia" w:hAnsiTheme="minorEastAsia" w:eastAsiaTheme="minorEastAsia" w:cstheme="minorEastAsia"/>
                <w:strike w:val="0"/>
                <w:dstrike w:val="0"/>
                <w:color w:val="auto"/>
                <w:sz w:val="21"/>
                <w:szCs w:val="21"/>
                <w:highlight w:val="none"/>
                <w:lang w:eastAsia="zh-CN"/>
              </w:rPr>
              <w:t>比选人</w:t>
            </w:r>
            <w:r>
              <w:rPr>
                <w:rFonts w:hint="eastAsia" w:asciiTheme="minorEastAsia" w:hAnsiTheme="minorEastAsia" w:eastAsiaTheme="minorEastAsia" w:cstheme="minorEastAsia"/>
                <w:strike w:val="0"/>
                <w:dstrike w:val="0"/>
                <w:color w:val="auto"/>
                <w:sz w:val="21"/>
                <w:szCs w:val="21"/>
                <w:highlight w:val="none"/>
              </w:rPr>
              <w:t>提出附加条件或者更改合同实质性内容，或者拒不按照招标文件规定提交低价风险担保或履约担保的，取消其中标资格，投标保证金不予退还，给</w:t>
            </w:r>
            <w:r>
              <w:rPr>
                <w:rFonts w:hint="eastAsia" w:asciiTheme="minorEastAsia" w:hAnsiTheme="minorEastAsia" w:eastAsiaTheme="minorEastAsia" w:cstheme="minorEastAsia"/>
                <w:strike w:val="0"/>
                <w:dstrike w:val="0"/>
                <w:color w:val="auto"/>
                <w:sz w:val="21"/>
                <w:szCs w:val="21"/>
                <w:highlight w:val="none"/>
                <w:lang w:eastAsia="zh-CN"/>
              </w:rPr>
              <w:t>比选人</w:t>
            </w:r>
            <w:r>
              <w:rPr>
                <w:rFonts w:hint="eastAsia" w:asciiTheme="minorEastAsia" w:hAnsiTheme="minorEastAsia" w:eastAsiaTheme="minorEastAsia" w:cstheme="minorEastAsia"/>
                <w:strike w:val="0"/>
                <w:dstrike w:val="0"/>
                <w:color w:val="auto"/>
                <w:sz w:val="21"/>
                <w:szCs w:val="21"/>
                <w:highlight w:val="none"/>
              </w:rPr>
              <w:t>造成的损失超过投标保证金数额的，拟中标人或中标人应对超过部分予以赔偿。</w:t>
            </w:r>
          </w:p>
          <w:p>
            <w:pPr>
              <w:widowControl/>
              <w:spacing w:line="400" w:lineRule="exact"/>
              <w:ind w:firstLine="420" w:firstLineChars="200"/>
              <w:rPr>
                <w:rFonts w:hint="eastAsia" w:asciiTheme="minorEastAsia" w:hAnsiTheme="minorEastAsia" w:eastAsiaTheme="minorEastAsia" w:cstheme="minorEastAsia"/>
                <w:strike w:val="0"/>
                <w:dstrike w:val="0"/>
                <w:color w:val="auto"/>
                <w:sz w:val="21"/>
                <w:szCs w:val="21"/>
                <w:highlight w:val="none"/>
              </w:rPr>
            </w:pPr>
            <w:r>
              <w:rPr>
                <w:rFonts w:hint="eastAsia" w:asciiTheme="minorEastAsia" w:hAnsiTheme="minorEastAsia" w:eastAsiaTheme="minorEastAsia" w:cstheme="minorEastAsia"/>
                <w:strike w:val="0"/>
                <w:dstrike w:val="0"/>
                <w:color w:val="auto"/>
                <w:sz w:val="21"/>
                <w:szCs w:val="21"/>
                <w:highlight w:val="none"/>
              </w:rPr>
              <w:t>备注：当中标人或拟中标人未按时提交低价风险担保，且属于可以延长低价风险担保提交期限的特殊情形时，经</w:t>
            </w:r>
            <w:r>
              <w:rPr>
                <w:rFonts w:hint="eastAsia" w:asciiTheme="minorEastAsia" w:hAnsiTheme="minorEastAsia" w:eastAsiaTheme="minorEastAsia" w:cstheme="minorEastAsia"/>
                <w:strike w:val="0"/>
                <w:dstrike w:val="0"/>
                <w:color w:val="auto"/>
                <w:sz w:val="21"/>
                <w:szCs w:val="21"/>
                <w:highlight w:val="none"/>
                <w:lang w:eastAsia="zh-CN"/>
              </w:rPr>
              <w:t>比选人</w:t>
            </w:r>
            <w:r>
              <w:rPr>
                <w:rFonts w:hint="eastAsia" w:asciiTheme="minorEastAsia" w:hAnsiTheme="minorEastAsia" w:eastAsiaTheme="minorEastAsia" w:cstheme="minorEastAsia"/>
                <w:strike w:val="0"/>
                <w:dstrike w:val="0"/>
                <w:color w:val="auto"/>
                <w:sz w:val="21"/>
                <w:szCs w:val="21"/>
                <w:highlight w:val="none"/>
              </w:rPr>
              <w:t>同意，可适当延长低价风险担保的提交期限。</w:t>
            </w:r>
          </w:p>
          <w:p>
            <w:pPr>
              <w:pStyle w:val="2"/>
              <w:widowControl/>
              <w:spacing w:line="400" w:lineRule="exact"/>
              <w:ind w:firstLine="420" w:firstLineChars="200"/>
              <w:rPr>
                <w:rFonts w:hint="eastAsia" w:ascii="宋体" w:hAnsi="宋体" w:eastAsia="宋体" w:cs="Times New Roman"/>
                <w:strike w:val="0"/>
                <w:dstrike w:val="0"/>
                <w:color w:val="auto"/>
                <w:kern w:val="0"/>
                <w:sz w:val="21"/>
                <w:szCs w:val="21"/>
                <w:highlight w:val="none"/>
                <w:lang w:val="en-US" w:eastAsia="zh-CN" w:bidi="ar-SA"/>
              </w:rPr>
            </w:pPr>
            <w:r>
              <w:rPr>
                <w:rFonts w:hint="eastAsia" w:asciiTheme="minorEastAsia" w:hAnsiTheme="minorEastAsia" w:eastAsiaTheme="minorEastAsia" w:cstheme="minorEastAsia"/>
                <w:strike w:val="0"/>
                <w:dstrike w:val="0"/>
                <w:color w:val="auto"/>
                <w:sz w:val="21"/>
                <w:szCs w:val="21"/>
                <w:highlight w:val="none"/>
              </w:rPr>
              <w:t>5、投标总报价低于最高限价85%的，投标人应在编制投标文件时，在投标函部分中递交低价风险担保提交承诺书。承诺书格式详见第八章投标文件格式。</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hint="eastAsia" w:ascii="宋体" w:hAnsi="宋体" w:eastAsia="宋体"/>
                <w:color w:val="auto"/>
                <w:kern w:val="0"/>
                <w:szCs w:val="21"/>
                <w:highlight w:val="none"/>
                <w:lang w:eastAsia="zh-CN"/>
              </w:rPr>
            </w:pPr>
            <w:r>
              <w:rPr>
                <w:rFonts w:hint="eastAsia" w:ascii="宋体" w:hAnsi="宋体"/>
                <w:color w:val="auto"/>
                <w:kern w:val="0"/>
                <w:szCs w:val="21"/>
                <w:highlight w:val="none"/>
              </w:rPr>
              <w:t>10.</w:t>
            </w:r>
            <w:r>
              <w:rPr>
                <w:rFonts w:hint="eastAsia" w:ascii="宋体" w:hAnsi="宋体"/>
                <w:color w:val="auto"/>
                <w:kern w:val="0"/>
                <w:szCs w:val="21"/>
                <w:highlight w:val="none"/>
                <w:lang w:val="en-US" w:eastAsia="zh-CN"/>
              </w:rPr>
              <w:t>4</w:t>
            </w:r>
          </w:p>
        </w:tc>
        <w:tc>
          <w:tcPr>
            <w:tcW w:w="1644" w:type="dxa"/>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rPr>
              <w:t>关于对招标文件及投标争议的解释</w:t>
            </w:r>
          </w:p>
        </w:tc>
        <w:tc>
          <w:tcPr>
            <w:tcW w:w="6490" w:type="dxa"/>
            <w:vAlign w:val="center"/>
          </w:tcPr>
          <w:p>
            <w:pPr>
              <w:autoSpaceDE w:val="0"/>
              <w:autoSpaceDN w:val="0"/>
              <w:adjustRightInd w:val="0"/>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对资格预审文件或者招标文件的评标标准和方法，以及资格审查和否决投标条款理解有争议的，应当作出不利于</w:t>
            </w:r>
            <w:r>
              <w:rPr>
                <w:rFonts w:hint="eastAsia" w:ascii="宋体" w:hAnsi="宋体"/>
                <w:color w:val="auto"/>
                <w:kern w:val="0"/>
                <w:szCs w:val="21"/>
                <w:highlight w:val="none"/>
                <w:lang w:eastAsia="zh-CN"/>
              </w:rPr>
              <w:t>比选人</w:t>
            </w:r>
            <w:r>
              <w:rPr>
                <w:rFonts w:hint="eastAsia" w:ascii="宋体" w:hAnsi="宋体"/>
                <w:color w:val="auto"/>
                <w:kern w:val="0"/>
                <w:szCs w:val="21"/>
                <w:highlight w:val="none"/>
              </w:rPr>
              <w:t>的解释，但违背国家利益、社会公共利益的除外。</w:t>
            </w:r>
          </w:p>
          <w:p>
            <w:pPr>
              <w:autoSpaceDE w:val="0"/>
              <w:autoSpaceDN w:val="0"/>
              <w:adjustRightInd w:val="0"/>
              <w:snapToGrid w:val="0"/>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对</w:t>
            </w:r>
            <w:r>
              <w:rPr>
                <w:rFonts w:hint="eastAsia" w:ascii="宋体" w:hAnsi="宋体"/>
                <w:color w:val="auto"/>
                <w:kern w:val="0"/>
                <w:szCs w:val="21"/>
                <w:highlight w:val="none"/>
                <w:lang w:eastAsia="zh-CN"/>
              </w:rPr>
              <w:t>竞选文件</w:t>
            </w:r>
            <w:r>
              <w:rPr>
                <w:rFonts w:hint="eastAsia" w:ascii="宋体" w:hAnsi="宋体"/>
                <w:color w:val="auto"/>
                <w:kern w:val="0"/>
                <w:szCs w:val="21"/>
                <w:highlight w:val="none"/>
              </w:rPr>
              <w:t>理解有争议的，应当作出不利于提交该</w:t>
            </w:r>
            <w:r>
              <w:rPr>
                <w:rFonts w:hint="eastAsia" w:ascii="宋体" w:hAnsi="宋体"/>
                <w:color w:val="auto"/>
                <w:kern w:val="0"/>
                <w:szCs w:val="21"/>
                <w:highlight w:val="none"/>
                <w:lang w:eastAsia="zh-CN"/>
              </w:rPr>
              <w:t>竞选文件</w:t>
            </w:r>
            <w:r>
              <w:rPr>
                <w:rFonts w:hint="eastAsia" w:ascii="宋体" w:hAnsi="宋体"/>
                <w:color w:val="auto"/>
                <w:kern w:val="0"/>
                <w:szCs w:val="21"/>
                <w:highlight w:val="none"/>
              </w:rPr>
              <w:t>的</w:t>
            </w:r>
            <w:r>
              <w:rPr>
                <w:rFonts w:hint="eastAsia" w:ascii="宋体" w:hAnsi="宋体"/>
                <w:color w:val="auto"/>
                <w:kern w:val="0"/>
                <w:szCs w:val="21"/>
                <w:highlight w:val="none"/>
                <w:lang w:eastAsia="zh-CN"/>
              </w:rPr>
              <w:t>竞选人</w:t>
            </w:r>
            <w:r>
              <w:rPr>
                <w:rFonts w:hint="eastAsia" w:ascii="宋体" w:hAnsi="宋体"/>
                <w:color w:val="auto"/>
                <w:kern w:val="0"/>
                <w:szCs w:val="21"/>
                <w:highlight w:val="none"/>
              </w:rPr>
              <w:t>的解释。</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Align w:val="center"/>
          </w:tcPr>
          <w:p>
            <w:pPr>
              <w:snapToGrid w:val="0"/>
              <w:spacing w:line="400" w:lineRule="exact"/>
              <w:jc w:val="center"/>
              <w:rPr>
                <w:rFonts w:hint="default" w:ascii="宋体" w:hAnsi="宋体" w:eastAsia="宋体"/>
                <w:color w:val="auto"/>
                <w:kern w:val="0"/>
                <w:szCs w:val="21"/>
                <w:highlight w:val="none"/>
                <w:lang w:val="en-US" w:eastAsia="zh-CN"/>
              </w:rPr>
            </w:pPr>
            <w:r>
              <w:rPr>
                <w:rFonts w:hint="eastAsia" w:ascii="宋体" w:hAnsi="宋体"/>
                <w:color w:val="auto"/>
                <w:kern w:val="0"/>
                <w:szCs w:val="21"/>
                <w:highlight w:val="none"/>
                <w:lang w:val="en-US" w:eastAsia="zh-CN"/>
              </w:rPr>
              <w:t>10.5</w:t>
            </w:r>
          </w:p>
        </w:tc>
        <w:tc>
          <w:tcPr>
            <w:tcW w:w="1644" w:type="dxa"/>
            <w:vAlign w:val="center"/>
          </w:tcPr>
          <w:p>
            <w:pPr>
              <w:snapToGrid w:val="0"/>
              <w:spacing w:line="400" w:lineRule="exact"/>
              <w:jc w:val="center"/>
              <w:rPr>
                <w:rFonts w:hint="eastAsia" w:ascii="宋体" w:hAnsi="宋体" w:eastAsia="宋体"/>
                <w:color w:val="auto"/>
                <w:kern w:val="0"/>
                <w:szCs w:val="21"/>
                <w:highlight w:val="none"/>
                <w:lang w:val="en-US" w:eastAsia="zh-CN"/>
              </w:rPr>
            </w:pPr>
            <w:r>
              <w:rPr>
                <w:rFonts w:hint="eastAsia" w:ascii="宋体" w:hAnsi="宋体"/>
                <w:color w:val="auto"/>
                <w:kern w:val="0"/>
                <w:szCs w:val="21"/>
                <w:highlight w:val="none"/>
                <w:lang w:val="en-US" w:eastAsia="zh-CN"/>
              </w:rPr>
              <w:t>特别提示</w:t>
            </w:r>
          </w:p>
        </w:tc>
        <w:tc>
          <w:tcPr>
            <w:tcW w:w="6490" w:type="dxa"/>
            <w:vAlign w:val="center"/>
          </w:tcPr>
          <w:p>
            <w:pPr>
              <w:autoSpaceDE w:val="0"/>
              <w:autoSpaceDN w:val="0"/>
              <w:adjustRightInd w:val="0"/>
              <w:snapToGrid w:val="0"/>
              <w:spacing w:line="400" w:lineRule="exact"/>
              <w:ind w:firstLine="420" w:firstLineChars="200"/>
              <w:rPr>
                <w:rFonts w:hint="eastAsia"/>
                <w:color w:val="auto"/>
                <w:highlight w:val="none"/>
                <w:lang w:val="en-US" w:eastAsia="zh-CN"/>
              </w:rPr>
            </w:pPr>
            <w:r>
              <w:rPr>
                <w:rFonts w:hint="eastAsia"/>
                <w:color w:val="auto"/>
                <w:highlight w:val="none"/>
                <w:lang w:val="en-US" w:eastAsia="zh-CN"/>
              </w:rPr>
              <w:t>中标人须按比选文件要求，分别与项目业主签订施工合同，且须按相关规定分别组建“江南春城-阳光水岸项目土石方工程”、“江南春城-水木兰亭项目土石方工程”、“广滨壹号-江枫苑项目土石方工程”施工项目部，并分别在建设主管部门办理《建设工程施工许可证》手续。</w:t>
            </w:r>
          </w:p>
          <w:p>
            <w:pPr>
              <w:autoSpaceDE w:val="0"/>
              <w:autoSpaceDN w:val="0"/>
              <w:adjustRightInd w:val="0"/>
              <w:snapToGrid w:val="0"/>
              <w:spacing w:line="400" w:lineRule="exact"/>
              <w:ind w:firstLine="420" w:firstLineChars="200"/>
              <w:rPr>
                <w:rFonts w:hint="default"/>
                <w:color w:val="auto"/>
                <w:highlight w:val="none"/>
                <w:lang w:val="en-US" w:eastAsia="zh-CN"/>
              </w:rPr>
            </w:pPr>
            <w:r>
              <w:rPr>
                <w:rFonts w:hint="eastAsia"/>
                <w:color w:val="auto"/>
                <w:highlight w:val="none"/>
                <w:lang w:val="en-US" w:eastAsia="zh-CN"/>
              </w:rPr>
              <w:t>工程款结算：“江南春城-阳光水岸项目土石方工程”、“江南春城-水木兰亭项目土石方工程”、“广滨壹号-江枫苑项目土石方工程”，分别由项目实施业主根据签订的施工合同，向中标人结算工程费用。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95" w:hRule="atLeast"/>
          <w:jc w:val="center"/>
        </w:trPr>
        <w:tc>
          <w:tcPr>
            <w:tcW w:w="1335" w:type="dxa"/>
            <w:vMerge w:val="restart"/>
            <w:vAlign w:val="center"/>
          </w:tcPr>
          <w:p>
            <w:pPr>
              <w:snapToGrid w:val="0"/>
              <w:spacing w:line="400" w:lineRule="exact"/>
              <w:jc w:val="center"/>
              <w:rPr>
                <w:rFonts w:hint="default" w:ascii="宋体" w:hAnsi="宋体" w:eastAsia="宋体"/>
                <w:color w:val="auto"/>
                <w:kern w:val="0"/>
                <w:szCs w:val="21"/>
                <w:highlight w:val="none"/>
                <w:lang w:val="en-US" w:eastAsia="zh-CN"/>
              </w:rPr>
            </w:pPr>
            <w:r>
              <w:rPr>
                <w:rFonts w:hint="eastAsia" w:ascii="宋体" w:hAnsi="宋体"/>
                <w:color w:val="auto"/>
                <w:kern w:val="0"/>
                <w:szCs w:val="21"/>
                <w:highlight w:val="none"/>
              </w:rPr>
              <w:t>10.</w:t>
            </w:r>
            <w:r>
              <w:rPr>
                <w:rFonts w:hint="eastAsia" w:ascii="宋体" w:hAnsi="宋体"/>
                <w:color w:val="auto"/>
                <w:kern w:val="0"/>
                <w:szCs w:val="21"/>
                <w:highlight w:val="none"/>
                <w:lang w:val="en-US" w:eastAsia="zh-CN"/>
              </w:rPr>
              <w:t>6</w:t>
            </w:r>
          </w:p>
        </w:tc>
        <w:tc>
          <w:tcPr>
            <w:tcW w:w="1644" w:type="dxa"/>
            <w:vMerge w:val="restart"/>
            <w:vAlign w:val="center"/>
          </w:tcPr>
          <w:p>
            <w:pPr>
              <w:snapToGrid w:val="0"/>
              <w:spacing w:line="400" w:lineRule="exact"/>
              <w:jc w:val="center"/>
              <w:rPr>
                <w:rFonts w:ascii="宋体" w:hAnsi="宋体"/>
                <w:color w:val="auto"/>
                <w:kern w:val="0"/>
                <w:szCs w:val="21"/>
                <w:highlight w:val="none"/>
              </w:rPr>
            </w:pPr>
            <w:r>
              <w:rPr>
                <w:rFonts w:hint="eastAsia" w:ascii="宋体" w:hAnsi="宋体"/>
                <w:color w:val="auto"/>
                <w:kern w:val="0"/>
                <w:szCs w:val="21"/>
                <w:highlight w:val="none"/>
              </w:rPr>
              <w:t>其他</w:t>
            </w:r>
          </w:p>
        </w:tc>
        <w:tc>
          <w:tcPr>
            <w:tcW w:w="6490" w:type="dxa"/>
            <w:vAlign w:val="center"/>
          </w:tcPr>
          <w:p>
            <w:pPr>
              <w:spacing w:line="460" w:lineRule="atLeast"/>
              <w:ind w:firstLine="420" w:firstLineChars="200"/>
              <w:jc w:val="left"/>
              <w:rPr>
                <w:rFonts w:hint="eastAsia" w:ascii="Times New Roman" w:hAnsi="宋体" w:eastAsia="宋体" w:cs="Times New Roman"/>
                <w:bCs/>
                <w:strike w:val="0"/>
                <w:dstrike w:val="0"/>
                <w:color w:val="auto"/>
                <w:sz w:val="21"/>
                <w:szCs w:val="24"/>
                <w:highlight w:val="none"/>
                <w:u w:val="none"/>
                <w:lang w:eastAsia="zh-CN"/>
              </w:rPr>
            </w:pPr>
            <w:r>
              <w:rPr>
                <w:rFonts w:hint="eastAsia" w:ascii="Times New Roman" w:hAnsi="宋体" w:eastAsia="宋体" w:cs="Times New Roman"/>
                <w:bCs/>
                <w:strike w:val="0"/>
                <w:dstrike w:val="0"/>
                <w:color w:val="auto"/>
                <w:sz w:val="21"/>
                <w:szCs w:val="24"/>
                <w:highlight w:val="none"/>
                <w:u w:val="none"/>
              </w:rPr>
              <w:t>1.若为联合体承包方，则联合体中负责施工的成员指定的开具发票及收款单位按注册地以下先后顺序确定：重庆经济技术开发区、重庆市南岸区、重庆市其他区县、重庆市外地区。</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2.为政府投资项目提供服务的企业法人和自然人在履约过程中出现以下情况的，要依法承担赔偿等责任。改革发展科技局要会同相关部门将其不良行为列入中介机构及施工企业的政府投资项目服务商信用管理平台，3年内不得承揽经开区政府投资项目相关业务：</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（一）拖欠工程款造成群体上访的；</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（二）提供虚假信息、资料，出具虚假报告、文件的；</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（三）索取合同约定以外的酬金或其他财物，或者利用执业便利谋取其他不正当利益的；</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（四）用欺诈、胁迫、贿赂、串通等手段，损害他人利益的；</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（五）采用窝工等不正当手段，谋取不正当利益的；</w:t>
            </w:r>
          </w:p>
          <w:p>
            <w:pPr>
              <w:spacing w:line="460" w:lineRule="atLeast"/>
              <w:ind w:firstLine="420" w:firstLineChars="200"/>
              <w:jc w:val="left"/>
              <w:rPr>
                <w:rFonts w:hint="eastAsia" w:ascii="Times New Roman" w:hAnsi="宋体" w:eastAsia="宋体" w:cs="Times New Roman"/>
                <w:bCs/>
                <w:strike w:val="0"/>
                <w:dstrike w:val="0"/>
                <w:color w:val="auto"/>
                <w:sz w:val="21"/>
                <w:szCs w:val="24"/>
                <w:highlight w:val="none"/>
                <w:u w:val="none"/>
                <w:lang w:eastAsia="zh-CN"/>
              </w:rPr>
            </w:pPr>
            <w:r>
              <w:rPr>
                <w:rFonts w:hint="eastAsia" w:ascii="Times New Roman" w:hAnsi="宋体" w:eastAsia="宋体" w:cs="Times New Roman"/>
                <w:bCs/>
                <w:strike w:val="0"/>
                <w:dstrike w:val="0"/>
                <w:color w:val="auto"/>
                <w:sz w:val="21"/>
                <w:szCs w:val="24"/>
                <w:highlight w:val="none"/>
                <w:u w:val="none"/>
              </w:rPr>
              <w:t>（六）将服务事项转包或违法分包的允许其他单位或者个人以本单位名义承揽服务的；</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（七）无证照执业或超经营范围执业的；</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（八）无执业资格人员执业或聘用不得执业的人员执业的；</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（九）未按照工程建设强制性标准进行勘察、设计的，设计不合理，导致工程变更过多，变更金额达到建安费20%以上的；</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（十）未根据勘察成果文件进行工程设计的；</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（十一）指定材料生产厂、供应商或者通过其他方式强行或变相强行推销商品、提供服务的；</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（十二）泄露应当保密的与招标代理业务有关的情况和资料；</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（十三）与招标人、投标人相互串通损害国家利益、社会公共利益或他人合法权益；</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（十四）以不合理条件限制或排斥潜在投标人的；</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（十五）施工单位在施工中偷工减料、以次充好的，不按设计图纸或者技术标准施工的其他行为的；</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（十六）较大及以上工程质量安全事故；</w:t>
            </w:r>
          </w:p>
          <w:p>
            <w:pPr>
              <w:spacing w:line="460" w:lineRule="atLeast"/>
              <w:ind w:firstLine="420" w:firstLineChars="200"/>
              <w:jc w:val="left"/>
              <w:rPr>
                <w:rFonts w:hint="eastAsia" w:hAnsi="宋体"/>
                <w:bCs/>
                <w:strike w:val="0"/>
                <w:dstrike w:val="0"/>
                <w:color w:val="auto"/>
                <w:highlight w:val="none"/>
                <w:u w:val="none"/>
                <w:lang w:eastAsia="zh-CN"/>
              </w:rPr>
            </w:pPr>
            <w:r>
              <w:rPr>
                <w:rFonts w:hint="eastAsia" w:ascii="Times New Roman" w:hAnsi="宋体" w:eastAsia="宋体" w:cs="Times New Roman"/>
                <w:bCs/>
                <w:strike w:val="0"/>
                <w:dstrike w:val="0"/>
                <w:color w:val="auto"/>
                <w:sz w:val="21"/>
                <w:szCs w:val="24"/>
                <w:highlight w:val="none"/>
                <w:u w:val="none"/>
              </w:rPr>
              <w:t>（十七）咨询服务机构的成果报告或审查结论出现重大失误及偏差的；</w:t>
            </w:r>
          </w:p>
          <w:p>
            <w:pPr>
              <w:autoSpaceDE w:val="0"/>
              <w:autoSpaceDN w:val="0"/>
              <w:adjustRightInd w:val="0"/>
              <w:snapToGrid w:val="0"/>
              <w:spacing w:line="400" w:lineRule="exact"/>
              <w:ind w:firstLine="420" w:firstLineChars="200"/>
              <w:rPr>
                <w:rFonts w:hint="eastAsia" w:ascii="宋体" w:hAnsi="宋体" w:eastAsia="宋体" w:cs="Times New Roman"/>
                <w:color w:val="auto"/>
                <w:kern w:val="0"/>
                <w:szCs w:val="21"/>
                <w:highlight w:val="none"/>
              </w:rPr>
            </w:pPr>
            <w:r>
              <w:rPr>
                <w:rFonts w:hint="eastAsia" w:ascii="Times New Roman" w:hAnsi="宋体" w:eastAsia="宋体" w:cs="Times New Roman"/>
                <w:bCs/>
                <w:strike w:val="0"/>
                <w:dstrike w:val="0"/>
                <w:color w:val="auto"/>
                <w:sz w:val="21"/>
                <w:szCs w:val="24"/>
                <w:highlight w:val="none"/>
                <w:u w:val="none"/>
              </w:rPr>
              <w:t>（十八）法律、法规、规章及行业规范禁止的其他行为和违背本区现行规定的。</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95" w:hRule="atLeast"/>
          <w:jc w:val="center"/>
        </w:trPr>
        <w:tc>
          <w:tcPr>
            <w:tcW w:w="1335" w:type="dxa"/>
            <w:vMerge w:val="continue"/>
            <w:vAlign w:val="center"/>
          </w:tcPr>
          <w:p>
            <w:pPr>
              <w:autoSpaceDE w:val="0"/>
              <w:autoSpaceDN w:val="0"/>
              <w:adjustRightInd w:val="0"/>
              <w:snapToGrid w:val="0"/>
              <w:spacing w:line="400" w:lineRule="exact"/>
              <w:ind w:firstLine="420" w:firstLineChars="200"/>
              <w:rPr>
                <w:color w:val="auto"/>
                <w:highlight w:val="none"/>
              </w:rPr>
            </w:pPr>
          </w:p>
        </w:tc>
        <w:tc>
          <w:tcPr>
            <w:tcW w:w="1644" w:type="dxa"/>
            <w:vMerge w:val="continue"/>
            <w:vAlign w:val="center"/>
          </w:tcPr>
          <w:p>
            <w:pPr>
              <w:autoSpaceDE w:val="0"/>
              <w:autoSpaceDN w:val="0"/>
              <w:adjustRightInd w:val="0"/>
              <w:snapToGrid w:val="0"/>
              <w:spacing w:line="400" w:lineRule="exact"/>
              <w:ind w:firstLine="420" w:firstLineChars="200"/>
              <w:rPr>
                <w:color w:val="auto"/>
                <w:highlight w:val="none"/>
              </w:rPr>
            </w:pPr>
          </w:p>
        </w:tc>
        <w:tc>
          <w:tcPr>
            <w:tcW w:w="6490" w:type="dxa"/>
            <w:vAlign w:val="center"/>
          </w:tcPr>
          <w:p>
            <w:pPr>
              <w:autoSpaceDE w:val="0"/>
              <w:autoSpaceDN w:val="0"/>
              <w:adjustRightInd w:val="0"/>
              <w:snapToGrid w:val="0"/>
              <w:spacing w:line="400" w:lineRule="exact"/>
              <w:ind w:firstLine="420" w:firstLineChars="200"/>
              <w:rPr>
                <w:rFonts w:hint="eastAsia" w:ascii="Times New Roman" w:hAnsi="Times New Roman" w:eastAsia="宋体" w:cs="Times New Roman"/>
                <w:color w:val="auto"/>
                <w:highlight w:val="none"/>
              </w:rPr>
            </w:pPr>
            <w:r>
              <w:rPr>
                <w:rFonts w:hint="eastAsia" w:ascii="Times New Roman" w:hAnsi="Times New Roman" w:eastAsia="宋体" w:cs="Times New Roman"/>
                <w:color w:val="auto"/>
                <w:highlight w:val="none"/>
              </w:rPr>
              <w:t>招标代理费以项目中标价作为计费基数，按照计价格〔2002〕1980号和发改价格〔2011〕534号文件规定的标准×55%。</w:t>
            </w:r>
          </w:p>
          <w:p>
            <w:pPr>
              <w:autoSpaceDE w:val="0"/>
              <w:autoSpaceDN w:val="0"/>
              <w:adjustRightInd w:val="0"/>
              <w:snapToGrid w:val="0"/>
              <w:spacing w:line="400" w:lineRule="exact"/>
              <w:ind w:firstLine="420" w:firstLineChars="200"/>
              <w:rPr>
                <w:rFonts w:hint="eastAsia" w:ascii="Times New Roman" w:hAnsi="Times New Roman" w:eastAsia="宋体" w:cs="Times New Roman"/>
                <w:color w:val="auto"/>
                <w:highlight w:val="none"/>
                <w:lang w:val="en-US" w:eastAsia="zh-CN"/>
              </w:rPr>
            </w:pPr>
            <w:r>
              <w:rPr>
                <w:rFonts w:hint="eastAsia" w:ascii="Times New Roman" w:hAnsi="Times New Roman" w:eastAsia="宋体" w:cs="Times New Roman"/>
                <w:color w:val="auto"/>
                <w:highlight w:val="none"/>
                <w:lang w:val="en-US" w:eastAsia="zh-CN"/>
              </w:rPr>
              <w:t>代理服务费由中标人支付。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335" w:type="dxa"/>
            <w:vMerge w:val="continue"/>
            <w:vAlign w:val="center"/>
          </w:tcPr>
          <w:p>
            <w:pPr>
              <w:snapToGrid w:val="0"/>
              <w:spacing w:line="400" w:lineRule="exact"/>
              <w:jc w:val="center"/>
              <w:rPr>
                <w:rFonts w:hint="eastAsia" w:ascii="宋体" w:hAnsi="宋体"/>
                <w:color w:val="auto"/>
                <w:kern w:val="0"/>
                <w:szCs w:val="21"/>
                <w:highlight w:val="none"/>
              </w:rPr>
            </w:pPr>
            <w:bookmarkStart w:id="111" w:name="_Toc287620685"/>
            <w:bookmarkStart w:id="112" w:name="_Toc277082552"/>
            <w:bookmarkStart w:id="113" w:name="_Toc430530435"/>
            <w:bookmarkStart w:id="114" w:name="_Toc224103317"/>
            <w:bookmarkStart w:id="115" w:name="_Toc287607746"/>
            <w:bookmarkStart w:id="116" w:name="_Toc200513126"/>
          </w:p>
        </w:tc>
        <w:tc>
          <w:tcPr>
            <w:tcW w:w="1644" w:type="dxa"/>
            <w:vMerge w:val="continue"/>
            <w:vAlign w:val="center"/>
          </w:tcPr>
          <w:p>
            <w:pPr>
              <w:snapToGrid w:val="0"/>
              <w:spacing w:line="400" w:lineRule="exact"/>
              <w:jc w:val="center"/>
              <w:rPr>
                <w:rFonts w:hint="eastAsia" w:ascii="宋体" w:hAnsi="宋体"/>
                <w:color w:val="auto"/>
                <w:kern w:val="0"/>
                <w:szCs w:val="21"/>
                <w:highlight w:val="none"/>
              </w:rPr>
            </w:pPr>
          </w:p>
        </w:tc>
        <w:tc>
          <w:tcPr>
            <w:tcW w:w="6490" w:type="dxa"/>
            <w:vAlign w:val="center"/>
          </w:tcPr>
          <w:p>
            <w:pPr>
              <w:autoSpaceDE w:val="0"/>
              <w:autoSpaceDN w:val="0"/>
              <w:adjustRightInd w:val="0"/>
              <w:snapToGrid w:val="0"/>
              <w:spacing w:line="400" w:lineRule="exact"/>
              <w:ind w:firstLine="420" w:firstLineChars="200"/>
              <w:rPr>
                <w:rFonts w:hint="eastAsia" w:ascii="宋体" w:hAnsi="宋体" w:eastAsia="宋体" w:cs="Times New Roman"/>
                <w:color w:val="auto"/>
                <w:kern w:val="0"/>
                <w:szCs w:val="21"/>
                <w:highlight w:val="none"/>
              </w:rPr>
            </w:pPr>
            <w:r>
              <w:rPr>
                <w:rFonts w:hint="eastAsia" w:ascii="宋体" w:hAnsi="宋体" w:eastAsia="宋体" w:cs="Times New Roman"/>
                <w:color w:val="auto"/>
                <w:kern w:val="0"/>
                <w:szCs w:val="21"/>
                <w:highlight w:val="none"/>
              </w:rPr>
              <w:t>比选文件每套售价</w:t>
            </w:r>
            <w:r>
              <w:rPr>
                <w:rFonts w:hint="eastAsia" w:ascii="宋体" w:hAnsi="宋体" w:cs="Times New Roman"/>
                <w:color w:val="auto"/>
                <w:kern w:val="0"/>
                <w:szCs w:val="21"/>
                <w:highlight w:val="none"/>
                <w:lang w:val="en-US" w:eastAsia="zh-CN"/>
              </w:rPr>
              <w:t>500</w:t>
            </w:r>
            <w:r>
              <w:rPr>
                <w:rFonts w:hint="eastAsia" w:ascii="宋体" w:hAnsi="宋体" w:eastAsia="宋体" w:cs="Times New Roman"/>
                <w:color w:val="auto"/>
                <w:kern w:val="0"/>
                <w:szCs w:val="21"/>
                <w:highlight w:val="none"/>
              </w:rPr>
              <w:t>元，售后不退。投标人递交投标文件时支付比选文件的费用，否则比选人和比选代理机构将不予接收其投标文件。</w:t>
            </w:r>
          </w:p>
        </w:tc>
      </w:tr>
    </w:tbl>
    <w:p>
      <w:pPr>
        <w:pStyle w:val="4"/>
        <w:spacing w:before="0" w:after="0" w:line="20" w:lineRule="exact"/>
        <w:rPr>
          <w:rFonts w:ascii="宋体" w:hAnsi="宋体"/>
          <w:b w:val="0"/>
          <w:snapToGrid w:val="0"/>
          <w:color w:val="auto"/>
          <w:highlight w:val="none"/>
        </w:rPr>
      </w:pPr>
    </w:p>
    <w:p>
      <w:pPr>
        <w:pStyle w:val="4"/>
        <w:spacing w:before="0" w:after="0" w:line="200" w:lineRule="exact"/>
        <w:rPr>
          <w:rFonts w:ascii="宋体" w:hAnsi="宋体"/>
          <w:b w:val="0"/>
          <w:snapToGrid w:val="0"/>
          <w:color w:val="auto"/>
          <w:highlight w:val="none"/>
        </w:rPr>
      </w:pPr>
      <w:r>
        <w:rPr>
          <w:rFonts w:ascii="宋体" w:hAnsi="宋体"/>
          <w:b w:val="0"/>
          <w:snapToGrid w:val="0"/>
          <w:color w:val="auto"/>
          <w:highlight w:val="none"/>
        </w:rPr>
        <w:br w:type="page"/>
      </w:r>
    </w:p>
    <w:bookmarkEnd w:id="111"/>
    <w:bookmarkEnd w:id="112"/>
    <w:bookmarkEnd w:id="113"/>
    <w:bookmarkEnd w:id="114"/>
    <w:bookmarkEnd w:id="115"/>
    <w:bookmarkEnd w:id="116"/>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17" w:name="_Toc13479"/>
      <w:r>
        <w:rPr>
          <w:rFonts w:hint="eastAsia" w:ascii="宋体" w:hAnsi="宋体" w:eastAsia="宋体" w:cs="宋体"/>
          <w:color w:val="auto"/>
          <w:sz w:val="21"/>
          <w:szCs w:val="21"/>
          <w:highlight w:val="none"/>
        </w:rPr>
        <w:t>1.总则</w:t>
      </w:r>
      <w:bookmarkEnd w:id="117"/>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18" w:name="_Toc21483"/>
      <w:bookmarkStart w:id="119" w:name="_Toc293756837"/>
      <w:bookmarkStart w:id="120" w:name="_Toc293756840"/>
      <w:r>
        <w:rPr>
          <w:rFonts w:hint="eastAsia" w:ascii="宋体" w:hAnsi="宋体" w:eastAsia="宋体" w:cs="宋体"/>
          <w:color w:val="auto"/>
          <w:sz w:val="21"/>
          <w:szCs w:val="21"/>
          <w:highlight w:val="none"/>
        </w:rPr>
        <w:t>1.1 项目概况</w:t>
      </w:r>
      <w:bookmarkEnd w:id="118"/>
      <w:bookmarkEnd w:id="119"/>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1.1.1根据《中华人民共和国招标投标法》等有关法律、法规和规章的规定，本招标项目已具备</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条件，现对本标段施工进行</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1.1.2 本比选项目比选人、比选代理机构、项目名称、建设地点：见</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1.1.3  本招标项目</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代理机构：见投标人须知前附表。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1.1.4  本招标项目名称：见投标人须知前附表。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1.1.5  本招标项目建设地点：见投标人须知前附表。</w:t>
      </w:r>
    </w:p>
    <w:p>
      <w:pPr>
        <w:pageBreakBefore w:val="0"/>
        <w:kinsoku/>
        <w:wordWrap/>
        <w:overflowPunct/>
        <w:topLinePunct w:val="0"/>
        <w:bidi w:val="0"/>
        <w:spacing w:line="360" w:lineRule="auto"/>
        <w:ind w:firstLine="420" w:firstLineChars="200"/>
        <w:textAlignment w:val="auto"/>
        <w:rPr>
          <w:rFonts w:hint="eastAsia"/>
          <w:color w:val="auto"/>
          <w:highlight w:val="none"/>
        </w:rPr>
      </w:pPr>
      <w:r>
        <w:rPr>
          <w:rFonts w:hint="eastAsia" w:ascii="宋体" w:hAnsi="宋体" w:eastAsia="宋体" w:cs="宋体"/>
          <w:color w:val="auto"/>
          <w:sz w:val="21"/>
          <w:szCs w:val="21"/>
          <w:highlight w:val="none"/>
        </w:rPr>
        <w:t>1.1.6  本招标项目建设规模：见投标人须知前附表。</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21" w:name="_Toc5734"/>
      <w:bookmarkStart w:id="122" w:name="_Toc293756838"/>
      <w:r>
        <w:rPr>
          <w:rFonts w:hint="eastAsia" w:ascii="宋体" w:hAnsi="宋体" w:eastAsia="宋体" w:cs="宋体"/>
          <w:color w:val="auto"/>
          <w:sz w:val="21"/>
          <w:szCs w:val="21"/>
          <w:highlight w:val="none"/>
        </w:rPr>
        <w:t>1.2 资金来源和落实情况</w:t>
      </w:r>
      <w:bookmarkEnd w:id="121"/>
      <w:bookmarkEnd w:id="122"/>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bookmarkStart w:id="123" w:name="_Toc293756839"/>
      <w:r>
        <w:rPr>
          <w:rFonts w:hint="eastAsia" w:ascii="宋体" w:hAnsi="宋体" w:eastAsia="宋体" w:cs="宋体"/>
          <w:color w:val="auto"/>
          <w:sz w:val="21"/>
          <w:szCs w:val="21"/>
          <w:highlight w:val="none"/>
        </w:rPr>
        <w:t>1.2.1  本招标项目的资金来源：见投标人须知前附表。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1.2.2  本招标项目的出资比例：见投标人须知前附表。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1.2.3  本招标项目的资金落实情况：见投标人须知前附表。</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24" w:name="_Toc13646"/>
      <w:r>
        <w:rPr>
          <w:rFonts w:hint="eastAsia" w:ascii="宋体" w:hAnsi="宋体" w:eastAsia="宋体" w:cs="宋体"/>
          <w:color w:val="auto"/>
          <w:sz w:val="21"/>
          <w:szCs w:val="21"/>
          <w:highlight w:val="none"/>
        </w:rPr>
        <w:t>1.3 比选范围、计划工期和质量要求</w:t>
      </w:r>
      <w:bookmarkEnd w:id="123"/>
      <w:bookmarkEnd w:id="124"/>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1.3.1  </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范围：见投标人须知前附表。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1.3.2  计划工期：见投标人须知前附表。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1.3.3  质量要求：见投标人须知前附表。</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25" w:name="_Toc4094"/>
      <w:r>
        <w:rPr>
          <w:rFonts w:hint="eastAsia" w:ascii="宋体" w:hAnsi="宋体" w:eastAsia="宋体" w:cs="宋体"/>
          <w:color w:val="auto"/>
          <w:sz w:val="21"/>
          <w:szCs w:val="21"/>
          <w:highlight w:val="none"/>
        </w:rPr>
        <w:t xml:space="preserve">1.4 </w:t>
      </w:r>
      <w:bookmarkEnd w:id="120"/>
      <w:r>
        <w:rPr>
          <w:rFonts w:hint="eastAsia" w:ascii="宋体" w:hAnsi="宋体" w:eastAsia="宋体" w:cs="宋体"/>
          <w:color w:val="auto"/>
          <w:sz w:val="21"/>
          <w:szCs w:val="21"/>
          <w:highlight w:val="none"/>
          <w:lang w:eastAsia="zh-CN"/>
        </w:rPr>
        <w:t>投标人资格要求</w:t>
      </w:r>
      <w:bookmarkEnd w:id="125"/>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1.4.1 </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人应具备承担本标段施工的资质条件、能力: 见</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lang w:val="en-US" w:eastAsia="zh-CN"/>
        </w:rPr>
        <w:t>1</w:t>
      </w:r>
      <w:r>
        <w:rPr>
          <w:rFonts w:hint="eastAsia" w:ascii="宋体" w:hAnsi="宋体" w:cs="宋体"/>
          <w:color w:val="auto"/>
          <w:sz w:val="21"/>
          <w:szCs w:val="21"/>
          <w:highlight w:val="none"/>
          <w:lang w:eastAsia="zh-CN"/>
        </w:rPr>
        <w:t>）</w:t>
      </w:r>
      <w:r>
        <w:rPr>
          <w:rFonts w:hint="eastAsia" w:ascii="宋体" w:hAnsi="宋体" w:eastAsia="宋体" w:cs="宋体"/>
          <w:color w:val="auto"/>
          <w:sz w:val="21"/>
          <w:szCs w:val="21"/>
          <w:highlight w:val="none"/>
        </w:rPr>
        <w:t xml:space="preserve"> 资质条件：见</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（2）项目经理资格：见</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（3）项目技术负责人要求：见</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（4）其他主要管理人员要求：见</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（5）委托代理人：见</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（6）其他要求：见投标人须知前附表。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1.4.2 本次比选不接受联合体。</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1.4.3 </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人不得存在下列情形之一：</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（1）与</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人存在利害关系可能影响招标公正性的法人、其他组织或者个人；</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（2）为本标段前期准备提供设计或咨询服务的，但设计施工总承包的除外；</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（3）为本标段的监理人；</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（4）为本标段的代建人；</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（5）为本标段提供</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代理服务的；</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（6）与本标段的监理人或代建人或</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代理机构同为一个法定代表人的；</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（7）与本标段的监理人或代建人或</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代理机构相互控股或参股的；</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（8）与本标段的监理人或代建人或</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代理机构相互任职或工作的；</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（9）被责令停业的；</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（10）被国家、重庆市（含市或任意区县）有关行政部门处以暂停投标资格行政处罚，且在处罚期限内的；</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（11）财产被接管或冻结的；</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（12）单位负责人为同一人或者存在控股、管理关系的不同单位，不得在同一标段中同时投标。</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26" w:name="_Toc293756841"/>
      <w:bookmarkStart w:id="127" w:name="_Toc23140"/>
      <w:r>
        <w:rPr>
          <w:rFonts w:hint="eastAsia" w:ascii="宋体" w:hAnsi="宋体" w:eastAsia="宋体" w:cs="宋体"/>
          <w:color w:val="auto"/>
          <w:sz w:val="21"/>
          <w:szCs w:val="21"/>
          <w:highlight w:val="none"/>
        </w:rPr>
        <w:t>1.5 费用承担</w:t>
      </w:r>
      <w:bookmarkEnd w:id="126"/>
      <w:bookmarkEnd w:id="127"/>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人准备和参加比选活动发生的费用自理。</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28" w:name="_Toc293756842"/>
      <w:bookmarkStart w:id="129" w:name="_Toc10687"/>
      <w:r>
        <w:rPr>
          <w:rFonts w:hint="eastAsia" w:ascii="宋体" w:hAnsi="宋体" w:eastAsia="宋体" w:cs="宋体"/>
          <w:color w:val="auto"/>
          <w:sz w:val="21"/>
          <w:szCs w:val="21"/>
          <w:highlight w:val="none"/>
        </w:rPr>
        <w:t>1.6 保密</w:t>
      </w:r>
      <w:bookmarkEnd w:id="128"/>
      <w:bookmarkEnd w:id="129"/>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参与比选活动的各方应对比选文件和比选文件中的商业和技术等秘密保密，违者应对由此造成的后果承担法律责任。</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30" w:name="_Toc13883"/>
      <w:bookmarkStart w:id="131" w:name="_Toc293756843"/>
      <w:r>
        <w:rPr>
          <w:rFonts w:hint="eastAsia" w:ascii="宋体" w:hAnsi="宋体" w:eastAsia="宋体" w:cs="宋体"/>
          <w:color w:val="auto"/>
          <w:sz w:val="21"/>
          <w:szCs w:val="21"/>
          <w:highlight w:val="none"/>
        </w:rPr>
        <w:t>1.7 语言文字</w:t>
      </w:r>
      <w:bookmarkEnd w:id="130"/>
      <w:bookmarkEnd w:id="131"/>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除专用术语外，与比选有关的语言均使用中文。必要时专用术语应附有中文注释。</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32" w:name="_Toc293756844"/>
      <w:bookmarkStart w:id="133" w:name="_Toc20111"/>
      <w:r>
        <w:rPr>
          <w:rFonts w:hint="eastAsia" w:ascii="宋体" w:hAnsi="宋体" w:eastAsia="宋体" w:cs="宋体"/>
          <w:color w:val="auto"/>
          <w:sz w:val="21"/>
          <w:szCs w:val="21"/>
          <w:highlight w:val="none"/>
        </w:rPr>
        <w:t>1.8 计量单位</w:t>
      </w:r>
      <w:bookmarkEnd w:id="132"/>
      <w:bookmarkEnd w:id="133"/>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所有计量均采用中华人民共和国法定计量单位。</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34" w:name="_Toc293756845"/>
      <w:bookmarkStart w:id="135" w:name="_Toc997"/>
      <w:r>
        <w:rPr>
          <w:rFonts w:hint="eastAsia" w:ascii="宋体" w:hAnsi="宋体" w:eastAsia="宋体" w:cs="宋体"/>
          <w:color w:val="auto"/>
          <w:sz w:val="21"/>
          <w:szCs w:val="21"/>
          <w:highlight w:val="none"/>
        </w:rPr>
        <w:t>1.9 踏勘现场</w:t>
      </w:r>
      <w:bookmarkEnd w:id="134"/>
      <w:bookmarkEnd w:id="135"/>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1.9.1  投标人须知前附表规定组织踏勘现场的，</w:t>
      </w:r>
      <w:r>
        <w:rPr>
          <w:rFonts w:hint="eastAsia" w:ascii="宋体" w:hAnsi="宋体" w:eastAsia="宋体" w:cs="宋体"/>
          <w:color w:val="auto"/>
          <w:sz w:val="21"/>
          <w:szCs w:val="21"/>
          <w:highlight w:val="none"/>
          <w:lang w:eastAsia="zh-CN"/>
        </w:rPr>
        <w:t>比选人</w:t>
      </w:r>
      <w:r>
        <w:rPr>
          <w:rFonts w:hint="eastAsia" w:ascii="宋体" w:hAnsi="宋体" w:eastAsia="宋体" w:cs="宋体"/>
          <w:color w:val="auto"/>
          <w:sz w:val="21"/>
          <w:szCs w:val="21"/>
          <w:highlight w:val="none"/>
        </w:rPr>
        <w:t>按投标人须知前附表规定的时间、 地点组织投标人踏勘项目现场。</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1.9.2  投标人踏勘现场发生的费用自理。</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1.9.3  除</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人的原因外，投标人自行负责在踏勘现场中所发生的人员伤亡和财产损失。</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1.9.4  </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人在踏勘现场中介绍的工程场地和相关的周边环境情况，供投标人在编制投标文件时参考，</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人不对投标人据此做出的判断和决策负责。</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36" w:name="_Toc293756846"/>
      <w:bookmarkStart w:id="137" w:name="_Toc480"/>
      <w:r>
        <w:rPr>
          <w:rFonts w:hint="eastAsia" w:ascii="宋体" w:hAnsi="宋体" w:eastAsia="宋体" w:cs="宋体"/>
          <w:color w:val="auto"/>
          <w:sz w:val="21"/>
          <w:szCs w:val="21"/>
          <w:highlight w:val="none"/>
        </w:rPr>
        <w:t>1.10 比选预备会</w:t>
      </w:r>
      <w:bookmarkEnd w:id="136"/>
      <w:bookmarkEnd w:id="137"/>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1.10.1  投标人须知前附表规定召开投标预备会的，</w:t>
      </w:r>
      <w:r>
        <w:rPr>
          <w:rFonts w:hint="eastAsia" w:ascii="宋体" w:hAnsi="宋体" w:eastAsia="宋体" w:cs="宋体"/>
          <w:snapToGrid w:val="0"/>
          <w:color w:val="auto"/>
          <w:kern w:val="0"/>
          <w:sz w:val="21"/>
          <w:szCs w:val="21"/>
          <w:highlight w:val="none"/>
          <w:lang w:eastAsia="zh-CN"/>
        </w:rPr>
        <w:t>比选人</w:t>
      </w:r>
      <w:r>
        <w:rPr>
          <w:rFonts w:hint="eastAsia" w:ascii="宋体" w:hAnsi="宋体" w:eastAsia="宋体" w:cs="宋体"/>
          <w:snapToGrid w:val="0"/>
          <w:color w:val="auto"/>
          <w:kern w:val="0"/>
          <w:sz w:val="21"/>
          <w:szCs w:val="21"/>
          <w:highlight w:val="none"/>
        </w:rPr>
        <w:t>按投标人须知前附表规定的时间和地点召开投标预备会，澄清投标人提出的问题。</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1.10.2  投标人应在投标人须知前附表</w:t>
      </w:r>
      <w:r>
        <w:rPr>
          <w:rFonts w:hint="eastAsia" w:ascii="宋体" w:hAnsi="宋体" w:eastAsia="宋体" w:cs="宋体"/>
          <w:color w:val="auto"/>
          <w:kern w:val="0"/>
          <w:sz w:val="21"/>
          <w:szCs w:val="21"/>
          <w:highlight w:val="none"/>
        </w:rPr>
        <w:t>2.2.4</w:t>
      </w:r>
      <w:r>
        <w:rPr>
          <w:rFonts w:hint="eastAsia" w:ascii="宋体" w:hAnsi="宋体" w:eastAsia="宋体" w:cs="宋体"/>
          <w:snapToGrid w:val="0"/>
          <w:color w:val="auto"/>
          <w:kern w:val="0"/>
          <w:sz w:val="21"/>
          <w:szCs w:val="21"/>
          <w:highlight w:val="none"/>
        </w:rPr>
        <w:t>规定的时间前，以书面形式将提出的问题送达</w:t>
      </w:r>
      <w:r>
        <w:rPr>
          <w:rFonts w:hint="eastAsia" w:ascii="宋体" w:hAnsi="宋体" w:eastAsia="宋体" w:cs="宋体"/>
          <w:snapToGrid w:val="0"/>
          <w:color w:val="auto"/>
          <w:kern w:val="0"/>
          <w:sz w:val="21"/>
          <w:szCs w:val="21"/>
          <w:highlight w:val="none"/>
          <w:lang w:eastAsia="zh-CN"/>
        </w:rPr>
        <w:t>比选人</w:t>
      </w:r>
      <w:r>
        <w:rPr>
          <w:rFonts w:hint="eastAsia" w:ascii="宋体" w:hAnsi="宋体" w:eastAsia="宋体" w:cs="宋体"/>
          <w:snapToGrid w:val="0"/>
          <w:color w:val="auto"/>
          <w:kern w:val="0"/>
          <w:sz w:val="21"/>
          <w:szCs w:val="21"/>
          <w:highlight w:val="none"/>
        </w:rPr>
        <w:t>，以便</w:t>
      </w:r>
      <w:r>
        <w:rPr>
          <w:rFonts w:hint="eastAsia" w:ascii="宋体" w:hAnsi="宋体" w:eastAsia="宋体" w:cs="宋体"/>
          <w:snapToGrid w:val="0"/>
          <w:color w:val="auto"/>
          <w:kern w:val="0"/>
          <w:sz w:val="21"/>
          <w:szCs w:val="21"/>
          <w:highlight w:val="none"/>
          <w:lang w:eastAsia="zh-CN"/>
        </w:rPr>
        <w:t>比选人</w:t>
      </w:r>
      <w:r>
        <w:rPr>
          <w:rFonts w:hint="eastAsia" w:ascii="宋体" w:hAnsi="宋体" w:eastAsia="宋体" w:cs="宋体"/>
          <w:snapToGrid w:val="0"/>
          <w:color w:val="auto"/>
          <w:kern w:val="0"/>
          <w:sz w:val="21"/>
          <w:szCs w:val="21"/>
          <w:highlight w:val="none"/>
        </w:rPr>
        <w:t>澄清。</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snapToGrid w:val="0"/>
          <w:color w:val="auto"/>
          <w:kern w:val="0"/>
          <w:sz w:val="21"/>
          <w:szCs w:val="21"/>
          <w:highlight w:val="none"/>
        </w:rPr>
        <w:t xml:space="preserve">1.10.3  </w:t>
      </w:r>
      <w:r>
        <w:rPr>
          <w:rFonts w:hint="eastAsia" w:ascii="宋体" w:hAnsi="宋体" w:eastAsia="宋体" w:cs="宋体"/>
          <w:snapToGrid w:val="0"/>
          <w:color w:val="auto"/>
          <w:kern w:val="0"/>
          <w:sz w:val="21"/>
          <w:szCs w:val="21"/>
          <w:highlight w:val="none"/>
          <w:lang w:eastAsia="zh-CN"/>
        </w:rPr>
        <w:t>比选人</w:t>
      </w:r>
      <w:r>
        <w:rPr>
          <w:rFonts w:hint="eastAsia" w:ascii="宋体" w:hAnsi="宋体" w:eastAsia="宋体" w:cs="宋体"/>
          <w:snapToGrid w:val="0"/>
          <w:color w:val="auto"/>
          <w:kern w:val="0"/>
          <w:sz w:val="21"/>
          <w:szCs w:val="21"/>
          <w:highlight w:val="none"/>
        </w:rPr>
        <w:t>在投标人须知前附表规定的时间内，将对投标人所提</w:t>
      </w:r>
      <w:r>
        <w:rPr>
          <w:rFonts w:hint="eastAsia" w:ascii="宋体" w:hAnsi="宋体" w:eastAsia="宋体" w:cs="宋体"/>
          <w:snapToGrid w:val="0"/>
          <w:color w:val="auto"/>
          <w:kern w:val="0"/>
          <w:position w:val="-2"/>
          <w:sz w:val="21"/>
          <w:szCs w:val="21"/>
          <w:highlight w:val="none"/>
        </w:rPr>
        <w:t>的</w:t>
      </w:r>
      <w:r>
        <w:rPr>
          <w:rFonts w:hint="eastAsia" w:ascii="宋体" w:hAnsi="宋体" w:eastAsia="宋体" w:cs="宋体"/>
          <w:snapToGrid w:val="0"/>
          <w:color w:val="auto"/>
          <w:kern w:val="0"/>
          <w:sz w:val="21"/>
          <w:szCs w:val="21"/>
          <w:highlight w:val="none"/>
        </w:rPr>
        <w:t>问题</w:t>
      </w:r>
      <w:r>
        <w:rPr>
          <w:rFonts w:hint="eastAsia" w:ascii="宋体" w:hAnsi="宋体" w:eastAsia="宋体" w:cs="宋体"/>
          <w:snapToGrid w:val="0"/>
          <w:color w:val="auto"/>
          <w:kern w:val="0"/>
          <w:position w:val="-2"/>
          <w:sz w:val="21"/>
          <w:szCs w:val="21"/>
          <w:highlight w:val="none"/>
        </w:rPr>
        <w:t>进行澄清。该澄清内容为</w:t>
      </w:r>
      <w:r>
        <w:rPr>
          <w:rFonts w:hint="eastAsia" w:ascii="宋体" w:hAnsi="宋体" w:eastAsia="宋体" w:cs="宋体"/>
          <w:snapToGrid w:val="0"/>
          <w:color w:val="auto"/>
          <w:kern w:val="0"/>
          <w:position w:val="-2"/>
          <w:sz w:val="21"/>
          <w:szCs w:val="21"/>
          <w:highlight w:val="none"/>
          <w:lang w:val="en-US" w:eastAsia="zh-CN"/>
        </w:rPr>
        <w:t>比选</w:t>
      </w:r>
      <w:r>
        <w:rPr>
          <w:rFonts w:hint="eastAsia" w:ascii="宋体" w:hAnsi="宋体" w:eastAsia="宋体" w:cs="宋体"/>
          <w:snapToGrid w:val="0"/>
          <w:color w:val="auto"/>
          <w:kern w:val="0"/>
          <w:position w:val="-2"/>
          <w:sz w:val="21"/>
          <w:szCs w:val="21"/>
          <w:highlight w:val="none"/>
        </w:rPr>
        <w:t>文件的组成部分。</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38" w:name="_Toc9003"/>
      <w:bookmarkStart w:id="139" w:name="_Toc293756847"/>
      <w:r>
        <w:rPr>
          <w:rFonts w:hint="eastAsia" w:ascii="宋体" w:hAnsi="宋体" w:eastAsia="宋体" w:cs="宋体"/>
          <w:color w:val="auto"/>
          <w:sz w:val="21"/>
          <w:szCs w:val="21"/>
          <w:highlight w:val="none"/>
        </w:rPr>
        <w:t>1.11 分包</w:t>
      </w:r>
      <w:bookmarkEnd w:id="138"/>
      <w:bookmarkEnd w:id="139"/>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投标人拟在中标后将中标项目的部分非主体、非关键性工作进行分包的，应符合投标人须知前附表规定的分包内容、分包金额和接受分包的第三人资质要求等限制性条件。</w:t>
      </w:r>
    </w:p>
    <w:p>
      <w:pPr>
        <w:pageBreakBefore w:val="0"/>
        <w:kinsoku/>
        <w:wordWrap/>
        <w:overflowPunct/>
        <w:topLinePunct w:val="0"/>
        <w:bidi w:val="0"/>
        <w:spacing w:line="360" w:lineRule="auto"/>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1.12 偏离</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投标人须知前附表允许投标文件偏离</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文件某些要求的，偏离应当符合</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文件规定的偏离范围和幅度。</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40" w:name="_Toc19971"/>
      <w:r>
        <w:rPr>
          <w:rFonts w:hint="eastAsia" w:ascii="宋体" w:hAnsi="宋体" w:eastAsia="宋体" w:cs="宋体"/>
          <w:color w:val="auto"/>
          <w:sz w:val="21"/>
          <w:szCs w:val="21"/>
          <w:highlight w:val="none"/>
        </w:rPr>
        <w:t>2.比选文件</w:t>
      </w:r>
      <w:bookmarkEnd w:id="140"/>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41" w:name="_Toc293756848"/>
      <w:bookmarkStart w:id="142" w:name="_Toc16387"/>
      <w:r>
        <w:rPr>
          <w:rFonts w:hint="eastAsia" w:ascii="宋体" w:hAnsi="宋体" w:eastAsia="宋体" w:cs="宋体"/>
          <w:color w:val="auto"/>
          <w:sz w:val="21"/>
          <w:szCs w:val="21"/>
          <w:highlight w:val="none"/>
        </w:rPr>
        <w:t>2.1比选文件的组成</w:t>
      </w:r>
      <w:bookmarkEnd w:id="141"/>
      <w:bookmarkEnd w:id="142"/>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本比选文件包括：</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公告；</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（2）投标人须知；</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（3）评标办法；</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（4）合同条款及格式；</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（5）工程量清单；</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（6）图纸；</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（7）技术标准和要求；</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（8）投标文件格式；</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（9）投标人须知前附表规定的其他材料。</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根据本章第1.10 款、第2.2 款和第2.3 款对比选文件所作的澄清、修改，构成比选文件的组成部分。</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43" w:name="_Toc293756849"/>
      <w:bookmarkStart w:id="144" w:name="_Toc30299"/>
      <w:r>
        <w:rPr>
          <w:rFonts w:hint="eastAsia" w:ascii="宋体" w:hAnsi="宋体" w:eastAsia="宋体" w:cs="宋体"/>
          <w:color w:val="auto"/>
          <w:sz w:val="21"/>
          <w:szCs w:val="21"/>
          <w:highlight w:val="none"/>
        </w:rPr>
        <w:t>2.2比选文件的澄清</w:t>
      </w:r>
      <w:bookmarkEnd w:id="143"/>
      <w:bookmarkEnd w:id="144"/>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rPr>
        <w:t>2.2.1 投标人应仔细阅读和检查</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文件的全部内容。如发现缺页或附件不全，应及时向</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人提出，以便补齐。如有疑问，应在投标人须知前附表规定的时间前在</w:t>
      </w:r>
      <w:r>
        <w:rPr>
          <w:rFonts w:hint="eastAsia" w:ascii="宋体" w:hAnsi="宋体" w:cs="宋体"/>
          <w:color w:val="auto"/>
          <w:sz w:val="21"/>
          <w:szCs w:val="21"/>
          <w:highlight w:val="none"/>
          <w:lang w:eastAsia="zh-CN"/>
        </w:rPr>
        <w:t>重庆市公共资源交易网(www.cqggzy.com)</w:t>
      </w:r>
      <w:r>
        <w:rPr>
          <w:rFonts w:hint="eastAsia" w:ascii="宋体" w:hAnsi="宋体" w:eastAsia="宋体" w:cs="宋体"/>
          <w:color w:val="auto"/>
          <w:sz w:val="21"/>
          <w:szCs w:val="21"/>
          <w:highlight w:val="none"/>
        </w:rPr>
        <w:t>提问，要求</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人对</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文件予以澄清</w:t>
      </w:r>
      <w:r>
        <w:rPr>
          <w:rFonts w:hint="eastAsia" w:ascii="宋体" w:hAnsi="宋体" w:eastAsia="宋体" w:cs="宋体"/>
          <w:color w:val="auto"/>
          <w:sz w:val="21"/>
          <w:szCs w:val="21"/>
          <w:highlight w:val="none"/>
          <w:lang w:eastAsia="zh-CN"/>
        </w:rPr>
        <w:t>。</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2.2.2  </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文件的澄清将在投标人须知前附表规定的投标截止时间</w:t>
      </w:r>
      <w:r>
        <w:rPr>
          <w:rFonts w:hint="eastAsia" w:ascii="宋体" w:hAnsi="宋体" w:cs="宋体"/>
          <w:color w:val="auto"/>
          <w:sz w:val="21"/>
          <w:szCs w:val="21"/>
          <w:highlight w:val="none"/>
          <w:lang w:val="en-US" w:eastAsia="zh-CN"/>
        </w:rPr>
        <w:t>1</w:t>
      </w:r>
      <w:r>
        <w:rPr>
          <w:rFonts w:hint="eastAsia" w:ascii="宋体" w:hAnsi="宋体" w:eastAsia="宋体" w:cs="宋体"/>
          <w:color w:val="auto"/>
          <w:sz w:val="21"/>
          <w:szCs w:val="21"/>
          <w:highlight w:val="none"/>
        </w:rPr>
        <w:t>天前在</w:t>
      </w:r>
      <w:r>
        <w:rPr>
          <w:rFonts w:hint="eastAsia" w:ascii="宋体" w:hAnsi="宋体" w:cs="宋体"/>
          <w:color w:val="auto"/>
          <w:sz w:val="21"/>
          <w:szCs w:val="21"/>
          <w:highlight w:val="none"/>
          <w:lang w:eastAsia="zh-CN"/>
        </w:rPr>
        <w:t>重庆市公共资源交易网(www.cqggzy.com)</w:t>
      </w:r>
      <w:r>
        <w:rPr>
          <w:rFonts w:hint="eastAsia" w:ascii="宋体" w:hAnsi="宋体" w:eastAsia="宋体" w:cs="宋体"/>
          <w:color w:val="auto"/>
          <w:sz w:val="21"/>
          <w:szCs w:val="21"/>
          <w:highlight w:val="none"/>
        </w:rPr>
        <w:t>发布，但不指明澄清问题的来源。如果澄清发出的时间距投标截止时间不足</w:t>
      </w:r>
      <w:r>
        <w:rPr>
          <w:rFonts w:hint="eastAsia" w:ascii="宋体" w:hAnsi="宋体" w:cs="宋体"/>
          <w:color w:val="auto"/>
          <w:sz w:val="21"/>
          <w:szCs w:val="21"/>
          <w:highlight w:val="none"/>
          <w:lang w:val="en-US" w:eastAsia="zh-CN"/>
        </w:rPr>
        <w:t>1</w:t>
      </w:r>
      <w:r>
        <w:rPr>
          <w:rFonts w:hint="eastAsia" w:ascii="宋体" w:hAnsi="宋体" w:eastAsia="宋体" w:cs="宋体"/>
          <w:color w:val="auto"/>
          <w:sz w:val="21"/>
          <w:szCs w:val="21"/>
          <w:highlight w:val="none"/>
        </w:rPr>
        <w:t>天，相应延长投标截止时间。</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2.2.3  </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人对</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文件的修改内容可能影响投标文件编制的，须在投标截止时间</w:t>
      </w:r>
      <w:r>
        <w:rPr>
          <w:rFonts w:hint="eastAsia" w:ascii="宋体" w:hAnsi="宋体" w:cs="宋体"/>
          <w:color w:val="auto"/>
          <w:sz w:val="21"/>
          <w:szCs w:val="21"/>
          <w:highlight w:val="none"/>
          <w:lang w:val="en-US" w:eastAsia="zh-CN"/>
        </w:rPr>
        <w:t>2</w:t>
      </w:r>
      <w:r>
        <w:rPr>
          <w:rFonts w:hint="eastAsia" w:ascii="宋体" w:hAnsi="宋体" w:eastAsia="宋体" w:cs="宋体"/>
          <w:color w:val="auto"/>
          <w:sz w:val="21"/>
          <w:szCs w:val="21"/>
          <w:highlight w:val="none"/>
        </w:rPr>
        <w:t>日前发布，发布时间至投标截止时间不足</w:t>
      </w:r>
      <w:r>
        <w:rPr>
          <w:rFonts w:hint="eastAsia" w:ascii="宋体" w:hAnsi="宋体" w:cs="宋体"/>
          <w:color w:val="auto"/>
          <w:sz w:val="21"/>
          <w:szCs w:val="21"/>
          <w:highlight w:val="none"/>
          <w:lang w:val="en-US" w:eastAsia="zh-CN"/>
        </w:rPr>
        <w:t>2</w:t>
      </w:r>
      <w:r>
        <w:rPr>
          <w:rFonts w:hint="eastAsia" w:ascii="宋体" w:hAnsi="宋体" w:eastAsia="宋体" w:cs="宋体"/>
          <w:color w:val="auto"/>
          <w:sz w:val="21"/>
          <w:szCs w:val="21"/>
          <w:highlight w:val="none"/>
        </w:rPr>
        <w:t>日的，须相应延后投标截止时间。</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45" w:name="_Toc293756850"/>
      <w:bookmarkStart w:id="146" w:name="_Toc17021"/>
      <w:r>
        <w:rPr>
          <w:rFonts w:hint="eastAsia" w:ascii="宋体" w:hAnsi="宋体" w:eastAsia="宋体" w:cs="宋体"/>
          <w:color w:val="auto"/>
          <w:sz w:val="21"/>
          <w:szCs w:val="21"/>
          <w:highlight w:val="none"/>
        </w:rPr>
        <w:t>2.3比选文件的修改</w:t>
      </w:r>
      <w:bookmarkEnd w:id="145"/>
      <w:bookmarkEnd w:id="146"/>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按照本章2.2</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文件的澄清相关内容及方式执行。</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47" w:name="_Toc5129"/>
      <w:bookmarkStart w:id="148" w:name="_Toc293756851"/>
      <w:r>
        <w:rPr>
          <w:rFonts w:hint="eastAsia" w:ascii="宋体" w:hAnsi="宋体" w:eastAsia="宋体" w:cs="宋体"/>
          <w:color w:val="auto"/>
          <w:sz w:val="21"/>
          <w:szCs w:val="21"/>
          <w:highlight w:val="none"/>
        </w:rPr>
        <w:t xml:space="preserve">3. </w:t>
      </w:r>
      <w:r>
        <w:rPr>
          <w:rFonts w:hint="eastAsia" w:ascii="宋体" w:hAnsi="宋体" w:eastAsia="宋体" w:cs="宋体"/>
          <w:color w:val="auto"/>
          <w:sz w:val="21"/>
          <w:szCs w:val="21"/>
          <w:highlight w:val="none"/>
          <w:lang w:val="en-US" w:eastAsia="zh-CN"/>
        </w:rPr>
        <w:t>投标</w:t>
      </w:r>
      <w:r>
        <w:rPr>
          <w:rFonts w:hint="eastAsia" w:ascii="宋体" w:hAnsi="宋体" w:eastAsia="宋体" w:cs="宋体"/>
          <w:color w:val="auto"/>
          <w:sz w:val="21"/>
          <w:szCs w:val="21"/>
          <w:highlight w:val="none"/>
        </w:rPr>
        <w:t>文件</w:t>
      </w:r>
      <w:bookmarkEnd w:id="147"/>
      <w:bookmarkEnd w:id="148"/>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49" w:name="_Toc293756852"/>
      <w:bookmarkStart w:id="150" w:name="_Toc13118"/>
      <w:r>
        <w:rPr>
          <w:rFonts w:hint="eastAsia" w:ascii="宋体" w:hAnsi="宋体" w:eastAsia="宋体" w:cs="宋体"/>
          <w:color w:val="auto"/>
          <w:sz w:val="21"/>
          <w:szCs w:val="21"/>
          <w:highlight w:val="none"/>
        </w:rPr>
        <w:t xml:space="preserve">3.1 </w:t>
      </w:r>
      <w:r>
        <w:rPr>
          <w:rFonts w:hint="eastAsia" w:ascii="宋体" w:hAnsi="宋体" w:eastAsia="宋体" w:cs="宋体"/>
          <w:color w:val="auto"/>
          <w:sz w:val="21"/>
          <w:szCs w:val="21"/>
          <w:highlight w:val="none"/>
          <w:lang w:val="en-US" w:eastAsia="zh-CN"/>
        </w:rPr>
        <w:t>投标</w:t>
      </w:r>
      <w:r>
        <w:rPr>
          <w:rFonts w:hint="eastAsia" w:ascii="宋体" w:hAnsi="宋体" w:eastAsia="宋体" w:cs="宋体"/>
          <w:color w:val="auto"/>
          <w:sz w:val="21"/>
          <w:szCs w:val="21"/>
          <w:highlight w:val="none"/>
        </w:rPr>
        <w:t>文件的组成</w:t>
      </w:r>
      <w:bookmarkEnd w:id="149"/>
      <w:bookmarkEnd w:id="150"/>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3.1.1 </w:t>
      </w:r>
      <w:r>
        <w:rPr>
          <w:rFonts w:hint="eastAsia" w:ascii="宋体" w:hAnsi="宋体" w:eastAsia="宋体" w:cs="宋体"/>
          <w:color w:val="auto"/>
          <w:sz w:val="21"/>
          <w:szCs w:val="21"/>
          <w:highlight w:val="none"/>
          <w:lang w:val="en-US" w:eastAsia="zh-CN"/>
        </w:rPr>
        <w:t>投标</w:t>
      </w:r>
      <w:r>
        <w:rPr>
          <w:rFonts w:hint="eastAsia" w:ascii="宋体" w:hAnsi="宋体" w:eastAsia="宋体" w:cs="宋体"/>
          <w:color w:val="auto"/>
          <w:sz w:val="21"/>
          <w:szCs w:val="21"/>
          <w:highlight w:val="none"/>
        </w:rPr>
        <w:t>文件应包括下列内容：</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（1）投标函及投标函附录；</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（2）法定代表人身份证明或附有法定代表人身份证明的授权委托书；</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（3）联合体协议书（如有）；</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（4）投标保证金；</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（5）已标价工程量清单；</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（6）技术方案；</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（7）项目管理机构；</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（8）拟分包项目情况表（如有）；</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（9）资格审查资料；</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（10）投标人须知前附表规定的其他材料。</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3.1.2  投标人须知前附表规定不接受联合体投标的，或投标人没有组成联合体的，投标文件不包括本章第3.1.1（3）目所指的联合体协议书。</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51" w:name="_Toc14592"/>
      <w:r>
        <w:rPr>
          <w:rFonts w:hint="eastAsia" w:ascii="宋体" w:hAnsi="宋体" w:eastAsia="宋体" w:cs="宋体"/>
          <w:color w:val="auto"/>
          <w:sz w:val="21"/>
          <w:szCs w:val="21"/>
          <w:highlight w:val="none"/>
        </w:rPr>
        <w:t>3.2</w:t>
      </w:r>
      <w:r>
        <w:rPr>
          <w:rFonts w:hint="eastAsia" w:ascii="宋体" w:hAnsi="宋体" w:eastAsia="宋体" w:cs="宋体"/>
          <w:color w:val="auto"/>
          <w:sz w:val="21"/>
          <w:szCs w:val="21"/>
          <w:highlight w:val="none"/>
          <w:lang w:val="en-US" w:eastAsia="zh-CN"/>
        </w:rPr>
        <w:t xml:space="preserve"> 比选</w:t>
      </w:r>
      <w:r>
        <w:rPr>
          <w:rFonts w:hint="eastAsia" w:ascii="宋体" w:hAnsi="宋体" w:eastAsia="宋体" w:cs="宋体"/>
          <w:color w:val="auto"/>
          <w:sz w:val="21"/>
          <w:szCs w:val="21"/>
          <w:highlight w:val="none"/>
        </w:rPr>
        <w:t>报价</w:t>
      </w:r>
      <w:bookmarkEnd w:id="151"/>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3.2.1  投标人应按第五章“工程量清单”的要求填写相应表格。</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3.2.2  投标人在投标截止时间前修改投标函中的投标总报价，应同时修改第五章“工程量清单”中的相应报价。此修改须符合本章第 4.3 款的有关要求。</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lang w:val="en-US" w:eastAsia="zh-CN"/>
        </w:rPr>
      </w:pPr>
      <w:bookmarkStart w:id="152" w:name="_Toc24781"/>
      <w:r>
        <w:rPr>
          <w:rFonts w:hint="eastAsia" w:ascii="宋体" w:hAnsi="宋体" w:eastAsia="宋体" w:cs="宋体"/>
          <w:color w:val="auto"/>
          <w:sz w:val="21"/>
          <w:szCs w:val="21"/>
          <w:highlight w:val="none"/>
          <w:lang w:val="en-US" w:eastAsia="zh-CN"/>
        </w:rPr>
        <w:t>3.3  投标有效期</w:t>
      </w:r>
      <w:bookmarkEnd w:id="152"/>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3.3.1  在投标人须知前附表规定的投标有效期内，投标人不得要求撤销或修改其投标文件。</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3.3.2  出现特殊情况需要延长投标有效期的，</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以书面形式通知所有投标人延长投标有效期。投标人同意延长的，应相应延长其投标保证金的有效期，但不得要求或被允许修改或撤销其投标文件；投标人拒绝延长的，其投标失效，但投标人有权收回其投标保证金。</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53" w:name="_Toc293756853"/>
      <w:bookmarkStart w:id="154" w:name="_Toc21662"/>
      <w:r>
        <w:rPr>
          <w:rFonts w:hint="eastAsia" w:ascii="宋体" w:hAnsi="宋体" w:eastAsia="宋体" w:cs="宋体"/>
          <w:color w:val="auto"/>
          <w:sz w:val="21"/>
          <w:szCs w:val="21"/>
          <w:highlight w:val="none"/>
        </w:rPr>
        <w:t>3.4 比选保证金</w:t>
      </w:r>
      <w:bookmarkEnd w:id="153"/>
      <w:bookmarkEnd w:id="154"/>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3.4.1 </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人在递交</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文件的同时，应按</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人须知前附表规定的比选保证金金额、比选保证金缴纳形式及要求，缴纳比选保证金，并作为其</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文件的组成部分。</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3.4.2 </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人不按本章第3.4.1 项要求提交比选保证金的，其</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文件作</w:t>
      </w:r>
      <w:r>
        <w:rPr>
          <w:rFonts w:hint="eastAsia" w:ascii="宋体" w:hAnsi="宋体" w:cs="宋体"/>
          <w:color w:val="auto"/>
          <w:sz w:val="21"/>
          <w:szCs w:val="21"/>
          <w:highlight w:val="none"/>
          <w:lang w:val="en-US" w:eastAsia="zh-CN"/>
        </w:rPr>
        <w:t>否决投标</w:t>
      </w:r>
      <w:r>
        <w:rPr>
          <w:rFonts w:hint="eastAsia" w:ascii="宋体" w:hAnsi="宋体" w:eastAsia="宋体" w:cs="宋体"/>
          <w:color w:val="auto"/>
          <w:sz w:val="21"/>
          <w:szCs w:val="21"/>
          <w:highlight w:val="none"/>
        </w:rPr>
        <w:t>处理。</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3.4.3 投标保证金退还：见投标人须知前附表。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（1）投标人在规定的投标有效期内撤销或修改其投标文件；</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（2）中标人在收到中标通知书后，无正当理由拒签合同协议书或未按</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文件规定提交履约担保；</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（3）违反本章9.2条对投标人的纪律要求的；</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（4）法律法规和本</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文件规定的其他情形。</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3.4.5（1）投标保证金为无条件担保；</w:t>
      </w:r>
    </w:p>
    <w:p>
      <w:pPr>
        <w:pageBreakBefore w:val="0"/>
        <w:kinsoku/>
        <w:wordWrap/>
        <w:overflowPunct/>
        <w:topLinePunct w:val="0"/>
        <w:bidi w:val="0"/>
        <w:spacing w:line="360" w:lineRule="auto"/>
        <w:ind w:firstLine="1050" w:firstLineChars="5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（2）投标保证金的受益人为</w:t>
      </w:r>
      <w:r>
        <w:rPr>
          <w:rFonts w:hint="eastAsia" w:ascii="宋体" w:hAnsi="宋体" w:eastAsia="宋体" w:cs="宋体"/>
          <w:color w:val="auto"/>
          <w:sz w:val="21"/>
          <w:szCs w:val="21"/>
          <w:highlight w:val="none"/>
          <w:lang w:eastAsia="zh-CN"/>
        </w:rPr>
        <w:t>比选人</w:t>
      </w:r>
      <w:r>
        <w:rPr>
          <w:rFonts w:hint="eastAsia" w:ascii="宋体" w:hAnsi="宋体" w:eastAsia="宋体" w:cs="宋体"/>
          <w:color w:val="auto"/>
          <w:sz w:val="21"/>
          <w:szCs w:val="21"/>
          <w:highlight w:val="none"/>
        </w:rPr>
        <w:t>。</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55" w:name="_Toc13363"/>
      <w:bookmarkStart w:id="156" w:name="_Toc293756854"/>
      <w:r>
        <w:rPr>
          <w:rFonts w:hint="eastAsia" w:ascii="宋体" w:hAnsi="宋体" w:eastAsia="宋体" w:cs="宋体"/>
          <w:color w:val="auto"/>
          <w:sz w:val="21"/>
          <w:szCs w:val="21"/>
          <w:highlight w:val="none"/>
        </w:rPr>
        <w:t>3.5 资格审查资料</w:t>
      </w:r>
      <w:bookmarkEnd w:id="155"/>
      <w:bookmarkEnd w:id="156"/>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投标人须在</w:t>
      </w:r>
      <w:r>
        <w:rPr>
          <w:rFonts w:hint="eastAsia" w:ascii="宋体" w:hAnsi="宋体" w:cs="宋体"/>
          <w:color w:val="auto"/>
          <w:sz w:val="21"/>
          <w:szCs w:val="21"/>
          <w:highlight w:val="none"/>
          <w:lang w:val="en-US" w:eastAsia="zh-CN"/>
        </w:rPr>
        <w:t>递交投标文件的同时</w:t>
      </w:r>
      <w:r>
        <w:rPr>
          <w:rFonts w:hint="eastAsia" w:ascii="宋体" w:hAnsi="宋体" w:eastAsia="宋体" w:cs="宋体"/>
          <w:color w:val="auto"/>
          <w:sz w:val="21"/>
          <w:szCs w:val="21"/>
          <w:highlight w:val="none"/>
        </w:rPr>
        <w:t>将投标人须知前附表1.4.1中要求的原件一次性提交，评标委员会审查时必须对有关证明和证件的原件核查，若经审查复印件与原件不一致，或未提交原件的，则投标文件作否决投标处理。</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联合体投标的，详见投标人须知前附表联合体投标相关内容。</w:t>
      </w:r>
    </w:p>
    <w:p>
      <w:pPr>
        <w:pageBreakBefore w:val="0"/>
        <w:kinsoku/>
        <w:wordWrap/>
        <w:overflowPunct/>
        <w:topLinePunct w:val="0"/>
        <w:bidi w:val="0"/>
        <w:spacing w:line="360" w:lineRule="auto"/>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3.6 备选</w:t>
      </w:r>
      <w:r>
        <w:rPr>
          <w:rFonts w:hint="eastAsia" w:ascii="宋体" w:hAnsi="宋体" w:eastAsia="宋体" w:cs="宋体"/>
          <w:b/>
          <w:color w:val="auto"/>
          <w:sz w:val="21"/>
          <w:szCs w:val="21"/>
          <w:highlight w:val="none"/>
          <w:lang w:val="en-US" w:eastAsia="zh-CN"/>
        </w:rPr>
        <w:t>比选</w:t>
      </w:r>
      <w:r>
        <w:rPr>
          <w:rFonts w:hint="eastAsia" w:ascii="宋体" w:hAnsi="宋体" w:eastAsia="宋体" w:cs="宋体"/>
          <w:b/>
          <w:color w:val="auto"/>
          <w:sz w:val="21"/>
          <w:szCs w:val="21"/>
          <w:highlight w:val="none"/>
        </w:rPr>
        <w:t>方案</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rPr>
        <w:t>除投标人须知前附表另有规定外，投标人不得递交备选</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方案。允许投标人递交备选投标方案的，只有中标人所递交的备选投标方案方可予以考虑。评标委员会认为中标人的备选投标方案优于其按照</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文件要求编制的投标方案的，</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人可以接受该备选</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方案</w:t>
      </w:r>
      <w:r>
        <w:rPr>
          <w:rFonts w:hint="eastAsia" w:ascii="宋体" w:hAnsi="宋体" w:eastAsia="宋体" w:cs="宋体"/>
          <w:color w:val="auto"/>
          <w:sz w:val="21"/>
          <w:szCs w:val="21"/>
          <w:highlight w:val="none"/>
          <w:lang w:eastAsia="zh-CN"/>
        </w:rPr>
        <w:t>。</w:t>
      </w:r>
    </w:p>
    <w:p>
      <w:pPr>
        <w:pageBreakBefore w:val="0"/>
        <w:kinsoku/>
        <w:wordWrap/>
        <w:overflowPunct/>
        <w:topLinePunct w:val="0"/>
        <w:bidi w:val="0"/>
        <w:spacing w:line="360" w:lineRule="auto"/>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 xml:space="preserve">3.7 </w:t>
      </w:r>
      <w:r>
        <w:rPr>
          <w:rFonts w:hint="eastAsia" w:ascii="宋体" w:hAnsi="宋体" w:eastAsia="宋体" w:cs="宋体"/>
          <w:b/>
          <w:color w:val="auto"/>
          <w:sz w:val="21"/>
          <w:szCs w:val="21"/>
          <w:highlight w:val="none"/>
          <w:lang w:eastAsia="zh-CN"/>
        </w:rPr>
        <w:t>投标</w:t>
      </w:r>
      <w:r>
        <w:rPr>
          <w:rFonts w:hint="eastAsia" w:ascii="宋体" w:hAnsi="宋体" w:eastAsia="宋体" w:cs="宋体"/>
          <w:b/>
          <w:color w:val="auto"/>
          <w:sz w:val="21"/>
          <w:szCs w:val="21"/>
          <w:highlight w:val="none"/>
        </w:rPr>
        <w:t>文件的编制</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bookmarkStart w:id="157" w:name="_Toc293756855"/>
      <w:r>
        <w:rPr>
          <w:rFonts w:hint="eastAsia" w:ascii="宋体" w:hAnsi="宋体" w:eastAsia="宋体" w:cs="宋体"/>
          <w:color w:val="auto"/>
          <w:sz w:val="21"/>
          <w:szCs w:val="21"/>
          <w:highlight w:val="none"/>
        </w:rPr>
        <w:t>3.7.1  投标文件应按第八章“投标文件格式”进行编写，如有必要，可以增加附页，作为投标文件的组成部分。其中，投标函附录在满足</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文件实质性要求的基础上，可以提出比</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文件要求更有利于</w:t>
      </w:r>
      <w:r>
        <w:rPr>
          <w:rFonts w:hint="eastAsia" w:ascii="宋体" w:hAnsi="宋体" w:eastAsia="宋体" w:cs="宋体"/>
          <w:color w:val="auto"/>
          <w:sz w:val="21"/>
          <w:szCs w:val="21"/>
          <w:highlight w:val="none"/>
          <w:lang w:eastAsia="zh-CN"/>
        </w:rPr>
        <w:t>比选人</w:t>
      </w:r>
      <w:r>
        <w:rPr>
          <w:rFonts w:hint="eastAsia" w:ascii="宋体" w:hAnsi="宋体" w:eastAsia="宋体" w:cs="宋体"/>
          <w:color w:val="auto"/>
          <w:sz w:val="21"/>
          <w:szCs w:val="21"/>
          <w:highlight w:val="none"/>
        </w:rPr>
        <w:t>的承诺。</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3.7.2  投标文件应当对</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文件有关工期、投标有效期、质量要求、技术标准和要求、</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范围等实质性内容做出响应。</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3.7.3  投标文件的签字盖章要求：按本章投标人须知前附表第3.7.3项执行。</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3.7.4  投标文件的份数见投标人须知前附表。《技术部分》不分正副本，正本和副本的封面上应清楚地标记“正本”或“副本”的字样，正本和副本封面均须加盖单位法人章，否则作否决投标处理。当副本和正本不一致时，以正本为准。</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3.7.5  投标文件的正本与副本应分别装订成册，并编制目录，具体装订要求见投标人须知前附表规定。</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58" w:name="_Toc11845"/>
      <w:r>
        <w:rPr>
          <w:rFonts w:hint="eastAsia" w:ascii="宋体" w:hAnsi="宋体" w:eastAsia="宋体" w:cs="宋体"/>
          <w:color w:val="auto"/>
          <w:sz w:val="21"/>
          <w:szCs w:val="21"/>
          <w:highlight w:val="none"/>
        </w:rPr>
        <w:t xml:space="preserve">4. </w:t>
      </w:r>
      <w:bookmarkEnd w:id="157"/>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文件的递交等</w:t>
      </w:r>
      <w:bookmarkEnd w:id="158"/>
    </w:p>
    <w:p>
      <w:pPr>
        <w:pStyle w:val="5"/>
        <w:pageBreakBefore w:val="0"/>
        <w:kinsoku/>
        <w:wordWrap/>
        <w:overflowPunct/>
        <w:topLinePunct w:val="0"/>
        <w:bidi w:val="0"/>
        <w:spacing w:before="0" w:after="0" w:line="360" w:lineRule="auto"/>
        <w:ind w:firstLine="422" w:firstLineChars="200"/>
        <w:textAlignment w:val="auto"/>
        <w:rPr>
          <w:rFonts w:hint="eastAsia" w:ascii="宋体" w:hAnsi="宋体" w:eastAsia="宋体" w:cs="宋体"/>
          <w:color w:val="auto"/>
          <w:sz w:val="21"/>
          <w:szCs w:val="21"/>
          <w:highlight w:val="none"/>
        </w:rPr>
      </w:pPr>
      <w:bookmarkStart w:id="159" w:name="_Toc22471"/>
      <w:bookmarkStart w:id="160" w:name="_Toc293756856"/>
      <w:r>
        <w:rPr>
          <w:rFonts w:hint="eastAsia" w:ascii="宋体" w:hAnsi="宋体" w:eastAsia="宋体" w:cs="宋体"/>
          <w:color w:val="auto"/>
          <w:sz w:val="21"/>
          <w:szCs w:val="21"/>
          <w:highlight w:val="none"/>
        </w:rPr>
        <w:t xml:space="preserve">4.1 </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文件的密封和标记</w:t>
      </w:r>
      <w:bookmarkEnd w:id="159"/>
      <w:bookmarkEnd w:id="160"/>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4.1.1  </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文件的正本与副本密封见</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4.1.2  </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文件的封套上应写明的内容见投标人须知前附表。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4.1.3  未按本章第 4.</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项要求密封的</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文件，比选人不予受理。</w:t>
      </w:r>
    </w:p>
    <w:p>
      <w:pPr>
        <w:pStyle w:val="5"/>
        <w:pageBreakBefore w:val="0"/>
        <w:kinsoku/>
        <w:wordWrap/>
        <w:overflowPunct/>
        <w:topLinePunct w:val="0"/>
        <w:bidi w:val="0"/>
        <w:spacing w:before="0" w:after="0" w:line="360" w:lineRule="auto"/>
        <w:ind w:firstLine="422" w:firstLineChars="200"/>
        <w:textAlignment w:val="auto"/>
        <w:rPr>
          <w:rFonts w:hint="eastAsia" w:ascii="宋体" w:hAnsi="宋体" w:eastAsia="宋体" w:cs="宋体"/>
          <w:color w:val="auto"/>
          <w:sz w:val="21"/>
          <w:szCs w:val="21"/>
          <w:highlight w:val="none"/>
        </w:rPr>
      </w:pPr>
      <w:bookmarkStart w:id="161" w:name="_Toc11659"/>
      <w:bookmarkStart w:id="162" w:name="_Toc293756857"/>
      <w:r>
        <w:rPr>
          <w:rFonts w:hint="eastAsia" w:ascii="宋体" w:hAnsi="宋体" w:eastAsia="宋体" w:cs="宋体"/>
          <w:color w:val="auto"/>
          <w:sz w:val="21"/>
          <w:szCs w:val="21"/>
          <w:highlight w:val="none"/>
        </w:rPr>
        <w:t xml:space="preserve">4.2 </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文件的递交</w:t>
      </w:r>
      <w:bookmarkEnd w:id="161"/>
      <w:bookmarkEnd w:id="162"/>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4.2.1 </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人应按本章</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人须知前附表第</w:t>
      </w: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.2.</w:t>
      </w: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项规定的时间递交</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4.2.2 </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人递交</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文件的地点：见</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人须知前附表。</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4.2.3 除</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人须知前附表另有规定外，</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人所递交的</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文件不予退还。</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4.2.4 逾期送达的或者未送达指定地点的</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文件，比选人不予受理。</w:t>
      </w:r>
    </w:p>
    <w:p>
      <w:pPr>
        <w:pStyle w:val="5"/>
        <w:pageBreakBefore w:val="0"/>
        <w:kinsoku/>
        <w:wordWrap/>
        <w:overflowPunct/>
        <w:topLinePunct w:val="0"/>
        <w:bidi w:val="0"/>
        <w:spacing w:before="0" w:after="0" w:line="360" w:lineRule="auto"/>
        <w:ind w:firstLine="422" w:firstLineChars="200"/>
        <w:textAlignment w:val="auto"/>
        <w:rPr>
          <w:rFonts w:hint="eastAsia" w:ascii="宋体" w:hAnsi="宋体" w:eastAsia="宋体" w:cs="宋体"/>
          <w:color w:val="auto"/>
          <w:sz w:val="21"/>
          <w:szCs w:val="21"/>
          <w:highlight w:val="none"/>
        </w:rPr>
      </w:pPr>
      <w:bookmarkStart w:id="163" w:name="_Toc10516"/>
      <w:bookmarkStart w:id="164" w:name="_Toc293756858"/>
      <w:r>
        <w:rPr>
          <w:rFonts w:hint="eastAsia" w:ascii="宋体" w:hAnsi="宋体" w:eastAsia="宋体" w:cs="宋体"/>
          <w:color w:val="auto"/>
          <w:sz w:val="21"/>
          <w:szCs w:val="21"/>
          <w:highlight w:val="none"/>
        </w:rPr>
        <w:t xml:space="preserve">4.3 </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文件的修改与撤回</w:t>
      </w:r>
      <w:bookmarkEnd w:id="163"/>
      <w:bookmarkEnd w:id="164"/>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4.3.1 在本章</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人须知前附表第</w:t>
      </w: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.2.</w:t>
      </w: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项规定的比选截止时间前，</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人可以修改或撤回已递交的</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文件，但应以书面形式通知比选人。</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4.3.2 </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人修改或撤回已递交</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文件的书面通知应按照本章第3.7.3 项的要求签字或盖章。比选人收到书面通知后，向</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人出具签收凭证。</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4.3.3 修改的内容为</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文件的组成部分。修改的</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文件应按照本章第3 条、第4 条规定进行编制、密封、标记和递交，并标明“修改”字样。</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65" w:name="_Toc293756859"/>
      <w:bookmarkStart w:id="166" w:name="_Toc9452"/>
      <w:r>
        <w:rPr>
          <w:rFonts w:hint="eastAsia" w:ascii="宋体" w:hAnsi="宋体" w:eastAsia="宋体" w:cs="宋体"/>
          <w:color w:val="auto"/>
          <w:sz w:val="21"/>
          <w:szCs w:val="21"/>
          <w:highlight w:val="none"/>
        </w:rPr>
        <w:t xml:space="preserve">5. </w:t>
      </w:r>
      <w:bookmarkEnd w:id="165"/>
      <w:r>
        <w:rPr>
          <w:rFonts w:hint="eastAsia" w:ascii="宋体" w:hAnsi="宋体" w:eastAsia="宋体" w:cs="宋体"/>
          <w:color w:val="auto"/>
          <w:sz w:val="21"/>
          <w:szCs w:val="21"/>
          <w:highlight w:val="none"/>
        </w:rPr>
        <w:t>比选</w:t>
      </w:r>
      <w:bookmarkEnd w:id="166"/>
    </w:p>
    <w:p>
      <w:pPr>
        <w:pStyle w:val="5"/>
        <w:pageBreakBefore w:val="0"/>
        <w:kinsoku/>
        <w:wordWrap/>
        <w:overflowPunct/>
        <w:topLinePunct w:val="0"/>
        <w:bidi w:val="0"/>
        <w:spacing w:before="0" w:after="0" w:line="360" w:lineRule="auto"/>
        <w:ind w:firstLine="422" w:firstLineChars="200"/>
        <w:textAlignment w:val="auto"/>
        <w:rPr>
          <w:rFonts w:hint="eastAsia" w:ascii="宋体" w:hAnsi="宋体" w:eastAsia="宋体" w:cs="宋体"/>
          <w:color w:val="auto"/>
          <w:sz w:val="21"/>
          <w:szCs w:val="21"/>
          <w:highlight w:val="none"/>
        </w:rPr>
      </w:pPr>
      <w:bookmarkStart w:id="167" w:name="_Toc293756860"/>
      <w:bookmarkStart w:id="168" w:name="_Toc30525"/>
      <w:r>
        <w:rPr>
          <w:rFonts w:hint="eastAsia" w:ascii="宋体" w:hAnsi="宋体" w:eastAsia="宋体" w:cs="宋体"/>
          <w:color w:val="auto"/>
          <w:sz w:val="21"/>
          <w:szCs w:val="21"/>
          <w:highlight w:val="none"/>
        </w:rPr>
        <w:t>5.1 比选时间和地点</w:t>
      </w:r>
      <w:bookmarkEnd w:id="167"/>
      <w:bookmarkEnd w:id="168"/>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eastAsia="zh-CN"/>
        </w:rPr>
        <w:t>比选人</w:t>
      </w:r>
      <w:r>
        <w:rPr>
          <w:rFonts w:hint="eastAsia" w:ascii="宋体" w:hAnsi="宋体" w:eastAsia="宋体" w:cs="宋体"/>
          <w:color w:val="auto"/>
          <w:sz w:val="21"/>
          <w:szCs w:val="21"/>
          <w:highlight w:val="none"/>
        </w:rPr>
        <w:t>在投标人须知前附表第 2.2.2 项规定的投标截止时间（开标时间）和投标人须知前附表规定的地点公开开标，并邀请所有投标人的法定代表人或其委托代理人准时参加。</w:t>
      </w:r>
    </w:p>
    <w:p>
      <w:pPr>
        <w:pStyle w:val="5"/>
        <w:pageBreakBefore w:val="0"/>
        <w:kinsoku/>
        <w:wordWrap/>
        <w:overflowPunct/>
        <w:topLinePunct w:val="0"/>
        <w:bidi w:val="0"/>
        <w:spacing w:before="0" w:after="0" w:line="360" w:lineRule="auto"/>
        <w:ind w:firstLine="422" w:firstLineChars="200"/>
        <w:textAlignment w:val="auto"/>
        <w:rPr>
          <w:rFonts w:hint="eastAsia" w:ascii="宋体" w:hAnsi="宋体" w:eastAsia="宋体" w:cs="宋体"/>
          <w:color w:val="auto"/>
          <w:sz w:val="21"/>
          <w:szCs w:val="21"/>
          <w:highlight w:val="none"/>
        </w:rPr>
      </w:pPr>
      <w:bookmarkStart w:id="169" w:name="_Toc15151"/>
      <w:bookmarkStart w:id="170" w:name="_Toc293756861"/>
      <w:r>
        <w:rPr>
          <w:rFonts w:hint="eastAsia" w:ascii="宋体" w:hAnsi="宋体" w:eastAsia="宋体" w:cs="宋体"/>
          <w:color w:val="auto"/>
          <w:sz w:val="21"/>
          <w:szCs w:val="21"/>
          <w:highlight w:val="none"/>
        </w:rPr>
        <w:t>5.2 比选程序</w:t>
      </w:r>
      <w:bookmarkEnd w:id="169"/>
      <w:bookmarkEnd w:id="170"/>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lang w:val="en-US" w:eastAsia="zh-CN"/>
        </w:rPr>
      </w:pPr>
      <w:bookmarkStart w:id="171" w:name="_Toc293756862"/>
      <w:r>
        <w:rPr>
          <w:rFonts w:hint="eastAsia" w:ascii="宋体" w:hAnsi="宋体" w:eastAsia="宋体" w:cs="宋体"/>
          <w:color w:val="auto"/>
          <w:sz w:val="21"/>
          <w:szCs w:val="21"/>
          <w:highlight w:val="none"/>
        </w:rPr>
        <w:t>详见投标人须知前附表5.2开标程序</w:t>
      </w:r>
      <w:r>
        <w:rPr>
          <w:rFonts w:hint="eastAsia" w:ascii="宋体" w:hAnsi="宋体" w:eastAsia="宋体" w:cs="宋体"/>
          <w:color w:val="auto"/>
          <w:sz w:val="21"/>
          <w:szCs w:val="21"/>
          <w:highlight w:val="none"/>
          <w:lang w:eastAsia="zh-CN"/>
        </w:rPr>
        <w:t>。</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172" w:name="_Toc22870"/>
      <w:r>
        <w:rPr>
          <w:rFonts w:hint="eastAsia" w:ascii="宋体" w:hAnsi="宋体" w:eastAsia="宋体" w:cs="宋体"/>
          <w:color w:val="auto"/>
          <w:sz w:val="21"/>
          <w:szCs w:val="21"/>
          <w:highlight w:val="none"/>
        </w:rPr>
        <w:t>6. 评</w:t>
      </w:r>
      <w:bookmarkEnd w:id="171"/>
      <w:r>
        <w:rPr>
          <w:rFonts w:hint="eastAsia" w:ascii="宋体" w:hAnsi="宋体" w:eastAsia="宋体" w:cs="宋体"/>
          <w:color w:val="auto"/>
          <w:sz w:val="21"/>
          <w:szCs w:val="21"/>
          <w:highlight w:val="none"/>
        </w:rPr>
        <w:t>审</w:t>
      </w:r>
      <w:bookmarkEnd w:id="172"/>
    </w:p>
    <w:p>
      <w:pPr>
        <w:keepNext w:val="0"/>
        <w:keepLines w:val="0"/>
        <w:pageBreakBefore w:val="0"/>
        <w:widowControl w:val="0"/>
        <w:kinsoku/>
        <w:wordWrap/>
        <w:overflowPunct/>
        <w:topLinePunct w:val="0"/>
        <w:bidi w:val="0"/>
        <w:snapToGrid w:val="0"/>
        <w:spacing w:before="0" w:after="0" w:line="360" w:lineRule="auto"/>
        <w:ind w:firstLine="420" w:firstLineChars="200"/>
        <w:jc w:val="both"/>
        <w:textAlignment w:val="auto"/>
        <w:outlineLvl w:val="2"/>
        <w:rPr>
          <w:rFonts w:hint="eastAsia" w:ascii="宋体" w:hAnsi="宋体" w:eastAsia="宋体" w:cs="宋体"/>
          <w:b w:val="0"/>
          <w:bCs/>
          <w:snapToGrid w:val="0"/>
          <w:color w:val="auto"/>
          <w:kern w:val="2"/>
          <w:sz w:val="21"/>
          <w:szCs w:val="21"/>
          <w:highlight w:val="none"/>
          <w:lang w:val="en-US" w:eastAsia="zh-CN" w:bidi="ar-SA"/>
        </w:rPr>
      </w:pPr>
      <w:bookmarkStart w:id="173" w:name="_Toc200513161"/>
      <w:bookmarkStart w:id="174" w:name="_Toc509218745"/>
      <w:bookmarkStart w:id="175" w:name="_Toc287607781"/>
      <w:bookmarkStart w:id="176" w:name="_Toc224103352"/>
      <w:bookmarkStart w:id="177" w:name="_Toc277082587"/>
      <w:bookmarkStart w:id="178" w:name="_Toc287620720"/>
      <w:bookmarkStart w:id="179" w:name="_Toc430530470"/>
      <w:bookmarkStart w:id="180" w:name="_Toc12511"/>
      <w:bookmarkStart w:id="181" w:name="_Toc293756866"/>
      <w:r>
        <w:rPr>
          <w:rFonts w:hint="eastAsia" w:ascii="宋体" w:hAnsi="宋体" w:eastAsia="宋体" w:cs="宋体"/>
          <w:b w:val="0"/>
          <w:bCs/>
          <w:snapToGrid w:val="0"/>
          <w:color w:val="auto"/>
          <w:kern w:val="2"/>
          <w:sz w:val="21"/>
          <w:szCs w:val="21"/>
          <w:highlight w:val="none"/>
          <w:lang w:val="en-US" w:eastAsia="zh-CN" w:bidi="ar-SA"/>
        </w:rPr>
        <w:t>6.1  评标委员会</w:t>
      </w:r>
      <w:bookmarkEnd w:id="173"/>
      <w:bookmarkEnd w:id="174"/>
      <w:bookmarkEnd w:id="175"/>
      <w:bookmarkEnd w:id="176"/>
      <w:bookmarkEnd w:id="177"/>
      <w:bookmarkEnd w:id="178"/>
      <w:bookmarkEnd w:id="179"/>
      <w:bookmarkEnd w:id="180"/>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b/>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6.1.1  评标由</w:t>
      </w:r>
      <w:r>
        <w:rPr>
          <w:rFonts w:hint="eastAsia" w:ascii="宋体" w:hAnsi="宋体" w:eastAsia="宋体" w:cs="宋体"/>
          <w:snapToGrid w:val="0"/>
          <w:color w:val="auto"/>
          <w:kern w:val="0"/>
          <w:sz w:val="21"/>
          <w:szCs w:val="21"/>
          <w:highlight w:val="none"/>
          <w:lang w:val="en-US" w:eastAsia="zh-CN"/>
        </w:rPr>
        <w:t>比选</w:t>
      </w:r>
      <w:r>
        <w:rPr>
          <w:rFonts w:hint="eastAsia" w:ascii="宋体" w:hAnsi="宋体" w:eastAsia="宋体" w:cs="宋体"/>
          <w:snapToGrid w:val="0"/>
          <w:color w:val="auto"/>
          <w:kern w:val="0"/>
          <w:sz w:val="21"/>
          <w:szCs w:val="21"/>
          <w:highlight w:val="none"/>
        </w:rPr>
        <w:t>人依据法律法规和相关规范性文件组建的评标委员会负责。</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6.1.2  评标委员会成员有下列情形之一的，应当回避：</w:t>
      </w:r>
    </w:p>
    <w:p>
      <w:pPr>
        <w:keepNext/>
        <w:keepLines/>
        <w:pageBreakBefore w:val="0"/>
        <w:widowControl w:val="0"/>
        <w:kinsoku/>
        <w:wordWrap/>
        <w:overflowPunct/>
        <w:topLinePunct w:val="0"/>
        <w:bidi w:val="0"/>
        <w:snapToGrid w:val="0"/>
        <w:spacing w:before="0" w:after="0" w:line="360" w:lineRule="auto"/>
        <w:ind w:firstLine="420" w:firstLineChars="200"/>
        <w:jc w:val="both"/>
        <w:textAlignment w:val="auto"/>
        <w:outlineLvl w:val="2"/>
        <w:rPr>
          <w:rFonts w:hint="eastAsia" w:ascii="宋体" w:hAnsi="宋体" w:eastAsia="宋体" w:cs="宋体"/>
          <w:snapToGrid w:val="0"/>
          <w:color w:val="auto"/>
          <w:kern w:val="0"/>
          <w:sz w:val="21"/>
          <w:szCs w:val="21"/>
          <w:highlight w:val="none"/>
        </w:rPr>
      </w:pPr>
      <w:bookmarkStart w:id="182" w:name="_Toc1144"/>
      <w:bookmarkStart w:id="183" w:name="_Toc287620721"/>
      <w:bookmarkStart w:id="184" w:name="_Toc430530471"/>
      <w:bookmarkStart w:id="185" w:name="_Toc200513162"/>
      <w:bookmarkStart w:id="186" w:name="_Toc287607782"/>
      <w:bookmarkStart w:id="187" w:name="_Toc277082588"/>
      <w:bookmarkStart w:id="188" w:name="_Toc509218746"/>
      <w:bookmarkStart w:id="189" w:name="_Toc224103353"/>
      <w:r>
        <w:rPr>
          <w:rFonts w:hint="eastAsia" w:ascii="宋体" w:hAnsi="宋体" w:eastAsia="宋体" w:cs="宋体"/>
          <w:snapToGrid w:val="0"/>
          <w:color w:val="auto"/>
          <w:kern w:val="0"/>
          <w:sz w:val="21"/>
          <w:szCs w:val="21"/>
          <w:highlight w:val="none"/>
        </w:rPr>
        <w:t>（1）投标人或投标人的主要负责人的近亲属；</w:t>
      </w:r>
      <w:bookmarkEnd w:id="182"/>
    </w:p>
    <w:p>
      <w:pPr>
        <w:keepNext/>
        <w:keepLines/>
        <w:pageBreakBefore w:val="0"/>
        <w:widowControl w:val="0"/>
        <w:kinsoku/>
        <w:wordWrap/>
        <w:overflowPunct/>
        <w:topLinePunct w:val="0"/>
        <w:bidi w:val="0"/>
        <w:snapToGrid w:val="0"/>
        <w:spacing w:before="0" w:after="0" w:line="360" w:lineRule="auto"/>
        <w:ind w:firstLine="420" w:firstLineChars="200"/>
        <w:jc w:val="both"/>
        <w:textAlignment w:val="auto"/>
        <w:outlineLvl w:val="2"/>
        <w:rPr>
          <w:rFonts w:hint="eastAsia" w:ascii="宋体" w:hAnsi="宋体" w:eastAsia="宋体" w:cs="宋体"/>
          <w:snapToGrid w:val="0"/>
          <w:color w:val="auto"/>
          <w:kern w:val="0"/>
          <w:sz w:val="21"/>
          <w:szCs w:val="21"/>
          <w:highlight w:val="none"/>
        </w:rPr>
      </w:pPr>
      <w:bookmarkStart w:id="190" w:name="_Toc27262"/>
      <w:r>
        <w:rPr>
          <w:rFonts w:hint="eastAsia" w:ascii="宋体" w:hAnsi="宋体" w:eastAsia="宋体" w:cs="宋体"/>
          <w:snapToGrid w:val="0"/>
          <w:color w:val="auto"/>
          <w:kern w:val="0"/>
          <w:sz w:val="21"/>
          <w:szCs w:val="21"/>
          <w:highlight w:val="none"/>
        </w:rPr>
        <w:t>（2）项目主管部门或者项目行政监督部门的人员；</w:t>
      </w:r>
      <w:bookmarkEnd w:id="190"/>
    </w:p>
    <w:p>
      <w:pPr>
        <w:keepNext/>
        <w:keepLines/>
        <w:pageBreakBefore w:val="0"/>
        <w:widowControl w:val="0"/>
        <w:kinsoku/>
        <w:wordWrap/>
        <w:overflowPunct/>
        <w:topLinePunct w:val="0"/>
        <w:bidi w:val="0"/>
        <w:snapToGrid w:val="0"/>
        <w:spacing w:before="0" w:after="0" w:line="360" w:lineRule="auto"/>
        <w:ind w:firstLine="420" w:firstLineChars="200"/>
        <w:jc w:val="both"/>
        <w:textAlignment w:val="auto"/>
        <w:outlineLvl w:val="2"/>
        <w:rPr>
          <w:rFonts w:hint="eastAsia" w:ascii="宋体" w:hAnsi="宋体" w:eastAsia="宋体" w:cs="宋体"/>
          <w:snapToGrid w:val="0"/>
          <w:color w:val="auto"/>
          <w:kern w:val="0"/>
          <w:sz w:val="21"/>
          <w:szCs w:val="21"/>
          <w:highlight w:val="none"/>
        </w:rPr>
      </w:pPr>
      <w:bookmarkStart w:id="191" w:name="_Toc1961"/>
      <w:r>
        <w:rPr>
          <w:rFonts w:hint="eastAsia" w:ascii="宋体" w:hAnsi="宋体" w:eastAsia="宋体" w:cs="宋体"/>
          <w:snapToGrid w:val="0"/>
          <w:color w:val="auto"/>
          <w:kern w:val="0"/>
          <w:sz w:val="21"/>
          <w:szCs w:val="21"/>
          <w:highlight w:val="none"/>
        </w:rPr>
        <w:t>（3）与投标人有利害关系，可能影响对投标公正评审的；</w:t>
      </w:r>
      <w:bookmarkEnd w:id="191"/>
    </w:p>
    <w:p>
      <w:pPr>
        <w:keepNext/>
        <w:keepLines/>
        <w:pageBreakBefore w:val="0"/>
        <w:widowControl w:val="0"/>
        <w:kinsoku/>
        <w:wordWrap/>
        <w:overflowPunct/>
        <w:topLinePunct w:val="0"/>
        <w:bidi w:val="0"/>
        <w:snapToGrid w:val="0"/>
        <w:spacing w:before="0" w:after="0" w:line="360" w:lineRule="auto"/>
        <w:ind w:firstLine="420" w:firstLineChars="200"/>
        <w:jc w:val="both"/>
        <w:textAlignment w:val="auto"/>
        <w:outlineLvl w:val="2"/>
        <w:rPr>
          <w:rFonts w:hint="eastAsia" w:ascii="宋体" w:hAnsi="宋体" w:eastAsia="宋体" w:cs="宋体"/>
          <w:snapToGrid w:val="0"/>
          <w:color w:val="auto"/>
          <w:kern w:val="0"/>
          <w:sz w:val="21"/>
          <w:szCs w:val="21"/>
          <w:highlight w:val="none"/>
        </w:rPr>
      </w:pPr>
      <w:bookmarkStart w:id="192" w:name="_Toc11615"/>
      <w:r>
        <w:rPr>
          <w:rFonts w:hint="eastAsia" w:ascii="宋体" w:hAnsi="宋体" w:eastAsia="宋体" w:cs="宋体"/>
          <w:snapToGrid w:val="0"/>
          <w:color w:val="auto"/>
          <w:kern w:val="0"/>
          <w:sz w:val="21"/>
          <w:szCs w:val="21"/>
          <w:highlight w:val="none"/>
        </w:rPr>
        <w:t>（4）曾因在招标、评标以及其他与招标投标有关活动中从事违法行为而受过行政处罚或刑事处罚的；</w:t>
      </w:r>
      <w:bookmarkEnd w:id="192"/>
    </w:p>
    <w:p>
      <w:pPr>
        <w:keepNext/>
        <w:keepLines/>
        <w:pageBreakBefore w:val="0"/>
        <w:widowControl w:val="0"/>
        <w:kinsoku/>
        <w:wordWrap/>
        <w:overflowPunct/>
        <w:topLinePunct w:val="0"/>
        <w:bidi w:val="0"/>
        <w:snapToGrid w:val="0"/>
        <w:spacing w:before="0" w:after="0" w:line="360" w:lineRule="auto"/>
        <w:ind w:firstLine="420" w:firstLineChars="200"/>
        <w:jc w:val="both"/>
        <w:textAlignment w:val="auto"/>
        <w:outlineLvl w:val="2"/>
        <w:rPr>
          <w:rFonts w:hint="eastAsia" w:ascii="宋体" w:hAnsi="宋体" w:eastAsia="宋体" w:cs="宋体"/>
          <w:snapToGrid w:val="0"/>
          <w:color w:val="auto"/>
          <w:kern w:val="0"/>
          <w:sz w:val="21"/>
          <w:szCs w:val="21"/>
          <w:highlight w:val="none"/>
        </w:rPr>
      </w:pPr>
      <w:bookmarkStart w:id="193" w:name="_Toc17356"/>
      <w:r>
        <w:rPr>
          <w:rFonts w:hint="eastAsia" w:ascii="宋体" w:hAnsi="宋体" w:eastAsia="宋体" w:cs="宋体"/>
          <w:snapToGrid w:val="0"/>
          <w:color w:val="auto"/>
          <w:kern w:val="0"/>
          <w:sz w:val="21"/>
          <w:szCs w:val="21"/>
          <w:highlight w:val="none"/>
        </w:rPr>
        <w:t>（5）法律法规规定的其他情形。</w:t>
      </w:r>
      <w:bookmarkEnd w:id="193"/>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6.1.3  评标过程中，评标委员会成员有回避事由、擅离职守或者因健康等原因不能继续评标的，应当及时更换。被更换的评标委员会成员作出的评审结论无效，由更换后的评标委员会成员重新进行评审。</w:t>
      </w:r>
    </w:p>
    <w:p>
      <w:pPr>
        <w:pStyle w:val="5"/>
        <w:pageBreakBefore w:val="0"/>
        <w:kinsoku/>
        <w:wordWrap/>
        <w:overflowPunct/>
        <w:topLinePunct w:val="0"/>
        <w:bidi w:val="0"/>
        <w:spacing w:before="0" w:after="0" w:line="360" w:lineRule="auto"/>
        <w:ind w:firstLine="422" w:firstLineChars="200"/>
        <w:textAlignment w:val="auto"/>
        <w:rPr>
          <w:rFonts w:hint="eastAsia" w:ascii="宋体" w:hAnsi="宋体" w:eastAsia="宋体" w:cs="宋体"/>
          <w:color w:val="auto"/>
          <w:sz w:val="21"/>
          <w:szCs w:val="21"/>
          <w:highlight w:val="none"/>
          <w:lang w:val="en-US" w:eastAsia="zh-CN"/>
        </w:rPr>
      </w:pPr>
      <w:bookmarkStart w:id="194" w:name="_Toc11338"/>
      <w:r>
        <w:rPr>
          <w:rFonts w:hint="eastAsia" w:ascii="宋体" w:hAnsi="宋体" w:eastAsia="宋体" w:cs="宋体"/>
          <w:color w:val="auto"/>
          <w:sz w:val="21"/>
          <w:szCs w:val="21"/>
          <w:highlight w:val="none"/>
          <w:lang w:val="en-US" w:eastAsia="zh-CN"/>
        </w:rPr>
        <w:t>6.2  评标原则</w:t>
      </w:r>
      <w:bookmarkEnd w:id="183"/>
      <w:bookmarkEnd w:id="184"/>
      <w:bookmarkEnd w:id="185"/>
      <w:bookmarkEnd w:id="186"/>
      <w:bookmarkEnd w:id="187"/>
      <w:bookmarkEnd w:id="188"/>
      <w:bookmarkEnd w:id="189"/>
      <w:bookmarkEnd w:id="194"/>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评标活动遵循公平、公正、科学和择优的原则。</w:t>
      </w:r>
    </w:p>
    <w:p>
      <w:pPr>
        <w:pStyle w:val="5"/>
        <w:pageBreakBefore w:val="0"/>
        <w:kinsoku/>
        <w:wordWrap/>
        <w:overflowPunct/>
        <w:topLinePunct w:val="0"/>
        <w:bidi w:val="0"/>
        <w:spacing w:before="0" w:after="0" w:line="360" w:lineRule="auto"/>
        <w:ind w:firstLine="422" w:firstLineChars="200"/>
        <w:textAlignment w:val="auto"/>
        <w:rPr>
          <w:rFonts w:hint="eastAsia" w:ascii="宋体" w:hAnsi="宋体" w:eastAsia="宋体" w:cs="宋体"/>
          <w:color w:val="auto"/>
          <w:sz w:val="21"/>
          <w:szCs w:val="21"/>
          <w:highlight w:val="none"/>
          <w:lang w:val="en-US" w:eastAsia="zh-CN"/>
        </w:rPr>
      </w:pPr>
      <w:bookmarkStart w:id="195" w:name="_Toc224103354"/>
      <w:bookmarkStart w:id="196" w:name="_Toc509218747"/>
      <w:bookmarkStart w:id="197" w:name="_Toc430530472"/>
      <w:bookmarkStart w:id="198" w:name="_Toc277082589"/>
      <w:bookmarkStart w:id="199" w:name="_Toc287620722"/>
      <w:bookmarkStart w:id="200" w:name="_Toc287607783"/>
      <w:bookmarkStart w:id="201" w:name="_Toc26669"/>
      <w:bookmarkStart w:id="202" w:name="_Toc200513163"/>
      <w:r>
        <w:rPr>
          <w:rFonts w:hint="eastAsia" w:ascii="宋体" w:hAnsi="宋体" w:eastAsia="宋体" w:cs="宋体"/>
          <w:color w:val="auto"/>
          <w:sz w:val="21"/>
          <w:szCs w:val="21"/>
          <w:highlight w:val="none"/>
          <w:lang w:val="en-US" w:eastAsia="zh-CN"/>
        </w:rPr>
        <w:t>6.3  评标</w:t>
      </w:r>
      <w:bookmarkEnd w:id="195"/>
      <w:bookmarkEnd w:id="196"/>
      <w:bookmarkEnd w:id="197"/>
      <w:bookmarkEnd w:id="198"/>
      <w:bookmarkEnd w:id="199"/>
      <w:bookmarkEnd w:id="200"/>
      <w:bookmarkEnd w:id="201"/>
      <w:bookmarkEnd w:id="202"/>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评标委员会按照第三章“评标办法”规定的方法、评审因素、标准和程序对投标文件进行评审。第三章“评标办法”没有规定的方法、评审因素和标准，不得作为评标依据。</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203" w:name="_Toc10845"/>
      <w:r>
        <w:rPr>
          <w:rFonts w:hint="eastAsia" w:ascii="宋体" w:hAnsi="宋体" w:eastAsia="宋体" w:cs="宋体"/>
          <w:color w:val="auto"/>
          <w:sz w:val="21"/>
          <w:szCs w:val="21"/>
          <w:highlight w:val="none"/>
        </w:rPr>
        <w:t>7. 合同授予</w:t>
      </w:r>
      <w:bookmarkEnd w:id="181"/>
      <w:bookmarkEnd w:id="203"/>
    </w:p>
    <w:p>
      <w:pPr>
        <w:pStyle w:val="5"/>
        <w:pageBreakBefore w:val="0"/>
        <w:kinsoku/>
        <w:wordWrap/>
        <w:overflowPunct/>
        <w:topLinePunct w:val="0"/>
        <w:bidi w:val="0"/>
        <w:spacing w:before="0" w:after="0" w:line="360" w:lineRule="auto"/>
        <w:ind w:firstLine="422" w:firstLineChars="200"/>
        <w:textAlignment w:val="auto"/>
        <w:rPr>
          <w:rFonts w:hint="eastAsia" w:ascii="宋体" w:hAnsi="宋体" w:eastAsia="宋体" w:cs="宋体"/>
          <w:color w:val="auto"/>
          <w:sz w:val="21"/>
          <w:szCs w:val="21"/>
          <w:highlight w:val="none"/>
        </w:rPr>
      </w:pPr>
      <w:bookmarkStart w:id="204" w:name="_Toc293756867"/>
      <w:bookmarkStart w:id="205" w:name="_Toc16495"/>
      <w:r>
        <w:rPr>
          <w:rFonts w:hint="eastAsia" w:ascii="宋体" w:hAnsi="宋体" w:eastAsia="宋体" w:cs="宋体"/>
          <w:color w:val="auto"/>
          <w:sz w:val="21"/>
          <w:szCs w:val="21"/>
          <w:highlight w:val="none"/>
        </w:rPr>
        <w:t>7.1 定选方式</w:t>
      </w:r>
      <w:bookmarkEnd w:id="204"/>
      <w:bookmarkEnd w:id="205"/>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人应当确定排名第一的中标候选人为中标人。排名第一的中标候选人放弃中标、因不可抗力不能履行合同、不按照</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文件要求提交履约保证金，或者被查实存在影响中标结果的违法行为等情形，不符合中标条件的，</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人可以按照评标委员会提出的中标候选人名单排序依次确定其他中标候选人为中标人，也可以重新招标。</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评标委员会推荐中标候选人的人数见投标人须知前附表。</w:t>
      </w:r>
    </w:p>
    <w:p>
      <w:pPr>
        <w:pStyle w:val="5"/>
        <w:pageBreakBefore w:val="0"/>
        <w:kinsoku/>
        <w:wordWrap/>
        <w:overflowPunct/>
        <w:topLinePunct w:val="0"/>
        <w:bidi w:val="0"/>
        <w:spacing w:before="0" w:after="0" w:line="360" w:lineRule="auto"/>
        <w:ind w:firstLine="422" w:firstLineChars="200"/>
        <w:textAlignment w:val="auto"/>
        <w:rPr>
          <w:rFonts w:hint="eastAsia" w:ascii="宋体" w:hAnsi="宋体" w:eastAsia="宋体" w:cs="宋体"/>
          <w:color w:val="auto"/>
          <w:sz w:val="21"/>
          <w:szCs w:val="21"/>
          <w:highlight w:val="none"/>
        </w:rPr>
      </w:pPr>
      <w:bookmarkStart w:id="206" w:name="_Toc293756868"/>
      <w:bookmarkStart w:id="207" w:name="_Toc28098"/>
      <w:r>
        <w:rPr>
          <w:rFonts w:hint="eastAsia" w:ascii="宋体" w:hAnsi="宋体" w:eastAsia="宋体" w:cs="宋体"/>
          <w:color w:val="auto"/>
          <w:sz w:val="21"/>
          <w:szCs w:val="21"/>
          <w:highlight w:val="none"/>
        </w:rPr>
        <w:t>7.2 中</w:t>
      </w:r>
      <w:r>
        <w:rPr>
          <w:rFonts w:hint="eastAsia" w:ascii="宋体" w:hAnsi="宋体" w:eastAsia="宋体" w:cs="宋体"/>
          <w:color w:val="auto"/>
          <w:sz w:val="21"/>
          <w:szCs w:val="21"/>
          <w:highlight w:val="none"/>
          <w:lang w:val="en-US" w:eastAsia="zh-CN"/>
        </w:rPr>
        <w:t>标</w:t>
      </w:r>
      <w:r>
        <w:rPr>
          <w:rFonts w:hint="eastAsia" w:ascii="宋体" w:hAnsi="宋体" w:eastAsia="宋体" w:cs="宋体"/>
          <w:color w:val="auto"/>
          <w:sz w:val="21"/>
          <w:szCs w:val="21"/>
          <w:highlight w:val="none"/>
        </w:rPr>
        <w:t>通知</w:t>
      </w:r>
      <w:bookmarkEnd w:id="206"/>
      <w:bookmarkEnd w:id="207"/>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auto"/>
          <w:sz w:val="21"/>
          <w:szCs w:val="21"/>
          <w:highlight w:val="none"/>
        </w:rPr>
      </w:pPr>
      <w:bookmarkStart w:id="208" w:name="_Toc293756869"/>
      <w:r>
        <w:rPr>
          <w:rFonts w:hint="eastAsia" w:ascii="宋体" w:hAnsi="宋体" w:eastAsia="宋体" w:cs="宋体"/>
          <w:color w:val="auto"/>
          <w:sz w:val="21"/>
          <w:szCs w:val="21"/>
          <w:highlight w:val="none"/>
          <w:lang w:eastAsia="zh-CN"/>
        </w:rPr>
        <w:t>比选人</w:t>
      </w:r>
      <w:r>
        <w:rPr>
          <w:rFonts w:hint="eastAsia" w:ascii="宋体" w:hAnsi="宋体" w:eastAsia="宋体" w:cs="宋体"/>
          <w:color w:val="auto"/>
          <w:sz w:val="21"/>
          <w:szCs w:val="21"/>
          <w:highlight w:val="none"/>
        </w:rPr>
        <w:t>在收到评标报告之日起3日内公示中标候选人，公示期不得少于3个工作日。</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在本章第 3.3 款规定的投标有效期内，且未有投标人的异议与投诉，</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人以书面形式向中标人发出中标通知书。</w:t>
      </w:r>
    </w:p>
    <w:p>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7.3 履约担保</w:t>
      </w:r>
      <w:bookmarkEnd w:id="208"/>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7.3.1 在签订合同前，中标人应按投标人须知前附表规定的金额、担保形式和</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文件第四章“合同条款及格式”规定的履约担保格式向</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人提交履约担保。</w:t>
      </w:r>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7.3.2 中选人不能按本章第7.3.1 项要求提交履约担保的，视为放弃中选，其比选保证金不予退还，给比选人造成的损失超过比选保证金数额的，中选人还应当对超过部分予以赔偿。</w:t>
      </w:r>
    </w:p>
    <w:p>
      <w:pPr>
        <w:pStyle w:val="5"/>
        <w:pageBreakBefore w:val="0"/>
        <w:kinsoku/>
        <w:wordWrap/>
        <w:overflowPunct/>
        <w:topLinePunct w:val="0"/>
        <w:bidi w:val="0"/>
        <w:spacing w:before="0" w:after="0" w:line="360" w:lineRule="auto"/>
        <w:ind w:firstLine="422" w:firstLineChars="200"/>
        <w:textAlignment w:val="auto"/>
        <w:rPr>
          <w:rFonts w:hint="eastAsia" w:ascii="宋体" w:hAnsi="宋体" w:eastAsia="宋体" w:cs="宋体"/>
          <w:color w:val="auto"/>
          <w:sz w:val="21"/>
          <w:szCs w:val="21"/>
          <w:highlight w:val="none"/>
        </w:rPr>
      </w:pPr>
      <w:bookmarkStart w:id="209" w:name="_Toc18147"/>
      <w:bookmarkStart w:id="210" w:name="_Toc293756870"/>
      <w:r>
        <w:rPr>
          <w:rFonts w:hint="eastAsia" w:ascii="宋体" w:hAnsi="宋体" w:eastAsia="宋体" w:cs="宋体"/>
          <w:color w:val="auto"/>
          <w:sz w:val="21"/>
          <w:szCs w:val="21"/>
          <w:highlight w:val="none"/>
        </w:rPr>
        <w:t>7.4 签订合同</w:t>
      </w:r>
      <w:bookmarkEnd w:id="209"/>
      <w:bookmarkEnd w:id="210"/>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7.4.1 </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人和中标人应当自中标通知书发出之日起</w:t>
      </w:r>
      <w:r>
        <w:rPr>
          <w:rFonts w:hint="eastAsia" w:ascii="宋体" w:hAnsi="宋体" w:cs="宋体"/>
          <w:color w:val="auto"/>
          <w:sz w:val="21"/>
          <w:szCs w:val="21"/>
          <w:highlight w:val="none"/>
          <w:lang w:val="en-US" w:eastAsia="zh-CN"/>
        </w:rPr>
        <w:t>5</w:t>
      </w:r>
      <w:r>
        <w:rPr>
          <w:rFonts w:hint="eastAsia" w:ascii="宋体" w:hAnsi="宋体" w:eastAsia="宋体" w:cs="宋体"/>
          <w:color w:val="auto"/>
          <w:sz w:val="21"/>
          <w:szCs w:val="21"/>
          <w:highlight w:val="none"/>
        </w:rPr>
        <w:t>天内，根据</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文件和中标人的投标文件订立书面合同。中标人放弃中标项目，无正当理由不与</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人签订合同，在签订合同时向</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人提出附加条件或者更改合同实质性内容的，</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人取消其中标资格，其投标保证金不予退还；给</w:t>
      </w:r>
      <w:r>
        <w:rPr>
          <w:rFonts w:hint="eastAsia" w:ascii="宋体" w:hAnsi="宋体" w:cs="宋体"/>
          <w:color w:val="auto"/>
          <w:sz w:val="21"/>
          <w:szCs w:val="21"/>
          <w:highlight w:val="none"/>
          <w:lang w:val="en-US" w:eastAsia="zh-CN"/>
        </w:rPr>
        <w:t>比选</w:t>
      </w:r>
      <w:r>
        <w:rPr>
          <w:rFonts w:hint="eastAsia" w:ascii="宋体" w:hAnsi="宋体" w:eastAsia="宋体" w:cs="宋体"/>
          <w:color w:val="auto"/>
          <w:sz w:val="21"/>
          <w:szCs w:val="21"/>
          <w:highlight w:val="none"/>
        </w:rPr>
        <w:t>人造成的损失超过投标保证金数额的，中标人还应当对超过部分予以赔偿。</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7.4.2 发出中选通知书后，比选人无正当理由拒签合同的，比选人应向中选人退还比选保证金；给中选人造成损失的，还应当赔偿损失。</w:t>
      </w:r>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211" w:name="_Toc293756871"/>
      <w:bookmarkStart w:id="212" w:name="_Toc18728"/>
      <w:r>
        <w:rPr>
          <w:rFonts w:hint="eastAsia" w:ascii="宋体" w:hAnsi="宋体" w:eastAsia="宋体" w:cs="宋体"/>
          <w:color w:val="auto"/>
          <w:sz w:val="21"/>
          <w:szCs w:val="21"/>
          <w:highlight w:val="none"/>
        </w:rPr>
        <w:t>8. 重新比选和不再比选</w:t>
      </w:r>
      <w:bookmarkEnd w:id="211"/>
      <w:bookmarkEnd w:id="212"/>
    </w:p>
    <w:p>
      <w:pPr>
        <w:keepNext/>
        <w:keepLines/>
        <w:pageBreakBefore w:val="0"/>
        <w:widowControl w:val="0"/>
        <w:kinsoku/>
        <w:wordWrap/>
        <w:overflowPunct/>
        <w:topLinePunct w:val="0"/>
        <w:bidi w:val="0"/>
        <w:snapToGrid w:val="0"/>
        <w:spacing w:before="0" w:after="0" w:line="360" w:lineRule="auto"/>
        <w:ind w:firstLine="420" w:firstLineChars="200"/>
        <w:jc w:val="both"/>
        <w:textAlignment w:val="auto"/>
        <w:outlineLvl w:val="2"/>
        <w:rPr>
          <w:rFonts w:hint="eastAsia" w:ascii="宋体" w:hAnsi="宋体" w:eastAsia="宋体" w:cs="宋体"/>
          <w:b w:val="0"/>
          <w:bCs/>
          <w:snapToGrid w:val="0"/>
          <w:color w:val="auto"/>
          <w:kern w:val="2"/>
          <w:sz w:val="21"/>
          <w:szCs w:val="21"/>
          <w:highlight w:val="none"/>
          <w:lang w:val="en-US" w:eastAsia="zh-CN" w:bidi="ar-SA"/>
        </w:rPr>
      </w:pPr>
      <w:bookmarkStart w:id="213" w:name="_Toc200513170"/>
      <w:bookmarkStart w:id="214" w:name="_Toc287620729"/>
      <w:bookmarkStart w:id="215" w:name="_Toc224103361"/>
      <w:bookmarkStart w:id="216" w:name="_Toc430530479"/>
      <w:bookmarkStart w:id="217" w:name="_Toc287607790"/>
      <w:bookmarkStart w:id="218" w:name="_Toc509218754"/>
      <w:bookmarkStart w:id="219" w:name="_Toc277082596"/>
      <w:bookmarkStart w:id="220" w:name="_Toc18060"/>
      <w:bookmarkStart w:id="221" w:name="_Toc284231394"/>
      <w:bookmarkStart w:id="222" w:name="_Toc293756873"/>
      <w:r>
        <w:rPr>
          <w:rFonts w:hint="eastAsia" w:ascii="宋体" w:hAnsi="宋体" w:eastAsia="宋体" w:cs="宋体"/>
          <w:b w:val="0"/>
          <w:bCs/>
          <w:snapToGrid w:val="0"/>
          <w:color w:val="auto"/>
          <w:kern w:val="2"/>
          <w:sz w:val="21"/>
          <w:szCs w:val="21"/>
          <w:highlight w:val="none"/>
          <w:lang w:val="en-US" w:eastAsia="zh-CN" w:bidi="ar-SA"/>
        </w:rPr>
        <w:t>8.1  重新</w:t>
      </w:r>
      <w:bookmarkEnd w:id="213"/>
      <w:bookmarkEnd w:id="214"/>
      <w:bookmarkEnd w:id="215"/>
      <w:bookmarkEnd w:id="216"/>
      <w:bookmarkEnd w:id="217"/>
      <w:bookmarkEnd w:id="218"/>
      <w:bookmarkEnd w:id="219"/>
      <w:r>
        <w:rPr>
          <w:rFonts w:hint="eastAsia" w:ascii="宋体" w:hAnsi="宋体" w:eastAsia="宋体" w:cs="宋体"/>
          <w:b w:val="0"/>
          <w:bCs/>
          <w:snapToGrid w:val="0"/>
          <w:color w:val="auto"/>
          <w:kern w:val="2"/>
          <w:sz w:val="21"/>
          <w:szCs w:val="21"/>
          <w:highlight w:val="none"/>
          <w:lang w:val="en-US" w:eastAsia="zh-CN" w:bidi="ar-SA"/>
        </w:rPr>
        <w:t>比选</w:t>
      </w:r>
      <w:bookmarkEnd w:id="220"/>
    </w:p>
    <w:p>
      <w:pPr>
        <w:pageBreakBefore w:val="0"/>
        <w:kinsoku/>
        <w:wordWrap/>
        <w:overflowPunct/>
        <w:topLinePunct w:val="0"/>
        <w:autoSpaceDE w:val="0"/>
        <w:autoSpaceDN w:val="0"/>
        <w:bidi w:val="0"/>
        <w:adjustRightInd w:val="0"/>
        <w:snapToGrid w:val="0"/>
        <w:spacing w:line="360" w:lineRule="auto"/>
        <w:ind w:left="359" w:leftChars="171"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有下列情形之一的，</w:t>
      </w:r>
      <w:r>
        <w:rPr>
          <w:rFonts w:hint="eastAsia" w:ascii="宋体" w:hAnsi="宋体" w:eastAsia="宋体" w:cs="宋体"/>
          <w:snapToGrid w:val="0"/>
          <w:color w:val="auto"/>
          <w:kern w:val="0"/>
          <w:sz w:val="21"/>
          <w:szCs w:val="21"/>
          <w:highlight w:val="none"/>
          <w:lang w:val="en-US" w:eastAsia="zh-CN"/>
        </w:rPr>
        <w:t>比选</w:t>
      </w:r>
      <w:r>
        <w:rPr>
          <w:rFonts w:hint="eastAsia" w:ascii="宋体" w:hAnsi="宋体" w:eastAsia="宋体" w:cs="宋体"/>
          <w:snapToGrid w:val="0"/>
          <w:color w:val="auto"/>
          <w:kern w:val="0"/>
          <w:sz w:val="21"/>
          <w:szCs w:val="21"/>
          <w:highlight w:val="none"/>
        </w:rPr>
        <w:t>人将重新</w:t>
      </w:r>
      <w:r>
        <w:rPr>
          <w:rFonts w:hint="eastAsia" w:ascii="宋体" w:hAnsi="宋体" w:eastAsia="宋体" w:cs="宋体"/>
          <w:snapToGrid w:val="0"/>
          <w:color w:val="auto"/>
          <w:kern w:val="0"/>
          <w:sz w:val="21"/>
          <w:szCs w:val="21"/>
          <w:highlight w:val="none"/>
          <w:lang w:val="en-US" w:eastAsia="zh-CN"/>
        </w:rPr>
        <w:t>比选</w:t>
      </w:r>
      <w:r>
        <w:rPr>
          <w:rFonts w:hint="eastAsia" w:ascii="宋体" w:hAnsi="宋体" w:eastAsia="宋体" w:cs="宋体"/>
          <w:snapToGrid w:val="0"/>
          <w:color w:val="auto"/>
          <w:kern w:val="0"/>
          <w:sz w:val="21"/>
          <w:szCs w:val="21"/>
          <w:highlight w:val="none"/>
        </w:rPr>
        <w:t>：</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（1）投标截止时间止，投标人少于 3 个的；</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（2）经评标委员会评审后否决所有投标的；</w:t>
      </w:r>
    </w:p>
    <w:p>
      <w:pPr>
        <w:pageBreakBefore w:val="0"/>
        <w:widowControl/>
        <w:kinsoku/>
        <w:wordWrap/>
        <w:overflowPunct/>
        <w:topLinePunct w:val="0"/>
        <w:bidi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（3）经评标委员会评审后部分投标被否决，导致有效投标人不足三个的，评标委员会应当否决所有投标。但是有效投标人的经济、技术等指标仍然具有市场竞争力，能够满足</w:t>
      </w:r>
      <w:r>
        <w:rPr>
          <w:rFonts w:hint="eastAsia" w:ascii="宋体" w:hAnsi="宋体" w:eastAsia="宋体" w:cs="宋体"/>
          <w:snapToGrid w:val="0"/>
          <w:color w:val="auto"/>
          <w:kern w:val="0"/>
          <w:sz w:val="21"/>
          <w:szCs w:val="21"/>
          <w:highlight w:val="none"/>
          <w:lang w:val="en-US" w:eastAsia="zh-CN"/>
        </w:rPr>
        <w:t>比选</w:t>
      </w:r>
      <w:r>
        <w:rPr>
          <w:rFonts w:hint="eastAsia" w:ascii="宋体" w:hAnsi="宋体" w:eastAsia="宋体" w:cs="宋体"/>
          <w:snapToGrid w:val="0"/>
          <w:color w:val="auto"/>
          <w:kern w:val="0"/>
          <w:sz w:val="21"/>
          <w:szCs w:val="21"/>
          <w:highlight w:val="none"/>
        </w:rPr>
        <w:t>文件要求的，评标委员会可以继续评标并确定中标候选人。</w:t>
      </w:r>
    </w:p>
    <w:p>
      <w:pPr>
        <w:pageBreakBefore w:val="0"/>
        <w:widowControl/>
        <w:kinsoku/>
        <w:wordWrap/>
        <w:overflowPunct/>
        <w:topLinePunct w:val="0"/>
        <w:bidi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（4）法律法规规定的其他情形。</w:t>
      </w:r>
    </w:p>
    <w:p>
      <w:pPr>
        <w:pStyle w:val="5"/>
        <w:pageBreakBefore w:val="0"/>
        <w:kinsoku/>
        <w:wordWrap/>
        <w:overflowPunct/>
        <w:topLinePunct w:val="0"/>
        <w:bidi w:val="0"/>
        <w:spacing w:before="0" w:after="0" w:line="360" w:lineRule="auto"/>
        <w:ind w:firstLine="422" w:firstLineChars="200"/>
        <w:textAlignment w:val="auto"/>
        <w:rPr>
          <w:rFonts w:hint="eastAsia" w:ascii="宋体" w:hAnsi="宋体" w:eastAsia="宋体" w:cs="宋体"/>
          <w:color w:val="auto"/>
          <w:sz w:val="21"/>
          <w:szCs w:val="21"/>
          <w:highlight w:val="none"/>
        </w:rPr>
      </w:pPr>
      <w:bookmarkStart w:id="223" w:name="_Toc31288"/>
      <w:r>
        <w:rPr>
          <w:rFonts w:hint="eastAsia" w:ascii="宋体" w:hAnsi="宋体" w:eastAsia="宋体" w:cs="宋体"/>
          <w:color w:val="auto"/>
          <w:sz w:val="21"/>
          <w:szCs w:val="21"/>
          <w:highlight w:val="none"/>
        </w:rPr>
        <w:t>8.2 不再</w:t>
      </w:r>
      <w:bookmarkEnd w:id="221"/>
      <w:bookmarkEnd w:id="222"/>
      <w:r>
        <w:rPr>
          <w:rFonts w:hint="eastAsia" w:ascii="宋体" w:hAnsi="宋体" w:eastAsia="宋体" w:cs="宋体"/>
          <w:color w:val="auto"/>
          <w:sz w:val="21"/>
          <w:szCs w:val="21"/>
          <w:highlight w:val="none"/>
        </w:rPr>
        <w:t>比选</w:t>
      </w:r>
      <w:bookmarkEnd w:id="223"/>
    </w:p>
    <w:p>
      <w:pPr>
        <w:pageBreakBefore w:val="0"/>
        <w:kinsoku/>
        <w:wordWrap/>
        <w:overflowPunct/>
        <w:topLinePunct w:val="0"/>
        <w:bidi w:val="0"/>
        <w:spacing w:line="360" w:lineRule="auto"/>
        <w:ind w:firstLine="420" w:firstLineChars="200"/>
        <w:textAlignment w:val="auto"/>
        <w:rPr>
          <w:rFonts w:hint="eastAsia" w:ascii="宋体" w:hAnsi="宋体" w:eastAsia="宋体" w:cs="宋体"/>
          <w:color w:val="auto"/>
          <w:sz w:val="21"/>
          <w:szCs w:val="21"/>
          <w:highlight w:val="none"/>
        </w:rPr>
      </w:pPr>
      <w:bookmarkStart w:id="224" w:name="_Toc284159360"/>
      <w:bookmarkStart w:id="225" w:name="_Toc288046541"/>
      <w:bookmarkStart w:id="226" w:name="_Toc284158539"/>
      <w:bookmarkStart w:id="227" w:name="_Toc288045280"/>
      <w:bookmarkStart w:id="228" w:name="_Toc284159224"/>
      <w:bookmarkStart w:id="229" w:name="_Toc288046894"/>
      <w:bookmarkStart w:id="230" w:name="_Toc288052291"/>
      <w:bookmarkStart w:id="231" w:name="_Toc284158456"/>
      <w:bookmarkStart w:id="232" w:name="_Toc293756874"/>
      <w:bookmarkStart w:id="233" w:name="_Toc284231395"/>
      <w:r>
        <w:rPr>
          <w:rFonts w:hint="eastAsia" w:ascii="宋体" w:hAnsi="宋体" w:eastAsia="宋体" w:cs="宋体"/>
          <w:color w:val="auto"/>
          <w:sz w:val="21"/>
          <w:szCs w:val="21"/>
          <w:highlight w:val="none"/>
        </w:rPr>
        <w:t>重新比选后</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人仍少于三个的，按法定程序开展比选和评审，确定中选人。经评审无合格</w:t>
      </w:r>
      <w:r>
        <w:rPr>
          <w:rFonts w:hint="eastAsia" w:ascii="宋体" w:hAnsi="宋体" w:eastAsia="宋体" w:cs="宋体"/>
          <w:color w:val="auto"/>
          <w:sz w:val="21"/>
          <w:szCs w:val="21"/>
          <w:highlight w:val="none"/>
          <w:lang w:eastAsia="zh-CN"/>
        </w:rPr>
        <w:t>投标</w:t>
      </w:r>
      <w:r>
        <w:rPr>
          <w:rFonts w:hint="eastAsia" w:ascii="宋体" w:hAnsi="宋体" w:eastAsia="宋体" w:cs="宋体"/>
          <w:color w:val="auto"/>
          <w:sz w:val="21"/>
          <w:szCs w:val="21"/>
          <w:highlight w:val="none"/>
        </w:rPr>
        <w:t>人，属于审批或核准项目的，报经原审批部门批准可以不再比选。</w:t>
      </w:r>
      <w:bookmarkEnd w:id="224"/>
      <w:bookmarkEnd w:id="225"/>
      <w:bookmarkEnd w:id="226"/>
      <w:bookmarkEnd w:id="227"/>
      <w:bookmarkEnd w:id="228"/>
      <w:bookmarkEnd w:id="229"/>
      <w:bookmarkEnd w:id="230"/>
      <w:bookmarkEnd w:id="231"/>
      <w:bookmarkEnd w:id="232"/>
      <w:bookmarkEnd w:id="233"/>
    </w:p>
    <w:p>
      <w:pPr>
        <w:pStyle w:val="5"/>
        <w:pageBreakBefore w:val="0"/>
        <w:kinsoku/>
        <w:wordWrap/>
        <w:overflowPunct/>
        <w:topLinePunct w:val="0"/>
        <w:bidi w:val="0"/>
        <w:spacing w:before="0" w:after="0" w:line="360" w:lineRule="auto"/>
        <w:textAlignment w:val="auto"/>
        <w:rPr>
          <w:rFonts w:hint="eastAsia" w:ascii="宋体" w:hAnsi="宋体" w:eastAsia="宋体" w:cs="宋体"/>
          <w:color w:val="auto"/>
          <w:sz w:val="21"/>
          <w:szCs w:val="21"/>
          <w:highlight w:val="none"/>
        </w:rPr>
      </w:pPr>
      <w:bookmarkStart w:id="234" w:name="_Toc224103363"/>
      <w:bookmarkStart w:id="235" w:name="_Toc277082598"/>
      <w:bookmarkStart w:id="236" w:name="_Toc430530481"/>
      <w:bookmarkStart w:id="237" w:name="_Toc29282"/>
      <w:bookmarkStart w:id="238" w:name="_Toc287620731"/>
      <w:bookmarkStart w:id="239" w:name="_Toc509218756"/>
      <w:bookmarkStart w:id="240" w:name="_Toc287607792"/>
      <w:bookmarkStart w:id="241" w:name="_Toc200513172"/>
      <w:bookmarkStart w:id="242" w:name="_Toc36043737"/>
      <w:r>
        <w:rPr>
          <w:rFonts w:hint="eastAsia" w:ascii="宋体" w:hAnsi="宋体" w:eastAsia="宋体" w:cs="宋体"/>
          <w:color w:val="auto"/>
          <w:sz w:val="21"/>
          <w:szCs w:val="21"/>
          <w:highlight w:val="none"/>
        </w:rPr>
        <w:t>9.  纪律和监督</w:t>
      </w:r>
      <w:bookmarkEnd w:id="234"/>
      <w:bookmarkEnd w:id="235"/>
      <w:bookmarkEnd w:id="236"/>
      <w:bookmarkEnd w:id="237"/>
      <w:bookmarkEnd w:id="238"/>
      <w:bookmarkEnd w:id="239"/>
      <w:bookmarkEnd w:id="240"/>
      <w:bookmarkEnd w:id="241"/>
      <w:bookmarkEnd w:id="242"/>
    </w:p>
    <w:p>
      <w:pPr>
        <w:keepNext/>
        <w:keepLines/>
        <w:pageBreakBefore w:val="0"/>
        <w:widowControl w:val="0"/>
        <w:kinsoku/>
        <w:wordWrap/>
        <w:overflowPunct/>
        <w:topLinePunct w:val="0"/>
        <w:bidi w:val="0"/>
        <w:snapToGrid w:val="0"/>
        <w:spacing w:before="0" w:after="0" w:line="360" w:lineRule="auto"/>
        <w:jc w:val="both"/>
        <w:textAlignment w:val="auto"/>
        <w:outlineLvl w:val="2"/>
        <w:rPr>
          <w:rFonts w:hint="eastAsia" w:ascii="宋体" w:hAnsi="宋体" w:eastAsia="宋体" w:cs="宋体"/>
          <w:b w:val="0"/>
          <w:bCs/>
          <w:snapToGrid w:val="0"/>
          <w:color w:val="auto"/>
          <w:kern w:val="2"/>
          <w:sz w:val="21"/>
          <w:szCs w:val="21"/>
          <w:highlight w:val="none"/>
          <w:lang w:val="en-US" w:eastAsia="zh-CN" w:bidi="ar-SA"/>
        </w:rPr>
      </w:pPr>
      <w:bookmarkStart w:id="243" w:name="_Toc287607793"/>
      <w:bookmarkStart w:id="244" w:name="_Toc224103364"/>
      <w:bookmarkStart w:id="245" w:name="_Toc509218757"/>
      <w:bookmarkStart w:id="246" w:name="_Toc277082599"/>
      <w:bookmarkStart w:id="247" w:name="_Toc19529"/>
      <w:bookmarkStart w:id="248" w:name="_Toc430530482"/>
      <w:bookmarkStart w:id="249" w:name="_Toc287620732"/>
      <w:bookmarkStart w:id="250" w:name="_Toc200513173"/>
      <w:r>
        <w:rPr>
          <w:rFonts w:hint="eastAsia" w:ascii="宋体" w:hAnsi="宋体" w:eastAsia="宋体" w:cs="宋体"/>
          <w:b w:val="0"/>
          <w:bCs/>
          <w:snapToGrid w:val="0"/>
          <w:color w:val="auto"/>
          <w:kern w:val="2"/>
          <w:sz w:val="21"/>
          <w:szCs w:val="21"/>
          <w:highlight w:val="none"/>
          <w:lang w:val="en-US" w:eastAsia="zh-CN" w:bidi="ar-SA"/>
        </w:rPr>
        <w:t>9.1  对比选人的纪律要求</w:t>
      </w:r>
      <w:bookmarkEnd w:id="243"/>
      <w:bookmarkEnd w:id="244"/>
      <w:bookmarkEnd w:id="245"/>
      <w:bookmarkEnd w:id="246"/>
      <w:bookmarkEnd w:id="247"/>
      <w:bookmarkEnd w:id="248"/>
      <w:bookmarkEnd w:id="249"/>
      <w:bookmarkEnd w:id="250"/>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snapToGrid w:val="0"/>
          <w:color w:val="auto"/>
          <w:kern w:val="0"/>
          <w:sz w:val="21"/>
          <w:szCs w:val="21"/>
          <w:highlight w:val="none"/>
          <w:lang w:val="en-US" w:eastAsia="zh-CN"/>
        </w:rPr>
        <w:t>比选</w:t>
      </w:r>
      <w:r>
        <w:rPr>
          <w:rFonts w:hint="eastAsia" w:ascii="宋体" w:hAnsi="宋体" w:eastAsia="宋体" w:cs="宋体"/>
          <w:snapToGrid w:val="0"/>
          <w:color w:val="auto"/>
          <w:kern w:val="0"/>
          <w:sz w:val="21"/>
          <w:szCs w:val="21"/>
          <w:highlight w:val="none"/>
        </w:rPr>
        <w:t>人不得泄漏招标投标活动中应当保密的情况和资料，不得与投标人串通损害国家利 益、社会公共利益或者他人合法权益，</w:t>
      </w:r>
      <w:r>
        <w:rPr>
          <w:rFonts w:hint="eastAsia" w:ascii="宋体" w:hAnsi="宋体" w:eastAsia="宋体" w:cs="宋体"/>
          <w:color w:val="auto"/>
          <w:sz w:val="21"/>
          <w:szCs w:val="21"/>
          <w:highlight w:val="none"/>
        </w:rPr>
        <w:t>禁止</w:t>
      </w:r>
      <w:r>
        <w:rPr>
          <w:rFonts w:hint="eastAsia" w:ascii="宋体" w:hAnsi="宋体" w:eastAsia="宋体" w:cs="宋体"/>
          <w:color w:val="auto"/>
          <w:sz w:val="21"/>
          <w:szCs w:val="21"/>
          <w:highlight w:val="none"/>
          <w:lang w:eastAsia="zh-CN"/>
        </w:rPr>
        <w:t>比选人</w:t>
      </w:r>
      <w:r>
        <w:rPr>
          <w:rFonts w:hint="eastAsia" w:ascii="宋体" w:hAnsi="宋体" w:eastAsia="宋体" w:cs="宋体"/>
          <w:color w:val="auto"/>
          <w:sz w:val="21"/>
          <w:szCs w:val="21"/>
          <w:highlight w:val="none"/>
        </w:rPr>
        <w:t>与投标人串通投标。</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有下列情形之一的，属于</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人与投标人串通投标：</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人在开标前开启投标文件并将有关信息泄露给其他投标人；</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人直接或者间接向投标人泄露标底、评标委员会成员等信息；</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人明示或者暗示投标人压低或者抬高投标报价；</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人授意投标人撤换、修改投标文件；</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人明示或者暗示投标人为特定投标人中标提供方便；</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color w:val="auto"/>
          <w:sz w:val="21"/>
          <w:szCs w:val="21"/>
          <w:highlight w:val="none"/>
        </w:rPr>
        <w:t>（6）</w:t>
      </w:r>
      <w:r>
        <w:rPr>
          <w:rFonts w:hint="eastAsia" w:ascii="宋体" w:hAnsi="宋体" w:eastAsia="宋体" w:cs="宋体"/>
          <w:color w:val="auto"/>
          <w:sz w:val="21"/>
          <w:szCs w:val="21"/>
          <w:highlight w:val="none"/>
          <w:lang w:val="en-US" w:eastAsia="zh-CN"/>
        </w:rPr>
        <w:t>比选</w:t>
      </w:r>
      <w:r>
        <w:rPr>
          <w:rFonts w:hint="eastAsia" w:ascii="宋体" w:hAnsi="宋体" w:eastAsia="宋体" w:cs="宋体"/>
          <w:color w:val="auto"/>
          <w:sz w:val="21"/>
          <w:szCs w:val="21"/>
          <w:highlight w:val="none"/>
        </w:rPr>
        <w:t>人与投标人为谋求特定投标人中标而采取的其他串通行为。</w:t>
      </w:r>
    </w:p>
    <w:p>
      <w:pPr>
        <w:keepNext/>
        <w:keepLines/>
        <w:pageBreakBefore w:val="0"/>
        <w:widowControl w:val="0"/>
        <w:kinsoku/>
        <w:wordWrap/>
        <w:overflowPunct/>
        <w:topLinePunct w:val="0"/>
        <w:bidi w:val="0"/>
        <w:snapToGrid w:val="0"/>
        <w:spacing w:before="0" w:after="0" w:line="360" w:lineRule="auto"/>
        <w:ind w:firstLine="420" w:firstLineChars="200"/>
        <w:jc w:val="both"/>
        <w:textAlignment w:val="auto"/>
        <w:outlineLvl w:val="2"/>
        <w:rPr>
          <w:rFonts w:hint="eastAsia" w:ascii="宋体" w:hAnsi="宋体" w:eastAsia="宋体" w:cs="宋体"/>
          <w:b w:val="0"/>
          <w:bCs/>
          <w:snapToGrid w:val="0"/>
          <w:color w:val="auto"/>
          <w:kern w:val="2"/>
          <w:sz w:val="21"/>
          <w:szCs w:val="21"/>
          <w:highlight w:val="none"/>
          <w:lang w:val="en-US" w:eastAsia="zh-CN" w:bidi="ar-SA"/>
        </w:rPr>
      </w:pPr>
      <w:bookmarkStart w:id="251" w:name="_Toc287620733"/>
      <w:bookmarkStart w:id="252" w:name="_Toc200513174"/>
      <w:bookmarkStart w:id="253" w:name="_Toc430530483"/>
      <w:bookmarkStart w:id="254" w:name="_Toc17298"/>
      <w:bookmarkStart w:id="255" w:name="_Toc277082600"/>
      <w:bookmarkStart w:id="256" w:name="_Toc509218758"/>
      <w:bookmarkStart w:id="257" w:name="_Toc224103365"/>
      <w:bookmarkStart w:id="258" w:name="_Toc287607794"/>
      <w:r>
        <w:rPr>
          <w:rFonts w:hint="eastAsia" w:ascii="宋体" w:hAnsi="宋体" w:eastAsia="宋体" w:cs="宋体"/>
          <w:b w:val="0"/>
          <w:bCs/>
          <w:snapToGrid w:val="0"/>
          <w:color w:val="auto"/>
          <w:kern w:val="2"/>
          <w:sz w:val="21"/>
          <w:szCs w:val="21"/>
          <w:highlight w:val="none"/>
          <w:lang w:val="en-US" w:eastAsia="zh-CN" w:bidi="ar-SA"/>
        </w:rPr>
        <w:t>9.2  对投标人的纪律要求</w:t>
      </w:r>
      <w:bookmarkEnd w:id="251"/>
      <w:bookmarkEnd w:id="252"/>
      <w:bookmarkEnd w:id="253"/>
      <w:bookmarkEnd w:id="254"/>
      <w:bookmarkEnd w:id="255"/>
      <w:bookmarkEnd w:id="256"/>
      <w:bookmarkEnd w:id="257"/>
      <w:bookmarkEnd w:id="258"/>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snapToGrid w:val="0"/>
          <w:color w:val="auto"/>
          <w:kern w:val="0"/>
          <w:sz w:val="21"/>
          <w:szCs w:val="21"/>
          <w:highlight w:val="none"/>
        </w:rPr>
        <w:t>投标人不得相互串通投标或者与</w:t>
      </w:r>
      <w:r>
        <w:rPr>
          <w:rFonts w:hint="eastAsia" w:ascii="宋体" w:hAnsi="宋体" w:eastAsia="宋体" w:cs="宋体"/>
          <w:snapToGrid w:val="0"/>
          <w:color w:val="auto"/>
          <w:kern w:val="0"/>
          <w:sz w:val="21"/>
          <w:szCs w:val="21"/>
          <w:highlight w:val="none"/>
          <w:lang w:eastAsia="zh-CN"/>
        </w:rPr>
        <w:t>比选人</w:t>
      </w:r>
      <w:r>
        <w:rPr>
          <w:rFonts w:hint="eastAsia" w:ascii="宋体" w:hAnsi="宋体" w:eastAsia="宋体" w:cs="宋体"/>
          <w:snapToGrid w:val="0"/>
          <w:color w:val="auto"/>
          <w:kern w:val="0"/>
          <w:sz w:val="21"/>
          <w:szCs w:val="21"/>
          <w:highlight w:val="none"/>
        </w:rPr>
        <w:t>串通投标，不得向</w:t>
      </w:r>
      <w:r>
        <w:rPr>
          <w:rFonts w:hint="eastAsia" w:ascii="宋体" w:hAnsi="宋体" w:eastAsia="宋体" w:cs="宋体"/>
          <w:snapToGrid w:val="0"/>
          <w:color w:val="auto"/>
          <w:kern w:val="0"/>
          <w:sz w:val="21"/>
          <w:szCs w:val="21"/>
          <w:highlight w:val="none"/>
          <w:lang w:eastAsia="zh-CN"/>
        </w:rPr>
        <w:t>比选人</w:t>
      </w:r>
      <w:r>
        <w:rPr>
          <w:rFonts w:hint="eastAsia" w:ascii="宋体" w:hAnsi="宋体" w:eastAsia="宋体" w:cs="宋体"/>
          <w:snapToGrid w:val="0"/>
          <w:color w:val="auto"/>
          <w:kern w:val="0"/>
          <w:sz w:val="21"/>
          <w:szCs w:val="21"/>
          <w:highlight w:val="none"/>
        </w:rPr>
        <w:t>或者评标委员会成员行贿谋取中标，不得以他人名义投标或者以其他方式弄虚作假骗取中标；投标人不得以任何方式干扰、影响评标工作。</w:t>
      </w:r>
      <w:r>
        <w:rPr>
          <w:rFonts w:hint="eastAsia" w:ascii="宋体" w:hAnsi="宋体" w:eastAsia="宋体" w:cs="宋体"/>
          <w:color w:val="auto"/>
          <w:sz w:val="21"/>
          <w:szCs w:val="21"/>
          <w:highlight w:val="none"/>
        </w:rPr>
        <w:t>有下列情形之一的，属于投标人相互串通投标：</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（1）投标人之间协商投标报价等投标文件的实质性内容；</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（2）投标人之间约定中标人；</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（3）投标人之间约定部分投标人放弃投标或者中标；</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（4）属于同一集团、协会、商会等组织成员的投标人按照该组织要求协同投标；</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（5）投标人之间为谋取中标或者排斥特定投标人而采取的其他联合行动。</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有下列情形之一的，视为投标人相互串通投标：</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（1）不同投标人的投标文件由同一单位或者个人编制；</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（2）不同投标人委托同一单位或者个人办理投标事宜；</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（3）不同投标人的投标文件载明的项目管理成员为同一人；</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（4）不同投标人的投标文件异常一致或者投标报价呈规律性差异；</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（5）不同投标人的投标文件相互混装；</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（6）不同投标人的投标保证金从同一单位或者个人的账户转出。</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使用通过受让或者租借等方式获取的资格、资质证书投标的，属于以他人名义投标。</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投标人有下列情形之一的，属于以其他方式弄虚作假的行为：</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（一）使用伪造、变造的许可证件；</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（二）提供虚假的财务状况或者业绩；</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（三）提供虚假的项目负责人或者主要技术人员简历、劳动关系证明；</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（四）提供虚假的信用状况；</w:t>
      </w:r>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color w:val="auto"/>
          <w:sz w:val="21"/>
          <w:szCs w:val="21"/>
          <w:highlight w:val="none"/>
        </w:rPr>
        <w:t>（五）其他弄虚作假的行为。</w:t>
      </w:r>
    </w:p>
    <w:p>
      <w:pPr>
        <w:keepNext/>
        <w:keepLines/>
        <w:pageBreakBefore w:val="0"/>
        <w:widowControl w:val="0"/>
        <w:kinsoku/>
        <w:wordWrap/>
        <w:overflowPunct/>
        <w:topLinePunct w:val="0"/>
        <w:bidi w:val="0"/>
        <w:snapToGrid w:val="0"/>
        <w:spacing w:before="0" w:after="0" w:line="360" w:lineRule="auto"/>
        <w:ind w:firstLine="420" w:firstLineChars="200"/>
        <w:jc w:val="both"/>
        <w:textAlignment w:val="auto"/>
        <w:outlineLvl w:val="2"/>
        <w:rPr>
          <w:rFonts w:hint="eastAsia" w:ascii="宋体" w:hAnsi="宋体" w:eastAsia="宋体" w:cs="宋体"/>
          <w:b w:val="0"/>
          <w:bCs/>
          <w:snapToGrid w:val="0"/>
          <w:color w:val="auto"/>
          <w:kern w:val="2"/>
          <w:sz w:val="21"/>
          <w:szCs w:val="21"/>
          <w:highlight w:val="none"/>
          <w:lang w:val="en-US" w:eastAsia="zh-CN" w:bidi="ar-SA"/>
        </w:rPr>
      </w:pPr>
      <w:bookmarkStart w:id="259" w:name="_Toc200513175"/>
      <w:bookmarkStart w:id="260" w:name="_Toc509218759"/>
      <w:bookmarkStart w:id="261" w:name="_Toc430530484"/>
      <w:bookmarkStart w:id="262" w:name="_Toc287620734"/>
      <w:bookmarkStart w:id="263" w:name="_Toc10791"/>
      <w:bookmarkStart w:id="264" w:name="_Toc287607795"/>
      <w:bookmarkStart w:id="265" w:name="_Toc224103366"/>
      <w:bookmarkStart w:id="266" w:name="_Toc277082601"/>
      <w:r>
        <w:rPr>
          <w:rFonts w:hint="eastAsia" w:ascii="宋体" w:hAnsi="宋体" w:eastAsia="宋体" w:cs="宋体"/>
          <w:b w:val="0"/>
          <w:bCs/>
          <w:snapToGrid w:val="0"/>
          <w:color w:val="auto"/>
          <w:kern w:val="2"/>
          <w:sz w:val="21"/>
          <w:szCs w:val="21"/>
          <w:highlight w:val="none"/>
          <w:lang w:val="en-US" w:eastAsia="zh-CN" w:bidi="ar-SA"/>
        </w:rPr>
        <w:t>9.3  对评标委员会成员的纪律要求</w:t>
      </w:r>
      <w:bookmarkEnd w:id="259"/>
      <w:bookmarkEnd w:id="260"/>
      <w:bookmarkEnd w:id="261"/>
      <w:bookmarkEnd w:id="262"/>
      <w:bookmarkEnd w:id="263"/>
      <w:bookmarkEnd w:id="264"/>
      <w:bookmarkEnd w:id="265"/>
      <w:bookmarkEnd w:id="266"/>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评标委员会成员不得收受他人的财物或者其他好处，不得向他人透漏对投标文件的评审和比较、中标候选人的推荐情况以及评标有关的其他情况。在评标活动中，评标委员会成员不得擅离职守，影响评标程序正常进行，不得使用第三章“评标办法”没有规定的评审因素和标准进行评标。</w:t>
      </w:r>
    </w:p>
    <w:p>
      <w:pPr>
        <w:keepNext/>
        <w:keepLines/>
        <w:pageBreakBefore w:val="0"/>
        <w:widowControl w:val="0"/>
        <w:kinsoku/>
        <w:wordWrap/>
        <w:overflowPunct/>
        <w:topLinePunct w:val="0"/>
        <w:bidi w:val="0"/>
        <w:snapToGrid w:val="0"/>
        <w:spacing w:before="0" w:after="0" w:line="360" w:lineRule="auto"/>
        <w:ind w:firstLine="420" w:firstLineChars="200"/>
        <w:jc w:val="both"/>
        <w:textAlignment w:val="auto"/>
        <w:outlineLvl w:val="2"/>
        <w:rPr>
          <w:rFonts w:hint="eastAsia" w:ascii="宋体" w:hAnsi="宋体" w:eastAsia="宋体" w:cs="宋体"/>
          <w:b w:val="0"/>
          <w:bCs/>
          <w:snapToGrid w:val="0"/>
          <w:color w:val="auto"/>
          <w:kern w:val="2"/>
          <w:sz w:val="21"/>
          <w:szCs w:val="21"/>
          <w:highlight w:val="none"/>
          <w:lang w:val="en-US" w:eastAsia="zh-CN" w:bidi="ar-SA"/>
        </w:rPr>
      </w:pPr>
      <w:bookmarkStart w:id="267" w:name="_Toc200513176"/>
      <w:bookmarkStart w:id="268" w:name="_Toc277082602"/>
      <w:bookmarkStart w:id="269" w:name="_Toc430530485"/>
      <w:bookmarkStart w:id="270" w:name="_Toc287607796"/>
      <w:bookmarkStart w:id="271" w:name="_Toc509218760"/>
      <w:bookmarkStart w:id="272" w:name="_Toc16075"/>
      <w:bookmarkStart w:id="273" w:name="_Toc224103367"/>
      <w:bookmarkStart w:id="274" w:name="_Toc287620735"/>
      <w:r>
        <w:rPr>
          <w:rFonts w:hint="eastAsia" w:ascii="宋体" w:hAnsi="宋体" w:eastAsia="宋体" w:cs="宋体"/>
          <w:b w:val="0"/>
          <w:bCs/>
          <w:snapToGrid w:val="0"/>
          <w:color w:val="auto"/>
          <w:kern w:val="2"/>
          <w:sz w:val="21"/>
          <w:szCs w:val="21"/>
          <w:highlight w:val="none"/>
          <w:lang w:val="en-US" w:eastAsia="zh-CN" w:bidi="ar-SA"/>
        </w:rPr>
        <w:t>9.4  对与评标活动有关的工作人员的纪律要求</w:t>
      </w:r>
      <w:bookmarkEnd w:id="267"/>
      <w:bookmarkEnd w:id="268"/>
      <w:bookmarkEnd w:id="269"/>
      <w:bookmarkEnd w:id="270"/>
      <w:bookmarkEnd w:id="271"/>
      <w:bookmarkEnd w:id="272"/>
      <w:bookmarkEnd w:id="273"/>
      <w:bookmarkEnd w:id="274"/>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与评标活动有关的工作人员不得收受他人的财物或者其他好处，不得向他人透漏对投标文件的评审和比较、中标候选人的推荐情况以及与评标有关的其他情况。在评标活动中，与评标活动有关的工作人员不得擅离职守，影响评标程序正常进行。</w:t>
      </w:r>
    </w:p>
    <w:p>
      <w:pPr>
        <w:keepNext/>
        <w:keepLines/>
        <w:pageBreakBefore w:val="0"/>
        <w:widowControl w:val="0"/>
        <w:kinsoku/>
        <w:wordWrap/>
        <w:overflowPunct/>
        <w:topLinePunct w:val="0"/>
        <w:bidi w:val="0"/>
        <w:snapToGrid w:val="0"/>
        <w:spacing w:before="0" w:after="0" w:line="360" w:lineRule="auto"/>
        <w:ind w:firstLine="420" w:firstLineChars="200"/>
        <w:jc w:val="both"/>
        <w:textAlignment w:val="auto"/>
        <w:outlineLvl w:val="2"/>
        <w:rPr>
          <w:rFonts w:hint="eastAsia" w:ascii="宋体" w:hAnsi="宋体" w:eastAsia="宋体" w:cs="宋体"/>
          <w:b w:val="0"/>
          <w:bCs/>
          <w:snapToGrid w:val="0"/>
          <w:color w:val="auto"/>
          <w:kern w:val="2"/>
          <w:sz w:val="21"/>
          <w:szCs w:val="21"/>
          <w:highlight w:val="none"/>
          <w:lang w:val="en-US" w:eastAsia="zh-CN" w:bidi="ar-SA"/>
        </w:rPr>
      </w:pPr>
      <w:bookmarkStart w:id="275" w:name="_Toc287607797"/>
      <w:bookmarkStart w:id="276" w:name="_Toc24235"/>
      <w:bookmarkStart w:id="277" w:name="_Toc430530486"/>
      <w:bookmarkStart w:id="278" w:name="_Toc287620736"/>
      <w:bookmarkStart w:id="279" w:name="_Toc277082603"/>
      <w:bookmarkStart w:id="280" w:name="_Toc200513177"/>
      <w:bookmarkStart w:id="281" w:name="_Toc509218761"/>
      <w:bookmarkStart w:id="282" w:name="_Toc224103368"/>
      <w:r>
        <w:rPr>
          <w:rFonts w:hint="eastAsia" w:ascii="宋体" w:hAnsi="宋体" w:eastAsia="宋体" w:cs="宋体"/>
          <w:b w:val="0"/>
          <w:bCs/>
          <w:snapToGrid w:val="0"/>
          <w:color w:val="auto"/>
          <w:kern w:val="2"/>
          <w:sz w:val="21"/>
          <w:szCs w:val="21"/>
          <w:highlight w:val="none"/>
          <w:lang w:val="en-US" w:eastAsia="zh-CN" w:bidi="ar-SA"/>
        </w:rPr>
        <w:t>9.5  投诉</w:t>
      </w:r>
      <w:bookmarkEnd w:id="275"/>
      <w:bookmarkEnd w:id="276"/>
      <w:bookmarkEnd w:id="277"/>
      <w:bookmarkEnd w:id="278"/>
      <w:bookmarkEnd w:id="279"/>
      <w:bookmarkEnd w:id="280"/>
      <w:bookmarkEnd w:id="281"/>
      <w:bookmarkEnd w:id="282"/>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投标人和其他利害关系人认为本次招标活动违反法律、法规和规章规定的，有权向有关行政监督部门投诉。</w:t>
      </w:r>
    </w:p>
    <w:p>
      <w:pPr>
        <w:keepNext/>
        <w:keepLines/>
        <w:pageBreakBefore w:val="0"/>
        <w:widowControl w:val="0"/>
        <w:kinsoku/>
        <w:wordWrap/>
        <w:overflowPunct/>
        <w:topLinePunct w:val="0"/>
        <w:bidi w:val="0"/>
        <w:spacing w:before="0" w:after="0" w:line="360" w:lineRule="auto"/>
        <w:ind w:firstLine="420" w:firstLineChars="200"/>
        <w:jc w:val="both"/>
        <w:textAlignment w:val="auto"/>
        <w:outlineLvl w:val="9"/>
        <w:rPr>
          <w:rFonts w:hint="eastAsia" w:ascii="宋体" w:hAnsi="宋体" w:eastAsia="宋体" w:cs="宋体"/>
          <w:b w:val="0"/>
          <w:bCs/>
          <w:snapToGrid w:val="0"/>
          <w:color w:val="auto"/>
          <w:kern w:val="2"/>
          <w:sz w:val="21"/>
          <w:szCs w:val="21"/>
          <w:highlight w:val="none"/>
          <w:lang w:val="en-US" w:eastAsia="zh-CN" w:bidi="ar-SA"/>
        </w:rPr>
      </w:pPr>
      <w:bookmarkStart w:id="283" w:name="_Toc287620737"/>
      <w:bookmarkStart w:id="284" w:name="_Toc277082604"/>
      <w:bookmarkStart w:id="285" w:name="_Toc224103369"/>
      <w:bookmarkStart w:id="286" w:name="_Toc200513178"/>
      <w:bookmarkStart w:id="287" w:name="_Toc509218762"/>
      <w:bookmarkStart w:id="288" w:name="_Toc287607798"/>
      <w:bookmarkStart w:id="289" w:name="_Toc36043738"/>
      <w:bookmarkStart w:id="290" w:name="_Toc430530487"/>
      <w:r>
        <w:rPr>
          <w:rFonts w:hint="eastAsia" w:ascii="宋体" w:hAnsi="宋体" w:eastAsia="宋体" w:cs="宋体"/>
          <w:b w:val="0"/>
          <w:bCs/>
          <w:snapToGrid w:val="0"/>
          <w:color w:val="auto"/>
          <w:kern w:val="2"/>
          <w:sz w:val="21"/>
          <w:szCs w:val="21"/>
          <w:highlight w:val="none"/>
          <w:lang w:val="en-US" w:eastAsia="zh-CN" w:bidi="ar-SA"/>
        </w:rPr>
        <w:t>10. 需要补充的其他内容</w:t>
      </w:r>
      <w:bookmarkEnd w:id="283"/>
      <w:bookmarkEnd w:id="284"/>
      <w:bookmarkEnd w:id="285"/>
      <w:bookmarkEnd w:id="286"/>
      <w:bookmarkEnd w:id="287"/>
      <w:bookmarkEnd w:id="288"/>
      <w:bookmarkEnd w:id="289"/>
      <w:bookmarkEnd w:id="290"/>
    </w:p>
    <w:p>
      <w:pPr>
        <w:pageBreakBefore w:val="0"/>
        <w:kinsoku/>
        <w:wordWrap/>
        <w:overflowPunct/>
        <w:topLinePunct w:val="0"/>
        <w:autoSpaceDE w:val="0"/>
        <w:autoSpaceDN w:val="0"/>
        <w:bidi w:val="0"/>
        <w:adjustRightInd w:val="0"/>
        <w:snapToGrid w:val="0"/>
        <w:spacing w:line="360" w:lineRule="auto"/>
        <w:ind w:firstLine="420" w:firstLineChars="200"/>
        <w:textAlignment w:val="auto"/>
        <w:rPr>
          <w:rFonts w:hint="eastAsia" w:ascii="宋体" w:hAnsi="宋体" w:eastAsia="宋体" w:cs="宋体"/>
          <w:snapToGrid w:val="0"/>
          <w:color w:val="auto"/>
          <w:kern w:val="0"/>
          <w:sz w:val="21"/>
          <w:szCs w:val="21"/>
          <w:highlight w:val="none"/>
        </w:rPr>
      </w:pPr>
      <w:r>
        <w:rPr>
          <w:rFonts w:hint="eastAsia" w:ascii="宋体" w:hAnsi="宋体" w:eastAsia="宋体" w:cs="宋体"/>
          <w:snapToGrid w:val="0"/>
          <w:color w:val="auto"/>
          <w:kern w:val="0"/>
          <w:sz w:val="21"/>
          <w:szCs w:val="21"/>
          <w:highlight w:val="none"/>
        </w:rPr>
        <w:t>需要补充的其他内容：见投标人须知前附表。</w:t>
      </w:r>
    </w:p>
    <w:p>
      <w:pPr>
        <w:spacing w:line="360" w:lineRule="auto"/>
        <w:ind w:firstLine="240" w:firstLineChars="100"/>
        <w:rPr>
          <w:rFonts w:ascii="宋体" w:hAnsi="宋体" w:eastAsia="宋体" w:cs="宋体"/>
          <w:color w:val="auto"/>
          <w:sz w:val="24"/>
          <w:highlight w:val="none"/>
        </w:rPr>
        <w:sectPr>
          <w:footerReference r:id="rId8" w:type="first"/>
          <w:footerReference r:id="rId7" w:type="default"/>
          <w:pgSz w:w="11906" w:h="16838"/>
          <w:pgMar w:top="1134" w:right="1418" w:bottom="1134" w:left="1418" w:header="851" w:footer="992" w:gutter="0"/>
          <w:cols w:space="720" w:num="1"/>
          <w:docGrid w:type="lines" w:linePitch="312" w:charSpace="0"/>
        </w:sectPr>
      </w:pPr>
    </w:p>
    <w:p>
      <w:pPr>
        <w:pStyle w:val="3"/>
        <w:spacing w:line="360" w:lineRule="auto"/>
        <w:jc w:val="center"/>
        <w:rPr>
          <w:rFonts w:ascii="宋体" w:hAnsi="宋体"/>
          <w:snapToGrid w:val="0"/>
          <w:color w:val="auto"/>
          <w:kern w:val="0"/>
          <w:highlight w:val="none"/>
        </w:rPr>
      </w:pPr>
      <w:bookmarkStart w:id="291" w:name="_Toc20466"/>
      <w:bookmarkStart w:id="292" w:name="_Toc57905884"/>
      <w:bookmarkStart w:id="293" w:name="_Toc8830"/>
      <w:bookmarkStart w:id="294" w:name="_Toc210"/>
      <w:bookmarkStart w:id="295" w:name="_Toc6128"/>
      <w:bookmarkStart w:id="296" w:name="_Toc224103384"/>
      <w:bookmarkStart w:id="297" w:name="_Toc287607812"/>
      <w:bookmarkStart w:id="298" w:name="_Toc509218774"/>
      <w:bookmarkStart w:id="299" w:name="_Toc200513198"/>
      <w:bookmarkStart w:id="300" w:name="_Toc287620751"/>
      <w:bookmarkStart w:id="301" w:name="_Toc430530500"/>
      <w:bookmarkStart w:id="302" w:name="_Toc277082618"/>
      <w:r>
        <w:rPr>
          <w:rFonts w:ascii="宋体" w:hAnsi="宋体"/>
          <w:snapToGrid w:val="0"/>
          <w:color w:val="auto"/>
          <w:kern w:val="0"/>
          <w:highlight w:val="none"/>
        </w:rPr>
        <w:t xml:space="preserve">第三章 </w:t>
      </w:r>
      <w:r>
        <w:rPr>
          <w:rFonts w:hint="eastAsia" w:ascii="宋体" w:hAnsi="宋体"/>
          <w:snapToGrid w:val="0"/>
          <w:color w:val="auto"/>
          <w:kern w:val="0"/>
          <w:highlight w:val="none"/>
        </w:rPr>
        <w:t xml:space="preserve"> </w:t>
      </w:r>
      <w:r>
        <w:rPr>
          <w:rFonts w:ascii="宋体" w:hAnsi="宋体"/>
          <w:snapToGrid w:val="0"/>
          <w:color w:val="auto"/>
          <w:kern w:val="0"/>
          <w:highlight w:val="none"/>
        </w:rPr>
        <w:t>评标办法（</w:t>
      </w:r>
      <w:r>
        <w:rPr>
          <w:rFonts w:hint="eastAsia" w:ascii="宋体" w:hAnsi="宋体"/>
          <w:snapToGrid w:val="0"/>
          <w:color w:val="auto"/>
          <w:kern w:val="0"/>
          <w:highlight w:val="none"/>
        </w:rPr>
        <w:t>经评审的最低投标价法</w:t>
      </w:r>
      <w:r>
        <w:rPr>
          <w:rFonts w:ascii="宋体" w:hAnsi="宋体"/>
          <w:snapToGrid w:val="0"/>
          <w:color w:val="auto"/>
          <w:kern w:val="0"/>
          <w:highlight w:val="none"/>
        </w:rPr>
        <w:t>）</w:t>
      </w:r>
      <w:bookmarkEnd w:id="291"/>
      <w:bookmarkEnd w:id="292"/>
      <w:bookmarkEnd w:id="293"/>
      <w:bookmarkEnd w:id="294"/>
    </w:p>
    <w:p>
      <w:pPr>
        <w:keepNext/>
        <w:keepLines/>
        <w:spacing w:before="100" w:after="100" w:line="360" w:lineRule="auto"/>
        <w:outlineLvl w:val="1"/>
        <w:rPr>
          <w:rFonts w:ascii="宋体" w:hAnsi="宋体"/>
          <w:b/>
          <w:color w:val="auto"/>
          <w:sz w:val="32"/>
          <w:szCs w:val="32"/>
          <w:highlight w:val="none"/>
        </w:rPr>
      </w:pPr>
      <w:bookmarkStart w:id="303" w:name="_Toc14792"/>
      <w:bookmarkStart w:id="304" w:name="_Toc57905885"/>
      <w:bookmarkStart w:id="305" w:name="_Toc18549"/>
      <w:bookmarkStart w:id="306" w:name="_Toc884"/>
      <w:r>
        <w:rPr>
          <w:rFonts w:hint="eastAsia" w:ascii="宋体" w:hAnsi="宋体"/>
          <w:b/>
          <w:color w:val="auto"/>
          <w:sz w:val="32"/>
          <w:szCs w:val="32"/>
          <w:highlight w:val="none"/>
        </w:rPr>
        <w:t>评标办法前附表</w:t>
      </w:r>
      <w:bookmarkEnd w:id="303"/>
      <w:bookmarkEnd w:id="304"/>
      <w:bookmarkEnd w:id="305"/>
      <w:bookmarkEnd w:id="306"/>
    </w:p>
    <w:p>
      <w:pPr>
        <w:spacing w:line="400" w:lineRule="exact"/>
        <w:ind w:firstLine="427" w:firstLineChars="196"/>
        <w:rPr>
          <w:rFonts w:ascii="宋体" w:hAnsi="宋体"/>
          <w:color w:val="auto"/>
          <w:spacing w:val="4"/>
          <w:kern w:val="0"/>
          <w:szCs w:val="21"/>
          <w:highlight w:val="none"/>
        </w:rPr>
      </w:pPr>
      <w:bookmarkStart w:id="307" w:name="_Toc13210726"/>
      <w:r>
        <w:rPr>
          <w:rFonts w:ascii="宋体" w:hAnsi="宋体"/>
          <w:color w:val="auto"/>
          <w:spacing w:val="4"/>
          <w:kern w:val="0"/>
          <w:szCs w:val="21"/>
          <w:highlight w:val="none"/>
        </w:rPr>
        <w:t>评标办法中的评审内容必须和</w:t>
      </w:r>
      <w:r>
        <w:rPr>
          <w:rFonts w:hint="eastAsia" w:ascii="宋体" w:hAnsi="宋体"/>
          <w:color w:val="auto"/>
          <w:spacing w:val="4"/>
          <w:kern w:val="0"/>
          <w:szCs w:val="21"/>
          <w:highlight w:val="none"/>
          <w:lang w:eastAsia="zh-CN"/>
        </w:rPr>
        <w:t>竞选人须知</w:t>
      </w:r>
      <w:r>
        <w:rPr>
          <w:rFonts w:ascii="宋体" w:hAnsi="宋体"/>
          <w:color w:val="auto"/>
          <w:spacing w:val="4"/>
          <w:kern w:val="0"/>
          <w:szCs w:val="21"/>
          <w:highlight w:val="none"/>
        </w:rPr>
        <w:t>中的对应内容一致，若</w:t>
      </w:r>
      <w:r>
        <w:rPr>
          <w:rFonts w:hint="eastAsia" w:ascii="宋体" w:hAnsi="宋体"/>
          <w:color w:val="auto"/>
          <w:spacing w:val="4"/>
          <w:kern w:val="0"/>
          <w:szCs w:val="21"/>
          <w:highlight w:val="none"/>
          <w:lang w:eastAsia="zh-CN"/>
        </w:rPr>
        <w:t>竞选人须知</w:t>
      </w:r>
      <w:r>
        <w:rPr>
          <w:rFonts w:ascii="宋体" w:hAnsi="宋体"/>
          <w:color w:val="auto"/>
          <w:spacing w:val="4"/>
          <w:kern w:val="0"/>
          <w:szCs w:val="21"/>
          <w:highlight w:val="none"/>
        </w:rPr>
        <w:t>中未作要求的内容，不得列入评标办法作为评定依据。</w:t>
      </w:r>
      <w:bookmarkEnd w:id="307"/>
    </w:p>
    <w:tbl>
      <w:tblPr>
        <w:tblStyle w:val="45"/>
        <w:tblW w:w="9685"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43"/>
        <w:gridCol w:w="1560"/>
        <w:gridCol w:w="2267"/>
        <w:gridCol w:w="3595"/>
        <w:gridCol w:w="10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7" w:hRule="atLeast"/>
          <w:jc w:val="center"/>
        </w:trPr>
        <w:tc>
          <w:tcPr>
            <w:tcW w:w="1243" w:type="dxa"/>
            <w:tcBorders>
              <w:right w:val="single" w:color="auto" w:sz="4" w:space="0"/>
            </w:tcBorders>
            <w:vAlign w:val="center"/>
          </w:tcPr>
          <w:p>
            <w:pPr>
              <w:spacing w:line="400" w:lineRule="exact"/>
              <w:jc w:val="center"/>
              <w:rPr>
                <w:rFonts w:ascii="宋体" w:hAnsi="宋体"/>
                <w:b/>
                <w:color w:val="auto"/>
                <w:kern w:val="0"/>
                <w:highlight w:val="none"/>
              </w:rPr>
            </w:pPr>
            <w:r>
              <w:rPr>
                <w:rFonts w:ascii="宋体" w:hAnsi="宋体"/>
                <w:b/>
                <w:color w:val="auto"/>
                <w:kern w:val="0"/>
                <w:highlight w:val="none"/>
              </w:rPr>
              <w:t>条款号</w:t>
            </w:r>
          </w:p>
        </w:tc>
        <w:tc>
          <w:tcPr>
            <w:tcW w:w="1560" w:type="dxa"/>
            <w:tcBorders>
              <w:left w:val="single" w:color="auto" w:sz="4" w:space="0"/>
            </w:tcBorders>
            <w:vAlign w:val="center"/>
          </w:tcPr>
          <w:p>
            <w:pPr>
              <w:spacing w:line="400" w:lineRule="exact"/>
              <w:jc w:val="center"/>
              <w:rPr>
                <w:rFonts w:ascii="宋体" w:hAnsi="宋体"/>
                <w:b/>
                <w:color w:val="auto"/>
                <w:kern w:val="0"/>
                <w:highlight w:val="none"/>
              </w:rPr>
            </w:pPr>
            <w:r>
              <w:rPr>
                <w:rFonts w:ascii="宋体" w:hAnsi="宋体"/>
                <w:b/>
                <w:color w:val="auto"/>
                <w:kern w:val="0"/>
                <w:highlight w:val="none"/>
              </w:rPr>
              <w:t>评审因素</w:t>
            </w:r>
          </w:p>
        </w:tc>
        <w:tc>
          <w:tcPr>
            <w:tcW w:w="6882" w:type="dxa"/>
            <w:gridSpan w:val="3"/>
            <w:vAlign w:val="center"/>
          </w:tcPr>
          <w:p>
            <w:pPr>
              <w:spacing w:line="400" w:lineRule="exact"/>
              <w:jc w:val="center"/>
              <w:rPr>
                <w:rFonts w:ascii="宋体" w:hAnsi="宋体"/>
                <w:b/>
                <w:color w:val="auto"/>
                <w:kern w:val="0"/>
                <w:highlight w:val="none"/>
              </w:rPr>
            </w:pPr>
            <w:r>
              <w:rPr>
                <w:rFonts w:ascii="宋体" w:hAnsi="宋体"/>
                <w:b/>
                <w:color w:val="auto"/>
                <w:kern w:val="0"/>
                <w:highlight w:val="none"/>
              </w:rPr>
              <w:t>评审标准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jc w:val="center"/>
        </w:trPr>
        <w:tc>
          <w:tcPr>
            <w:tcW w:w="1243" w:type="dxa"/>
            <w:tcBorders>
              <w:right w:val="single" w:color="auto" w:sz="4" w:space="0"/>
            </w:tcBorders>
            <w:vAlign w:val="center"/>
          </w:tcPr>
          <w:p>
            <w:pPr>
              <w:pStyle w:val="86"/>
              <w:spacing w:line="400" w:lineRule="exact"/>
              <w:ind w:firstLine="420"/>
              <w:rPr>
                <w:color w:val="auto"/>
                <w:sz w:val="21"/>
                <w:szCs w:val="21"/>
                <w:highlight w:val="none"/>
              </w:rPr>
            </w:pPr>
            <w:r>
              <w:rPr>
                <w:color w:val="auto"/>
                <w:sz w:val="21"/>
                <w:szCs w:val="21"/>
                <w:highlight w:val="none"/>
              </w:rPr>
              <w:t>1</w:t>
            </w:r>
          </w:p>
        </w:tc>
        <w:tc>
          <w:tcPr>
            <w:tcW w:w="1560" w:type="dxa"/>
            <w:tcBorders>
              <w:left w:val="single" w:color="auto" w:sz="4" w:space="0"/>
            </w:tcBorders>
            <w:vAlign w:val="center"/>
          </w:tcPr>
          <w:p>
            <w:pPr>
              <w:pStyle w:val="86"/>
              <w:spacing w:line="400" w:lineRule="exact"/>
              <w:ind w:firstLine="0" w:firstLineChars="0"/>
              <w:jc w:val="center"/>
              <w:rPr>
                <w:color w:val="auto"/>
                <w:sz w:val="21"/>
                <w:szCs w:val="21"/>
                <w:highlight w:val="none"/>
              </w:rPr>
            </w:pPr>
            <w:r>
              <w:rPr>
                <w:rFonts w:hint="eastAsia"/>
                <w:color w:val="auto"/>
                <w:sz w:val="21"/>
                <w:szCs w:val="21"/>
                <w:highlight w:val="none"/>
              </w:rPr>
              <w:t>评标办法</w:t>
            </w:r>
          </w:p>
        </w:tc>
        <w:tc>
          <w:tcPr>
            <w:tcW w:w="6882" w:type="dxa"/>
            <w:gridSpan w:val="3"/>
            <w:vAlign w:val="center"/>
          </w:tcPr>
          <w:p>
            <w:pPr>
              <w:spacing w:line="400" w:lineRule="exact"/>
              <w:ind w:firstLine="436" w:firstLineChars="200"/>
              <w:rPr>
                <w:rFonts w:ascii="宋体" w:hAnsi="宋体"/>
                <w:color w:val="auto"/>
                <w:spacing w:val="4"/>
                <w:kern w:val="0"/>
                <w:szCs w:val="21"/>
                <w:highlight w:val="none"/>
              </w:rPr>
            </w:pPr>
            <w:r>
              <w:rPr>
                <w:rFonts w:hint="eastAsia" w:ascii="宋体" w:hAnsi="宋体"/>
                <w:color w:val="auto"/>
                <w:spacing w:val="4"/>
                <w:kern w:val="0"/>
                <w:szCs w:val="21"/>
                <w:highlight w:val="none"/>
              </w:rPr>
              <w:t>本次评标采用经评审的最低投标价法，评标委员会按照本章第2.1款进行报价排序，按照本章第2.2款进行符合性审查，符合性审查合格的</w:t>
            </w:r>
            <w:r>
              <w:rPr>
                <w:rFonts w:hint="eastAsia" w:ascii="宋体" w:hAnsi="宋体"/>
                <w:color w:val="auto"/>
                <w:spacing w:val="4"/>
                <w:kern w:val="0"/>
                <w:szCs w:val="21"/>
                <w:highlight w:val="none"/>
                <w:lang w:eastAsia="zh-CN"/>
              </w:rPr>
              <w:t>竞选人</w:t>
            </w:r>
            <w:r>
              <w:rPr>
                <w:rFonts w:hint="eastAsia" w:ascii="宋体" w:hAnsi="宋体"/>
                <w:color w:val="auto"/>
                <w:spacing w:val="4"/>
                <w:kern w:val="0"/>
                <w:szCs w:val="21"/>
                <w:highlight w:val="none"/>
              </w:rPr>
              <w:t>中按报价由低到高推荐中标候选人，或根据</w:t>
            </w:r>
            <w:r>
              <w:rPr>
                <w:rFonts w:hint="eastAsia" w:ascii="宋体" w:hAnsi="宋体"/>
                <w:color w:val="auto"/>
                <w:spacing w:val="4"/>
                <w:kern w:val="0"/>
                <w:szCs w:val="21"/>
                <w:highlight w:val="none"/>
                <w:lang w:eastAsia="zh-CN"/>
              </w:rPr>
              <w:t>比选人</w:t>
            </w:r>
            <w:r>
              <w:rPr>
                <w:rFonts w:hint="eastAsia" w:ascii="宋体" w:hAnsi="宋体"/>
                <w:color w:val="auto"/>
                <w:spacing w:val="4"/>
                <w:kern w:val="0"/>
                <w:szCs w:val="21"/>
                <w:highlight w:val="none"/>
              </w:rPr>
              <w:t>授权直接确定中标人。若出现</w:t>
            </w:r>
            <w:r>
              <w:rPr>
                <w:rFonts w:hint="eastAsia" w:ascii="宋体" w:hAnsi="宋体"/>
                <w:color w:val="auto"/>
                <w:spacing w:val="4"/>
                <w:kern w:val="0"/>
                <w:szCs w:val="21"/>
                <w:highlight w:val="none"/>
                <w:lang w:eastAsia="zh-CN"/>
              </w:rPr>
              <w:t>竞选人</w:t>
            </w:r>
            <w:r>
              <w:rPr>
                <w:rFonts w:hint="eastAsia" w:ascii="宋体" w:hAnsi="宋体"/>
                <w:color w:val="auto"/>
                <w:spacing w:val="4"/>
                <w:kern w:val="0"/>
                <w:szCs w:val="21"/>
                <w:highlight w:val="none"/>
              </w:rPr>
              <w:t>投标报价相同的，以“</w:t>
            </w:r>
            <w:r>
              <w:rPr>
                <w:rFonts w:hint="eastAsia" w:ascii="宋体" w:hAnsi="宋体"/>
                <w:color w:val="auto"/>
                <w:spacing w:val="4"/>
                <w:kern w:val="0"/>
                <w:szCs w:val="21"/>
                <w:highlight w:val="none"/>
                <w:lang w:eastAsia="zh-CN"/>
              </w:rPr>
              <w:t>竞选人</w:t>
            </w:r>
            <w:r>
              <w:rPr>
                <w:rFonts w:hint="eastAsia" w:ascii="宋体" w:hAnsi="宋体"/>
                <w:color w:val="auto"/>
                <w:spacing w:val="4"/>
                <w:kern w:val="0"/>
                <w:szCs w:val="21"/>
                <w:highlight w:val="none"/>
              </w:rPr>
              <w:t>在红名单中优先”的原则排序（联合体投标的，须联合体牵头人在红名单中），</w:t>
            </w:r>
            <w:r>
              <w:rPr>
                <w:rFonts w:hint="eastAsia" w:ascii="宋体" w:hAnsi="宋体"/>
                <w:color w:val="auto"/>
                <w:spacing w:val="4"/>
                <w:kern w:val="0"/>
                <w:szCs w:val="21"/>
                <w:highlight w:val="none"/>
                <w:lang w:eastAsia="zh-CN"/>
              </w:rPr>
              <w:t>竞选人</w:t>
            </w:r>
            <w:r>
              <w:rPr>
                <w:rFonts w:hint="eastAsia" w:ascii="宋体" w:hAnsi="宋体"/>
                <w:color w:val="auto"/>
                <w:spacing w:val="4"/>
                <w:kern w:val="0"/>
                <w:szCs w:val="21"/>
                <w:highlight w:val="none"/>
              </w:rPr>
              <w:t>是否属于红名单，以开标环节信用状况查询结果为准；</w:t>
            </w:r>
            <w:r>
              <w:rPr>
                <w:rFonts w:hint="eastAsia" w:ascii="宋体" w:hAnsi="宋体"/>
                <w:color w:val="auto"/>
                <w:spacing w:val="4"/>
                <w:kern w:val="0"/>
                <w:szCs w:val="21"/>
                <w:highlight w:val="none"/>
                <w:lang w:eastAsia="zh-CN"/>
              </w:rPr>
              <w:t>竞选人</w:t>
            </w:r>
            <w:r>
              <w:rPr>
                <w:rFonts w:hint="eastAsia" w:ascii="宋体" w:hAnsi="宋体"/>
                <w:color w:val="auto"/>
                <w:spacing w:val="4"/>
                <w:kern w:val="0"/>
                <w:szCs w:val="21"/>
                <w:highlight w:val="none"/>
              </w:rPr>
              <w:t>均在红名单中或均不在红名单中的，由评标委员会按照</w:t>
            </w:r>
            <w:r>
              <w:rPr>
                <w:rFonts w:hint="eastAsia" w:ascii="宋体" w:hAnsi="宋体"/>
                <w:color w:val="auto"/>
                <w:spacing w:val="4"/>
                <w:kern w:val="0"/>
                <w:szCs w:val="21"/>
                <w:highlight w:val="none"/>
                <w:u w:val="single"/>
              </w:rPr>
              <w:t xml:space="preserve">  </w:t>
            </w:r>
            <w:r>
              <w:rPr>
                <w:rFonts w:hint="eastAsia" w:ascii="宋体" w:hAnsi="宋体"/>
                <w:color w:val="auto"/>
                <w:spacing w:val="4"/>
                <w:kern w:val="0"/>
                <w:szCs w:val="21"/>
                <w:highlight w:val="none"/>
                <w:u w:val="single"/>
                <w:lang w:val="en-US" w:eastAsia="zh-CN"/>
              </w:rPr>
              <w:t>投标表决</w:t>
            </w:r>
            <w:r>
              <w:rPr>
                <w:rFonts w:hint="eastAsia" w:ascii="宋体" w:hAnsi="宋体"/>
                <w:color w:val="auto"/>
                <w:spacing w:val="4"/>
                <w:kern w:val="0"/>
                <w:szCs w:val="21"/>
                <w:highlight w:val="none"/>
                <w:u w:val="single"/>
              </w:rPr>
              <w:t xml:space="preserve">  </w:t>
            </w:r>
            <w:r>
              <w:rPr>
                <w:rFonts w:hint="eastAsia" w:ascii="宋体" w:hAnsi="宋体"/>
                <w:color w:val="auto"/>
                <w:spacing w:val="4"/>
                <w:kern w:val="0"/>
                <w:szCs w:val="21"/>
                <w:highlight w:val="none"/>
              </w:rPr>
              <w:t>原则排序。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tcBorders>
              <w:right w:val="single" w:color="auto" w:sz="4" w:space="0"/>
            </w:tcBorders>
            <w:vAlign w:val="center"/>
          </w:tcPr>
          <w:p>
            <w:pPr>
              <w:spacing w:line="400" w:lineRule="exact"/>
              <w:jc w:val="center"/>
              <w:rPr>
                <w:rFonts w:ascii="宋体" w:hAnsi="宋体"/>
                <w:color w:val="auto"/>
                <w:kern w:val="0"/>
                <w:highlight w:val="none"/>
              </w:rPr>
            </w:pPr>
            <w:r>
              <w:rPr>
                <w:rFonts w:hint="eastAsia" w:ascii="宋体" w:hAnsi="宋体"/>
                <w:color w:val="auto"/>
                <w:kern w:val="0"/>
                <w:highlight w:val="none"/>
              </w:rPr>
              <w:t>2.1</w:t>
            </w:r>
          </w:p>
        </w:tc>
        <w:tc>
          <w:tcPr>
            <w:tcW w:w="1560" w:type="dxa"/>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r>
              <w:rPr>
                <w:rFonts w:ascii="宋体" w:hAnsi="宋体"/>
                <w:color w:val="auto"/>
                <w:kern w:val="0"/>
                <w:highlight w:val="none"/>
              </w:rPr>
              <w:t>报价</w:t>
            </w:r>
            <w:r>
              <w:rPr>
                <w:rFonts w:hint="eastAsia" w:ascii="宋体" w:hAnsi="宋体"/>
                <w:color w:val="auto"/>
                <w:kern w:val="0"/>
                <w:highlight w:val="none"/>
              </w:rPr>
              <w:t>排序</w:t>
            </w:r>
          </w:p>
        </w:tc>
        <w:tc>
          <w:tcPr>
            <w:tcW w:w="6882" w:type="dxa"/>
            <w:gridSpan w:val="3"/>
            <w:tcBorders>
              <w:left w:val="single" w:color="auto" w:sz="4" w:space="0"/>
            </w:tcBorders>
            <w:vAlign w:val="center"/>
          </w:tcPr>
          <w:p>
            <w:pPr>
              <w:spacing w:line="400" w:lineRule="exact"/>
              <w:ind w:firstLine="420" w:firstLineChars="200"/>
              <w:jc w:val="left"/>
              <w:rPr>
                <w:rFonts w:ascii="宋体" w:hAnsi="宋体"/>
                <w:color w:val="auto"/>
                <w:kern w:val="0"/>
                <w:highlight w:val="none"/>
              </w:rPr>
            </w:pPr>
            <w:r>
              <w:rPr>
                <w:rFonts w:hint="eastAsia" w:ascii="宋体" w:hAnsi="宋体"/>
                <w:color w:val="auto"/>
                <w:kern w:val="0"/>
                <w:highlight w:val="none"/>
              </w:rPr>
              <w:t>对报价不高于最高限价的所有</w:t>
            </w:r>
            <w:r>
              <w:rPr>
                <w:rFonts w:hint="eastAsia" w:ascii="宋体" w:hAnsi="宋体"/>
                <w:color w:val="auto"/>
                <w:kern w:val="0"/>
                <w:highlight w:val="none"/>
                <w:lang w:eastAsia="zh-CN"/>
              </w:rPr>
              <w:t>竞选人</w:t>
            </w:r>
            <w:r>
              <w:rPr>
                <w:rFonts w:hint="eastAsia" w:ascii="宋体" w:hAnsi="宋体"/>
                <w:color w:val="auto"/>
                <w:kern w:val="0"/>
                <w:highlight w:val="none"/>
              </w:rPr>
              <w:t>的投标文件，按照报价由低到高的顺序排列。</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tcBorders>
              <w:right w:val="single" w:color="auto" w:sz="4" w:space="0"/>
            </w:tcBorders>
            <w:vAlign w:val="center"/>
          </w:tcPr>
          <w:p>
            <w:pPr>
              <w:spacing w:line="400" w:lineRule="exact"/>
              <w:jc w:val="center"/>
              <w:rPr>
                <w:rFonts w:ascii="宋体" w:hAnsi="宋体"/>
                <w:color w:val="auto"/>
                <w:kern w:val="0"/>
                <w:highlight w:val="none"/>
              </w:rPr>
            </w:pPr>
            <w:r>
              <w:rPr>
                <w:rFonts w:hint="eastAsia" w:ascii="宋体" w:hAnsi="宋体"/>
                <w:color w:val="auto"/>
                <w:kern w:val="0"/>
                <w:highlight w:val="none"/>
              </w:rPr>
              <w:t>2.2</w:t>
            </w:r>
          </w:p>
        </w:tc>
        <w:tc>
          <w:tcPr>
            <w:tcW w:w="1560" w:type="dxa"/>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r>
              <w:rPr>
                <w:rFonts w:hint="eastAsia" w:ascii="宋体" w:hAnsi="宋体"/>
                <w:color w:val="auto"/>
                <w:kern w:val="0"/>
                <w:highlight w:val="none"/>
              </w:rPr>
              <w:t>符合性审查</w:t>
            </w:r>
          </w:p>
        </w:tc>
        <w:tc>
          <w:tcPr>
            <w:tcW w:w="6882" w:type="dxa"/>
            <w:gridSpan w:val="3"/>
            <w:tcBorders>
              <w:left w:val="single" w:color="auto" w:sz="4" w:space="0"/>
            </w:tcBorders>
            <w:vAlign w:val="center"/>
          </w:tcPr>
          <w:p>
            <w:pPr>
              <w:spacing w:line="400" w:lineRule="exact"/>
              <w:ind w:firstLine="420" w:firstLineChars="200"/>
              <w:jc w:val="left"/>
              <w:rPr>
                <w:rFonts w:ascii="宋体" w:hAnsi="宋体"/>
                <w:color w:val="auto"/>
                <w:kern w:val="0"/>
                <w:highlight w:val="none"/>
              </w:rPr>
            </w:pPr>
            <w:r>
              <w:rPr>
                <w:rFonts w:hint="eastAsia" w:ascii="宋体" w:hAnsi="宋体"/>
                <w:color w:val="auto"/>
                <w:kern w:val="0"/>
                <w:highlight w:val="none"/>
              </w:rPr>
              <w:t>取报价排序前</w:t>
            </w:r>
            <w:r>
              <w:rPr>
                <w:rFonts w:hint="eastAsia" w:ascii="宋体" w:hAnsi="宋体"/>
                <w:color w:val="auto"/>
                <w:kern w:val="0"/>
                <w:highlight w:val="none"/>
                <w:lang w:eastAsia="zh-CN"/>
              </w:rPr>
              <w:t>☑</w:t>
            </w:r>
            <w:r>
              <w:rPr>
                <w:rFonts w:hint="eastAsia" w:ascii="宋体" w:hAnsi="宋体"/>
                <w:color w:val="auto"/>
                <w:kern w:val="0"/>
                <w:highlight w:val="none"/>
              </w:rPr>
              <w:t>5名（若实际</w:t>
            </w:r>
            <w:r>
              <w:rPr>
                <w:rFonts w:hint="eastAsia" w:ascii="宋体" w:hAnsi="宋体"/>
                <w:color w:val="auto"/>
                <w:kern w:val="0"/>
                <w:highlight w:val="none"/>
                <w:lang w:eastAsia="zh-CN"/>
              </w:rPr>
              <w:t>竞选人</w:t>
            </w:r>
            <w:r>
              <w:rPr>
                <w:rFonts w:hint="eastAsia" w:ascii="宋体" w:hAnsi="宋体"/>
                <w:color w:val="auto"/>
                <w:kern w:val="0"/>
                <w:highlight w:val="none"/>
              </w:rPr>
              <w:t>数量小于勾选数量，</w:t>
            </w:r>
            <w:r>
              <w:rPr>
                <w:rFonts w:hint="eastAsia" w:ascii="宋体" w:hAnsi="宋体"/>
                <w:color w:val="auto"/>
                <w:spacing w:val="4"/>
                <w:kern w:val="0"/>
                <w:szCs w:val="21"/>
                <w:highlight w:val="none"/>
              </w:rPr>
              <w:t>则全部纳入）进行符合性审查。符合性审查内容：</w:t>
            </w:r>
            <w:r>
              <w:rPr>
                <w:rFonts w:hint="eastAsia" w:ascii="宋体" w:hAnsi="宋体"/>
                <w:color w:val="auto"/>
                <w:spacing w:val="4"/>
                <w:kern w:val="0"/>
                <w:szCs w:val="21"/>
                <w:highlight w:val="none"/>
                <w:lang w:eastAsia="zh-CN"/>
              </w:rPr>
              <w:t>☑</w:t>
            </w:r>
            <w:r>
              <w:rPr>
                <w:rFonts w:hint="eastAsia" w:ascii="宋体" w:hAnsi="宋体"/>
                <w:color w:val="auto"/>
                <w:spacing w:val="4"/>
                <w:kern w:val="0"/>
                <w:szCs w:val="21"/>
                <w:highlight w:val="none"/>
              </w:rPr>
              <w:t>技术方案评审、资格评审、形式评审、响应性评审。符合性审查</w:t>
            </w:r>
            <w:r>
              <w:rPr>
                <w:rFonts w:hint="eastAsia" w:ascii="宋体" w:hAnsi="宋体"/>
                <w:color w:val="auto"/>
                <w:kern w:val="0"/>
                <w:highlight w:val="none"/>
              </w:rPr>
              <w:t>合格的</w:t>
            </w:r>
            <w:r>
              <w:rPr>
                <w:rFonts w:hint="eastAsia" w:ascii="宋体" w:hAnsi="宋体"/>
                <w:color w:val="auto"/>
                <w:kern w:val="0"/>
                <w:highlight w:val="none"/>
                <w:lang w:eastAsia="zh-CN"/>
              </w:rPr>
              <w:t>竞选人</w:t>
            </w:r>
            <w:r>
              <w:rPr>
                <w:rFonts w:hint="eastAsia" w:ascii="宋体" w:hAnsi="宋体"/>
                <w:color w:val="auto"/>
                <w:kern w:val="0"/>
                <w:highlight w:val="none"/>
              </w:rPr>
              <w:t>中，报价最低的成为第一中标候选人，报价次低的成为第二中标候选人，依次类推。</w:t>
            </w:r>
          </w:p>
          <w:p>
            <w:pPr>
              <w:spacing w:line="400" w:lineRule="exact"/>
              <w:ind w:firstLine="420" w:firstLineChars="200"/>
              <w:jc w:val="left"/>
              <w:rPr>
                <w:rFonts w:ascii="宋体" w:hAnsi="宋体"/>
                <w:color w:val="auto"/>
                <w:kern w:val="0"/>
                <w:highlight w:val="none"/>
              </w:rPr>
            </w:pPr>
            <w:r>
              <w:rPr>
                <w:rFonts w:hint="eastAsia" w:ascii="宋体" w:hAnsi="宋体"/>
                <w:i/>
                <w:color w:val="auto"/>
                <w:kern w:val="0"/>
                <w:highlight w:val="none"/>
              </w:rPr>
              <w:t>[提示：勾选技术方案评审的，符合性审查应首先进行技术方案暗标评审，再按照资格、形式、响应性的顺序进行评审。]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5" w:hRule="atLeast"/>
          <w:jc w:val="center"/>
        </w:trPr>
        <w:tc>
          <w:tcPr>
            <w:tcW w:w="1243" w:type="dxa"/>
            <w:vMerge w:val="restart"/>
            <w:tcBorders>
              <w:right w:val="single" w:color="auto" w:sz="4" w:space="0"/>
            </w:tcBorders>
            <w:vAlign w:val="center"/>
          </w:tcPr>
          <w:p>
            <w:pPr>
              <w:spacing w:line="400" w:lineRule="exact"/>
              <w:jc w:val="center"/>
              <w:rPr>
                <w:rFonts w:ascii="宋体" w:hAnsi="宋体"/>
                <w:color w:val="auto"/>
                <w:kern w:val="0"/>
                <w:highlight w:val="none"/>
              </w:rPr>
            </w:pPr>
            <w:r>
              <w:rPr>
                <w:rFonts w:hint="eastAsia" w:ascii="宋体" w:hAnsi="宋体" w:cs="宋体"/>
                <w:color w:val="auto"/>
                <w:szCs w:val="21"/>
                <w:highlight w:val="none"/>
                <w:lang w:eastAsia="zh-CN"/>
              </w:rPr>
              <w:t>☑</w:t>
            </w:r>
            <w:r>
              <w:rPr>
                <w:rFonts w:hint="eastAsia" w:ascii="宋体" w:hAnsi="宋体"/>
                <w:color w:val="auto"/>
                <w:kern w:val="0"/>
                <w:highlight w:val="none"/>
              </w:rPr>
              <w:t>2.2.1</w:t>
            </w:r>
          </w:p>
        </w:tc>
        <w:tc>
          <w:tcPr>
            <w:tcW w:w="1560" w:type="dxa"/>
            <w:vMerge w:val="restart"/>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r>
              <w:rPr>
                <w:rFonts w:ascii="宋体" w:hAnsi="宋体"/>
                <w:color w:val="auto"/>
                <w:kern w:val="0"/>
                <w:highlight w:val="none"/>
              </w:rPr>
              <w:t>技术方案</w:t>
            </w:r>
            <w:r>
              <w:rPr>
                <w:rFonts w:hint="eastAsia" w:ascii="宋体" w:hAnsi="宋体"/>
                <w:color w:val="auto"/>
                <w:kern w:val="0"/>
                <w:highlight w:val="none"/>
              </w:rPr>
              <w:t>评审</w:t>
            </w:r>
            <w:r>
              <w:rPr>
                <w:rFonts w:ascii="宋体" w:hAnsi="宋体"/>
                <w:color w:val="auto"/>
                <w:kern w:val="0"/>
                <w:highlight w:val="none"/>
              </w:rPr>
              <w:t>标准</w:t>
            </w:r>
          </w:p>
        </w:tc>
        <w:tc>
          <w:tcPr>
            <w:tcW w:w="2267" w:type="dxa"/>
            <w:tcBorders>
              <w:left w:val="single" w:color="auto" w:sz="4" w:space="0"/>
              <w:bottom w:val="single" w:color="auto" w:sz="4" w:space="0"/>
              <w:right w:val="single" w:color="auto" w:sz="4" w:space="0"/>
            </w:tcBorders>
            <w:vAlign w:val="center"/>
          </w:tcPr>
          <w:p>
            <w:pPr>
              <w:snapToGrid w:val="0"/>
              <w:spacing w:line="400" w:lineRule="exact"/>
              <w:rPr>
                <w:rFonts w:ascii="宋体" w:hAnsi="宋体" w:cs="宋体"/>
                <w:color w:val="auto"/>
                <w:kern w:val="0"/>
                <w:highlight w:val="none"/>
              </w:rPr>
            </w:pPr>
            <w:r>
              <w:rPr>
                <w:rFonts w:hint="eastAsia" w:ascii="宋体" w:hAnsi="宋体" w:cs="宋体"/>
                <w:color w:val="auto"/>
                <w:szCs w:val="21"/>
                <w:highlight w:val="none"/>
                <w:lang w:eastAsia="zh-CN"/>
              </w:rPr>
              <w:t>☑</w:t>
            </w:r>
            <w:r>
              <w:rPr>
                <w:rFonts w:hint="eastAsia" w:ascii="宋体" w:hAnsi="宋体" w:cs="宋体"/>
                <w:color w:val="auto"/>
                <w:kern w:val="0"/>
                <w:highlight w:val="none"/>
              </w:rPr>
              <w:t>技术方案形式要求</w:t>
            </w:r>
          </w:p>
          <w:p>
            <w:pPr>
              <w:snapToGrid w:val="0"/>
              <w:spacing w:line="400" w:lineRule="exact"/>
              <w:rPr>
                <w:rFonts w:ascii="宋体" w:hAnsi="宋体" w:cs="宋体"/>
                <w:color w:val="auto"/>
                <w:kern w:val="0"/>
                <w:highlight w:val="none"/>
              </w:rPr>
            </w:pPr>
            <w:r>
              <w:rPr>
                <w:rFonts w:hint="eastAsia"/>
                <w:i/>
                <w:iCs/>
                <w:color w:val="auto"/>
                <w:highlight w:val="none"/>
              </w:rPr>
              <w:t>[提示：技术方案采用暗标评审时适用。]</w:t>
            </w:r>
          </w:p>
        </w:tc>
        <w:tc>
          <w:tcPr>
            <w:tcW w:w="4615" w:type="dxa"/>
            <w:gridSpan w:val="2"/>
            <w:tcBorders>
              <w:left w:val="single" w:color="auto" w:sz="4" w:space="0"/>
              <w:bottom w:val="single" w:color="auto" w:sz="4" w:space="0"/>
            </w:tcBorders>
            <w:vAlign w:val="center"/>
          </w:tcPr>
          <w:p>
            <w:pPr>
              <w:snapToGrid w:val="0"/>
              <w:spacing w:after="31" w:afterLines="10"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是否符合第二章</w:t>
            </w:r>
            <w:r>
              <w:rPr>
                <w:rFonts w:hint="eastAsia" w:ascii="宋体" w:hAnsi="宋体" w:cs="宋体"/>
                <w:color w:val="auto"/>
                <w:kern w:val="0"/>
                <w:highlight w:val="none"/>
                <w:lang w:eastAsia="zh-CN"/>
              </w:rPr>
              <w:t>竞选人须知前附表</w:t>
            </w:r>
            <w:r>
              <w:rPr>
                <w:rFonts w:hint="eastAsia" w:ascii="宋体" w:hAnsi="宋体" w:cs="宋体"/>
                <w:color w:val="auto"/>
                <w:kern w:val="0"/>
                <w:highlight w:val="none"/>
              </w:rPr>
              <w:t>第3.7.5项</w:t>
            </w:r>
            <w:r>
              <w:rPr>
                <w:rFonts w:hint="eastAsia" w:ascii="宋体" w:hAnsi="宋体" w:cs="宋体"/>
                <w:color w:val="auto"/>
                <w:kern w:val="0"/>
                <w:highlight w:val="none"/>
                <w:lang w:eastAsia="zh-CN"/>
              </w:rPr>
              <w:t>（</w:t>
            </w:r>
            <w:r>
              <w:rPr>
                <w:rFonts w:hint="eastAsia" w:ascii="宋体" w:hAnsi="宋体" w:cs="宋体"/>
                <w:color w:val="auto"/>
                <w:kern w:val="0"/>
                <w:highlight w:val="none"/>
                <w:lang w:val="en-US" w:eastAsia="zh-CN"/>
              </w:rPr>
              <w:t>4</w:t>
            </w:r>
            <w:r>
              <w:rPr>
                <w:rFonts w:hint="eastAsia" w:ascii="宋体" w:hAnsi="宋体" w:cs="宋体"/>
                <w:color w:val="auto"/>
                <w:kern w:val="0"/>
                <w:highlight w:val="none"/>
                <w:lang w:eastAsia="zh-CN"/>
              </w:rPr>
              <w:t>）</w:t>
            </w:r>
            <w:r>
              <w:rPr>
                <w:rFonts w:hint="eastAsia" w:ascii="宋体" w:hAnsi="宋体" w:cs="宋体"/>
                <w:color w:val="auto"/>
                <w:kern w:val="0"/>
                <w:highlight w:val="none"/>
                <w:lang w:val="en-US" w:eastAsia="zh-CN"/>
              </w:rPr>
              <w:t>技术部分的装订</w:t>
            </w:r>
            <w:r>
              <w:rPr>
                <w:rFonts w:hint="eastAsia" w:ascii="宋体" w:hAnsi="宋体" w:cs="宋体"/>
                <w:color w:val="auto"/>
                <w:kern w:val="0"/>
                <w:highlight w:val="none"/>
              </w:rPr>
              <w:t>要求：符合/不符合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1243" w:type="dxa"/>
            <w:vMerge w:val="continue"/>
            <w:tcBorders>
              <w:right w:val="single" w:color="auto" w:sz="4" w:space="0"/>
            </w:tcBorders>
            <w:vAlign w:val="center"/>
          </w:tcPr>
          <w:p>
            <w:pPr>
              <w:spacing w:line="400" w:lineRule="exact"/>
              <w:jc w:val="center"/>
              <w:rPr>
                <w:rFonts w:ascii="宋体" w:hAnsi="宋体" w:cs="宋体"/>
                <w:color w:val="auto"/>
                <w:szCs w:val="21"/>
                <w:highlight w:val="none"/>
              </w:rPr>
            </w:pPr>
          </w:p>
        </w:tc>
        <w:tc>
          <w:tcPr>
            <w:tcW w:w="1560" w:type="dxa"/>
            <w:vMerge w:val="continue"/>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p>
        </w:tc>
        <w:tc>
          <w:tcPr>
            <w:tcW w:w="2267" w:type="dxa"/>
            <w:tcBorders>
              <w:left w:val="single" w:color="auto" w:sz="4" w:space="0"/>
              <w:bottom w:val="single" w:color="auto" w:sz="4" w:space="0"/>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对工程施工重点、技术关键点的理解和认识</w:t>
            </w:r>
          </w:p>
        </w:tc>
        <w:tc>
          <w:tcPr>
            <w:tcW w:w="3595" w:type="dxa"/>
            <w:tcBorders>
              <w:left w:val="single" w:color="auto" w:sz="4" w:space="0"/>
            </w:tcBorders>
            <w:vAlign w:val="center"/>
          </w:tcPr>
          <w:p>
            <w:pPr>
              <w:snapToGrid w:val="0"/>
              <w:spacing w:line="400" w:lineRule="exact"/>
              <w:ind w:firstLine="420" w:firstLineChars="200"/>
              <w:jc w:val="left"/>
              <w:rPr>
                <w:rFonts w:hint="eastAsia" w:ascii="宋体" w:hAnsi="宋体" w:eastAsia="宋体" w:cs="宋体"/>
                <w:color w:val="auto"/>
                <w:kern w:val="0"/>
                <w:sz w:val="21"/>
                <w:szCs w:val="24"/>
                <w:highlight w:val="none"/>
                <w:lang w:val="en-US" w:eastAsia="zh-CN" w:bidi="ar-SA"/>
              </w:rPr>
            </w:pPr>
            <w:r>
              <w:rPr>
                <w:rFonts w:hint="eastAsia" w:ascii="宋体" w:hAnsi="宋体"/>
                <w:color w:val="auto"/>
                <w:kern w:val="0"/>
                <w:highlight w:val="none"/>
                <w:lang w:eastAsia="zh-CN"/>
              </w:rPr>
              <w:t>编制要点</w:t>
            </w:r>
            <w:r>
              <w:rPr>
                <w:rFonts w:hint="eastAsia" w:ascii="宋体" w:hAnsi="宋体"/>
                <w:color w:val="auto"/>
                <w:kern w:val="0"/>
                <w:highlight w:val="none"/>
              </w:rPr>
              <w:t>：</w:t>
            </w:r>
            <w:r>
              <w:rPr>
                <w:rFonts w:hint="eastAsia" w:ascii="宋体" w:hAnsi="宋体"/>
                <w:color w:val="auto"/>
                <w:kern w:val="0"/>
                <w:highlight w:val="none"/>
                <w:lang w:val="en-US" w:eastAsia="zh-CN"/>
              </w:rPr>
              <w:t>要求投标人对现场环境和地形、交通情况等有充分的了解，对工程施工重点、技术关键点的理解和认识，明确提出重难点或技术关键点，并提出解决方案。</w:t>
            </w:r>
          </w:p>
        </w:tc>
        <w:tc>
          <w:tcPr>
            <w:tcW w:w="1020" w:type="dxa"/>
            <w:vMerge w:val="restart"/>
            <w:tcBorders>
              <w:left w:val="single" w:color="auto" w:sz="4" w:space="0"/>
            </w:tcBorders>
            <w:vAlign w:val="center"/>
          </w:tcPr>
          <w:p>
            <w:pPr>
              <w:snapToGrid w:val="0"/>
              <w:spacing w:after="31" w:afterLines="10" w:line="400" w:lineRule="exact"/>
              <w:ind w:firstLine="420" w:firstLineChars="200"/>
              <w:rPr>
                <w:rFonts w:hint="eastAsia" w:ascii="宋体" w:hAnsi="宋体" w:cs="宋体"/>
                <w:color w:val="auto"/>
                <w:kern w:val="0"/>
                <w:highlight w:val="none"/>
              </w:rPr>
            </w:pPr>
            <w:r>
              <w:rPr>
                <w:rFonts w:hint="eastAsia" w:ascii="宋体" w:hAnsi="宋体" w:cs="宋体"/>
                <w:color w:val="auto"/>
                <w:kern w:val="0"/>
                <w:highlight w:val="none"/>
              </w:rPr>
              <w:t>评标委员会对</w:t>
            </w:r>
            <w:r>
              <w:rPr>
                <w:rFonts w:hint="eastAsia" w:ascii="宋体" w:hAnsi="宋体" w:cs="宋体"/>
                <w:color w:val="auto"/>
                <w:kern w:val="0"/>
                <w:highlight w:val="none"/>
                <w:lang w:eastAsia="zh-CN"/>
              </w:rPr>
              <w:t>竞选人</w:t>
            </w:r>
            <w:r>
              <w:rPr>
                <w:rFonts w:hint="eastAsia" w:ascii="宋体" w:hAnsi="宋体" w:cs="宋体"/>
                <w:color w:val="auto"/>
                <w:kern w:val="0"/>
                <w:highlight w:val="none"/>
              </w:rPr>
              <w:t>递交的技术方案进行综合性评审，综合评判是否满足本工程需求：满足/不满足</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1243" w:type="dxa"/>
            <w:vMerge w:val="continue"/>
            <w:tcBorders>
              <w:right w:val="single" w:color="auto" w:sz="4" w:space="0"/>
            </w:tcBorders>
            <w:vAlign w:val="center"/>
          </w:tcPr>
          <w:p>
            <w:pPr>
              <w:spacing w:line="400" w:lineRule="exact"/>
              <w:jc w:val="center"/>
              <w:rPr>
                <w:rFonts w:ascii="宋体" w:hAnsi="宋体" w:cs="宋体"/>
                <w:color w:val="auto"/>
                <w:szCs w:val="21"/>
                <w:highlight w:val="none"/>
              </w:rPr>
            </w:pPr>
          </w:p>
        </w:tc>
        <w:tc>
          <w:tcPr>
            <w:tcW w:w="1560" w:type="dxa"/>
            <w:vMerge w:val="continue"/>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p>
        </w:tc>
        <w:tc>
          <w:tcPr>
            <w:tcW w:w="2267" w:type="dxa"/>
            <w:tcBorders>
              <w:left w:val="single" w:color="auto" w:sz="4" w:space="0"/>
              <w:bottom w:val="single" w:color="auto" w:sz="4" w:space="0"/>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施工方案与技术措施</w:t>
            </w:r>
          </w:p>
        </w:tc>
        <w:tc>
          <w:tcPr>
            <w:tcW w:w="3595" w:type="dxa"/>
            <w:tcBorders>
              <w:left w:val="single" w:color="auto" w:sz="4" w:space="0"/>
            </w:tcBorders>
            <w:vAlign w:val="center"/>
          </w:tcPr>
          <w:p>
            <w:pPr>
              <w:snapToGrid w:val="0"/>
              <w:spacing w:line="400" w:lineRule="exact"/>
              <w:ind w:firstLine="420" w:firstLineChars="200"/>
              <w:jc w:val="left"/>
              <w:rPr>
                <w:rFonts w:hint="eastAsia" w:ascii="宋体" w:hAnsi="宋体" w:eastAsia="宋体" w:cs="宋体"/>
                <w:color w:val="auto"/>
                <w:kern w:val="0"/>
                <w:sz w:val="21"/>
                <w:szCs w:val="24"/>
                <w:highlight w:val="none"/>
                <w:lang w:val="en-US" w:eastAsia="zh-CN" w:bidi="ar-SA"/>
              </w:rPr>
            </w:pPr>
            <w:r>
              <w:rPr>
                <w:rFonts w:hint="eastAsia"/>
                <w:color w:val="auto"/>
                <w:highlight w:val="none"/>
                <w:lang w:eastAsia="zh-CN"/>
              </w:rPr>
              <w:t>编制要点</w:t>
            </w:r>
            <w:r>
              <w:rPr>
                <w:rFonts w:hint="eastAsia"/>
                <w:color w:val="auto"/>
                <w:highlight w:val="none"/>
              </w:rPr>
              <w:t>：提供</w:t>
            </w:r>
            <w:r>
              <w:rPr>
                <w:rFonts w:hint="eastAsia"/>
                <w:color w:val="auto"/>
                <w:highlight w:val="none"/>
                <w:lang w:eastAsia="zh-CN"/>
              </w:rPr>
              <w:t>该工程施工内容</w:t>
            </w:r>
            <w:r>
              <w:rPr>
                <w:rFonts w:hint="eastAsia"/>
                <w:color w:val="auto"/>
                <w:highlight w:val="none"/>
              </w:rPr>
              <w:t>采用的施工方案、方法、工艺及措施；技术方案和组织措施必须合理，不得出现与本项目无关内容，明确列出相关参照规范及标准不得使用落后技术，确保既要保证工程质量和安全，又要减少干扰加快施工进度。</w:t>
            </w:r>
          </w:p>
        </w:tc>
        <w:tc>
          <w:tcPr>
            <w:tcW w:w="1020" w:type="dxa"/>
            <w:vMerge w:val="continue"/>
            <w:tcBorders>
              <w:left w:val="single" w:color="auto" w:sz="4" w:space="0"/>
            </w:tcBorders>
            <w:vAlign w:val="center"/>
          </w:tcPr>
          <w:p>
            <w:pPr>
              <w:snapToGrid w:val="0"/>
              <w:spacing w:after="31" w:afterLines="10" w:line="400" w:lineRule="exact"/>
              <w:ind w:firstLine="420" w:firstLineChars="200"/>
              <w:rPr>
                <w:rFonts w:ascii="宋体" w:hAnsi="宋体" w:cs="宋体"/>
                <w:color w:val="auto"/>
                <w:kern w:val="0"/>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1243" w:type="dxa"/>
            <w:vMerge w:val="continue"/>
            <w:tcBorders>
              <w:right w:val="single" w:color="auto" w:sz="4" w:space="0"/>
            </w:tcBorders>
            <w:vAlign w:val="center"/>
          </w:tcPr>
          <w:p>
            <w:pPr>
              <w:spacing w:line="400" w:lineRule="exact"/>
              <w:jc w:val="center"/>
              <w:rPr>
                <w:rFonts w:ascii="宋体" w:hAnsi="宋体" w:cs="宋体"/>
                <w:color w:val="auto"/>
                <w:szCs w:val="21"/>
                <w:highlight w:val="none"/>
              </w:rPr>
            </w:pPr>
          </w:p>
        </w:tc>
        <w:tc>
          <w:tcPr>
            <w:tcW w:w="1560" w:type="dxa"/>
            <w:vMerge w:val="continue"/>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p>
        </w:tc>
        <w:tc>
          <w:tcPr>
            <w:tcW w:w="2267" w:type="dxa"/>
            <w:tcBorders>
              <w:left w:val="single" w:color="auto" w:sz="4" w:space="0"/>
              <w:bottom w:val="single" w:color="auto" w:sz="4" w:space="0"/>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质量管理体系与措施</w:t>
            </w:r>
          </w:p>
        </w:tc>
        <w:tc>
          <w:tcPr>
            <w:tcW w:w="3595" w:type="dxa"/>
            <w:tcBorders>
              <w:left w:val="single" w:color="auto" w:sz="4" w:space="0"/>
            </w:tcBorders>
            <w:vAlign w:val="center"/>
          </w:tcPr>
          <w:p>
            <w:pPr>
              <w:snapToGrid w:val="0"/>
              <w:spacing w:line="400" w:lineRule="exact"/>
              <w:ind w:firstLine="420" w:firstLineChars="200"/>
              <w:jc w:val="left"/>
              <w:rPr>
                <w:rFonts w:hint="eastAsia" w:ascii="宋体" w:hAnsi="宋体" w:eastAsia="宋体" w:cs="宋体"/>
                <w:color w:val="auto"/>
                <w:kern w:val="0"/>
                <w:sz w:val="21"/>
                <w:szCs w:val="24"/>
                <w:highlight w:val="none"/>
                <w:lang w:val="en-US" w:eastAsia="zh-CN" w:bidi="ar-SA"/>
              </w:rPr>
            </w:pPr>
            <w:r>
              <w:rPr>
                <w:rFonts w:hint="eastAsia"/>
                <w:color w:val="auto"/>
                <w:highlight w:val="none"/>
                <w:lang w:eastAsia="zh-CN"/>
              </w:rPr>
              <w:t>编制要点</w:t>
            </w:r>
            <w:r>
              <w:rPr>
                <w:rFonts w:hint="eastAsia"/>
                <w:color w:val="auto"/>
                <w:highlight w:val="none"/>
              </w:rPr>
              <w:t>：有健全的工程质量管理方案、质量目标保障措施明确，质量管理体系总体思路清晰、目标明确；主要施工材料质量达标，必须满足国家相关技术规范要求。</w:t>
            </w:r>
          </w:p>
        </w:tc>
        <w:tc>
          <w:tcPr>
            <w:tcW w:w="1020" w:type="dxa"/>
            <w:vMerge w:val="continue"/>
            <w:tcBorders>
              <w:left w:val="single" w:color="auto" w:sz="4" w:space="0"/>
            </w:tcBorders>
            <w:vAlign w:val="center"/>
          </w:tcPr>
          <w:p>
            <w:pPr>
              <w:snapToGrid w:val="0"/>
              <w:spacing w:after="31" w:afterLines="10" w:line="400" w:lineRule="exact"/>
              <w:ind w:firstLine="420" w:firstLineChars="200"/>
              <w:rPr>
                <w:rFonts w:ascii="宋体" w:hAnsi="宋体" w:cs="宋体"/>
                <w:color w:val="auto"/>
                <w:kern w:val="0"/>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1243" w:type="dxa"/>
            <w:vMerge w:val="continue"/>
            <w:tcBorders>
              <w:right w:val="single" w:color="auto" w:sz="4" w:space="0"/>
            </w:tcBorders>
            <w:vAlign w:val="center"/>
          </w:tcPr>
          <w:p>
            <w:pPr>
              <w:spacing w:line="400" w:lineRule="exact"/>
              <w:jc w:val="center"/>
              <w:rPr>
                <w:rFonts w:ascii="宋体" w:hAnsi="宋体" w:cs="宋体"/>
                <w:color w:val="auto"/>
                <w:szCs w:val="21"/>
                <w:highlight w:val="none"/>
              </w:rPr>
            </w:pPr>
          </w:p>
        </w:tc>
        <w:tc>
          <w:tcPr>
            <w:tcW w:w="1560" w:type="dxa"/>
            <w:vMerge w:val="continue"/>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p>
        </w:tc>
        <w:tc>
          <w:tcPr>
            <w:tcW w:w="2267" w:type="dxa"/>
            <w:tcBorders>
              <w:left w:val="single" w:color="auto" w:sz="4" w:space="0"/>
              <w:bottom w:val="single" w:color="auto" w:sz="4" w:space="0"/>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安全管理体系与措施</w:t>
            </w:r>
          </w:p>
        </w:tc>
        <w:tc>
          <w:tcPr>
            <w:tcW w:w="3595" w:type="dxa"/>
            <w:tcBorders>
              <w:left w:val="single" w:color="auto" w:sz="4" w:space="0"/>
            </w:tcBorders>
            <w:vAlign w:val="center"/>
          </w:tcPr>
          <w:p>
            <w:pPr>
              <w:snapToGrid w:val="0"/>
              <w:spacing w:line="400" w:lineRule="exact"/>
              <w:ind w:firstLine="420" w:firstLineChars="200"/>
              <w:jc w:val="left"/>
              <w:rPr>
                <w:rFonts w:hint="eastAsia" w:ascii="宋体" w:hAnsi="宋体" w:eastAsia="宋体" w:cs="宋体"/>
                <w:color w:val="auto"/>
                <w:kern w:val="0"/>
                <w:sz w:val="21"/>
                <w:szCs w:val="24"/>
                <w:highlight w:val="none"/>
                <w:lang w:val="en-US" w:eastAsia="zh-CN" w:bidi="ar-SA"/>
              </w:rPr>
            </w:pPr>
            <w:r>
              <w:rPr>
                <w:rFonts w:hint="eastAsia"/>
                <w:color w:val="auto"/>
                <w:highlight w:val="none"/>
                <w:lang w:eastAsia="zh-CN"/>
              </w:rPr>
              <w:t>编制要点</w:t>
            </w:r>
            <w:r>
              <w:rPr>
                <w:rFonts w:hint="eastAsia"/>
                <w:color w:val="auto"/>
                <w:highlight w:val="none"/>
              </w:rPr>
              <w:t>：建立有安全管理方案，专职安全管理机构及人员，责任人具体；有完整的安全生产管理制度、安全措施、劳动保护措施场地容貌、卫生、文明管理办法，符合现行的安全管理规范及要求，可作为现场安全管理依据。</w:t>
            </w:r>
          </w:p>
        </w:tc>
        <w:tc>
          <w:tcPr>
            <w:tcW w:w="1020" w:type="dxa"/>
            <w:vMerge w:val="continue"/>
            <w:tcBorders>
              <w:left w:val="single" w:color="auto" w:sz="4" w:space="0"/>
            </w:tcBorders>
            <w:vAlign w:val="center"/>
          </w:tcPr>
          <w:p>
            <w:pPr>
              <w:snapToGrid w:val="0"/>
              <w:spacing w:after="31" w:afterLines="10" w:line="400" w:lineRule="exact"/>
              <w:ind w:firstLine="420" w:firstLineChars="200"/>
              <w:rPr>
                <w:rFonts w:ascii="宋体" w:hAnsi="宋体" w:cs="宋体"/>
                <w:color w:val="auto"/>
                <w:kern w:val="0"/>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1243" w:type="dxa"/>
            <w:vMerge w:val="continue"/>
            <w:tcBorders>
              <w:right w:val="single" w:color="auto" w:sz="4" w:space="0"/>
            </w:tcBorders>
            <w:vAlign w:val="center"/>
          </w:tcPr>
          <w:p>
            <w:pPr>
              <w:spacing w:line="400" w:lineRule="exact"/>
              <w:jc w:val="center"/>
              <w:rPr>
                <w:rFonts w:ascii="宋体" w:hAnsi="宋体" w:cs="宋体"/>
                <w:color w:val="auto"/>
                <w:szCs w:val="21"/>
                <w:highlight w:val="none"/>
              </w:rPr>
            </w:pPr>
          </w:p>
        </w:tc>
        <w:tc>
          <w:tcPr>
            <w:tcW w:w="1560" w:type="dxa"/>
            <w:vMerge w:val="continue"/>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p>
        </w:tc>
        <w:tc>
          <w:tcPr>
            <w:tcW w:w="2267" w:type="dxa"/>
            <w:tcBorders>
              <w:left w:val="single" w:color="auto" w:sz="4" w:space="0"/>
              <w:bottom w:val="single" w:color="auto" w:sz="4" w:space="0"/>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环境保护管理体系措施</w:t>
            </w:r>
          </w:p>
        </w:tc>
        <w:tc>
          <w:tcPr>
            <w:tcW w:w="3595" w:type="dxa"/>
            <w:tcBorders>
              <w:left w:val="single" w:color="auto" w:sz="4" w:space="0"/>
            </w:tcBorders>
            <w:vAlign w:val="center"/>
          </w:tcPr>
          <w:p>
            <w:pPr>
              <w:snapToGrid w:val="0"/>
              <w:spacing w:line="400" w:lineRule="exact"/>
              <w:ind w:firstLine="420" w:firstLineChars="200"/>
              <w:jc w:val="left"/>
              <w:rPr>
                <w:rFonts w:hint="eastAsia" w:ascii="宋体" w:hAnsi="宋体" w:eastAsia="宋体" w:cs="宋体"/>
                <w:color w:val="auto"/>
                <w:kern w:val="0"/>
                <w:sz w:val="21"/>
                <w:szCs w:val="24"/>
                <w:highlight w:val="none"/>
                <w:lang w:val="en-US" w:eastAsia="zh-CN" w:bidi="ar-SA"/>
              </w:rPr>
            </w:pPr>
            <w:r>
              <w:rPr>
                <w:rFonts w:hint="eastAsia"/>
                <w:color w:val="auto"/>
                <w:highlight w:val="none"/>
                <w:lang w:eastAsia="zh-CN"/>
              </w:rPr>
              <w:t>编制要点</w:t>
            </w:r>
            <w:r>
              <w:rPr>
                <w:rFonts w:hint="eastAsia"/>
                <w:color w:val="auto"/>
                <w:highlight w:val="none"/>
              </w:rPr>
              <w:t>：根据施工作业现场的特点，制定环境保护管理体系措施、设有专人负责协调处理施工过程中产生的环境问题及应急处置方案和措施，措施是否与本 项目施工现场周边环境情况相符合。</w:t>
            </w:r>
          </w:p>
        </w:tc>
        <w:tc>
          <w:tcPr>
            <w:tcW w:w="1020" w:type="dxa"/>
            <w:vMerge w:val="continue"/>
            <w:tcBorders>
              <w:left w:val="single" w:color="auto" w:sz="4" w:space="0"/>
            </w:tcBorders>
            <w:vAlign w:val="center"/>
          </w:tcPr>
          <w:p>
            <w:pPr>
              <w:snapToGrid w:val="0"/>
              <w:spacing w:after="31" w:afterLines="10" w:line="400" w:lineRule="exact"/>
              <w:ind w:firstLine="420" w:firstLineChars="200"/>
              <w:rPr>
                <w:rFonts w:ascii="宋体" w:hAnsi="宋体" w:cs="宋体"/>
                <w:color w:val="auto"/>
                <w:kern w:val="0"/>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1243" w:type="dxa"/>
            <w:vMerge w:val="continue"/>
            <w:tcBorders>
              <w:right w:val="single" w:color="auto" w:sz="4" w:space="0"/>
            </w:tcBorders>
            <w:vAlign w:val="center"/>
          </w:tcPr>
          <w:p>
            <w:pPr>
              <w:spacing w:line="400" w:lineRule="exact"/>
              <w:jc w:val="center"/>
              <w:rPr>
                <w:rFonts w:ascii="宋体" w:hAnsi="宋体" w:cs="宋体"/>
                <w:color w:val="auto"/>
                <w:szCs w:val="21"/>
                <w:highlight w:val="none"/>
              </w:rPr>
            </w:pPr>
          </w:p>
        </w:tc>
        <w:tc>
          <w:tcPr>
            <w:tcW w:w="1560" w:type="dxa"/>
            <w:vMerge w:val="continue"/>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p>
        </w:tc>
        <w:tc>
          <w:tcPr>
            <w:tcW w:w="2267" w:type="dxa"/>
            <w:tcBorders>
              <w:left w:val="single" w:color="auto" w:sz="4" w:space="0"/>
              <w:bottom w:val="single" w:color="auto" w:sz="4" w:space="0"/>
              <w:right w:val="single" w:color="auto" w:sz="4" w:space="0"/>
            </w:tcBorders>
            <w:vAlign w:val="center"/>
          </w:tcPr>
          <w:p>
            <w:pPr>
              <w:snapToGrid w:val="0"/>
              <w:spacing w:line="400" w:lineRule="exact"/>
              <w:jc w:val="left"/>
              <w:rPr>
                <w:rFonts w:hint="eastAsia" w:ascii="宋体" w:hAnsi="宋体" w:cs="宋体"/>
                <w:color w:val="auto"/>
                <w:kern w:val="0"/>
                <w:highlight w:val="none"/>
              </w:rPr>
            </w:pPr>
            <w:r>
              <w:rPr>
                <w:rFonts w:hint="eastAsia" w:ascii="宋体" w:hAnsi="宋体" w:cs="宋体"/>
                <w:color w:val="auto"/>
                <w:kern w:val="0"/>
                <w:highlight w:val="none"/>
              </w:rPr>
              <w:t>工程进度计划与措施</w:t>
            </w:r>
          </w:p>
        </w:tc>
        <w:tc>
          <w:tcPr>
            <w:tcW w:w="3595" w:type="dxa"/>
            <w:tcBorders>
              <w:left w:val="single" w:color="auto" w:sz="4" w:space="0"/>
            </w:tcBorders>
            <w:vAlign w:val="center"/>
          </w:tcPr>
          <w:p>
            <w:pPr>
              <w:spacing w:line="400" w:lineRule="exact"/>
              <w:ind w:firstLine="420" w:firstLineChars="200"/>
              <w:jc w:val="both"/>
              <w:rPr>
                <w:rFonts w:hint="eastAsia"/>
                <w:color w:val="auto"/>
                <w:highlight w:val="none"/>
              </w:rPr>
            </w:pPr>
            <w:r>
              <w:rPr>
                <w:rFonts w:hint="eastAsia"/>
                <w:color w:val="auto"/>
                <w:highlight w:val="none"/>
                <w:lang w:eastAsia="zh-CN"/>
              </w:rPr>
              <w:t>编制要点</w:t>
            </w:r>
            <w:r>
              <w:rPr>
                <w:rFonts w:hint="eastAsia"/>
                <w:color w:val="auto"/>
                <w:highlight w:val="none"/>
              </w:rPr>
              <w:t>：以图表形式明确倒排工期计划，明确开、竣工日期；包含总施工进度计划；提供工期保障具体措施；具备有效的网络进度计划、赶工方案，能保证在优于招标人规定的工期内完成，关键线路、清晰、准确、完整，可操作性强，</w:t>
            </w:r>
          </w:p>
          <w:p>
            <w:pPr>
              <w:snapToGrid w:val="0"/>
              <w:spacing w:line="400" w:lineRule="exact"/>
              <w:jc w:val="left"/>
              <w:rPr>
                <w:rFonts w:hint="eastAsia" w:ascii="宋体" w:hAnsi="宋体" w:eastAsia="宋体" w:cs="宋体"/>
                <w:color w:val="auto"/>
                <w:kern w:val="0"/>
                <w:sz w:val="21"/>
                <w:szCs w:val="24"/>
                <w:highlight w:val="none"/>
                <w:lang w:val="en-US" w:eastAsia="zh-CN" w:bidi="ar-SA"/>
              </w:rPr>
            </w:pPr>
            <w:r>
              <w:rPr>
                <w:rFonts w:hint="eastAsia"/>
                <w:color w:val="auto"/>
                <w:highlight w:val="none"/>
              </w:rPr>
              <w:t>节点工期保证措施可靠，控制措施得力。</w:t>
            </w:r>
          </w:p>
        </w:tc>
        <w:tc>
          <w:tcPr>
            <w:tcW w:w="1020" w:type="dxa"/>
            <w:vMerge w:val="continue"/>
            <w:tcBorders>
              <w:left w:val="single" w:color="auto" w:sz="4" w:space="0"/>
            </w:tcBorders>
            <w:vAlign w:val="center"/>
          </w:tcPr>
          <w:p>
            <w:pPr>
              <w:snapToGrid w:val="0"/>
              <w:spacing w:after="31" w:afterLines="10" w:line="400" w:lineRule="exact"/>
              <w:ind w:firstLine="420" w:firstLineChars="200"/>
              <w:rPr>
                <w:rFonts w:ascii="宋体" w:hAnsi="宋体" w:cs="宋体"/>
                <w:color w:val="auto"/>
                <w:kern w:val="0"/>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7" w:hRule="atLeast"/>
          <w:jc w:val="center"/>
        </w:trPr>
        <w:tc>
          <w:tcPr>
            <w:tcW w:w="1243" w:type="dxa"/>
            <w:vMerge w:val="continue"/>
            <w:tcBorders>
              <w:right w:val="single" w:color="auto" w:sz="4" w:space="0"/>
            </w:tcBorders>
            <w:vAlign w:val="center"/>
          </w:tcPr>
          <w:p>
            <w:pPr>
              <w:spacing w:line="400" w:lineRule="exact"/>
              <w:jc w:val="center"/>
              <w:rPr>
                <w:rFonts w:ascii="宋体" w:hAnsi="宋体" w:cs="宋体"/>
                <w:color w:val="auto"/>
                <w:szCs w:val="21"/>
                <w:highlight w:val="none"/>
              </w:rPr>
            </w:pPr>
          </w:p>
        </w:tc>
        <w:tc>
          <w:tcPr>
            <w:tcW w:w="1560" w:type="dxa"/>
            <w:vMerge w:val="continue"/>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p>
        </w:tc>
        <w:tc>
          <w:tcPr>
            <w:tcW w:w="2267" w:type="dxa"/>
            <w:tcBorders>
              <w:left w:val="single" w:color="auto" w:sz="4" w:space="0"/>
              <w:bottom w:val="single" w:color="auto" w:sz="4" w:space="0"/>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资源配备计划</w:t>
            </w:r>
          </w:p>
        </w:tc>
        <w:tc>
          <w:tcPr>
            <w:tcW w:w="3595" w:type="dxa"/>
            <w:tcBorders>
              <w:left w:val="single" w:color="auto" w:sz="4" w:space="0"/>
            </w:tcBorders>
            <w:vAlign w:val="center"/>
          </w:tcPr>
          <w:p>
            <w:pPr>
              <w:snapToGrid w:val="0"/>
              <w:spacing w:line="400" w:lineRule="exact"/>
              <w:ind w:firstLine="420" w:firstLineChars="200"/>
              <w:jc w:val="left"/>
              <w:rPr>
                <w:rFonts w:hint="eastAsia" w:ascii="宋体" w:hAnsi="宋体" w:eastAsia="宋体" w:cs="宋体"/>
                <w:color w:val="auto"/>
                <w:kern w:val="0"/>
                <w:sz w:val="21"/>
                <w:szCs w:val="24"/>
                <w:highlight w:val="none"/>
                <w:lang w:val="en-US" w:eastAsia="zh-CN" w:bidi="ar-SA"/>
              </w:rPr>
            </w:pPr>
            <w:r>
              <w:rPr>
                <w:rFonts w:hint="eastAsia"/>
                <w:color w:val="auto"/>
                <w:highlight w:val="none"/>
                <w:lang w:eastAsia="zh-CN"/>
              </w:rPr>
              <w:t>编制要点</w:t>
            </w:r>
            <w:r>
              <w:rPr>
                <w:rFonts w:hint="eastAsia"/>
                <w:color w:val="auto"/>
                <w:highlight w:val="none"/>
              </w:rPr>
              <w:t>：施工项目管理组织机构的结构</w:t>
            </w:r>
            <w:r>
              <w:rPr>
                <w:rFonts w:hint="eastAsia"/>
                <w:color w:val="auto"/>
                <w:highlight w:val="none"/>
                <w:lang w:val="en-US" w:eastAsia="zh-CN"/>
              </w:rPr>
              <w:t xml:space="preserve"> </w:t>
            </w:r>
            <w:r>
              <w:rPr>
                <w:rFonts w:hint="eastAsia"/>
                <w:color w:val="auto"/>
                <w:highlight w:val="none"/>
              </w:rPr>
              <w:t>、部门设置、人员安排，制度设置、施工方法、技术工艺和施工机械选择信息、基础设施、工作环境的提供。</w:t>
            </w:r>
          </w:p>
        </w:tc>
        <w:tc>
          <w:tcPr>
            <w:tcW w:w="1020" w:type="dxa"/>
            <w:vMerge w:val="continue"/>
            <w:tcBorders>
              <w:left w:val="single" w:color="auto" w:sz="4" w:space="0"/>
            </w:tcBorders>
            <w:vAlign w:val="center"/>
          </w:tcPr>
          <w:p>
            <w:pPr>
              <w:snapToGrid w:val="0"/>
              <w:spacing w:after="31" w:afterLines="10" w:line="400" w:lineRule="exact"/>
              <w:ind w:firstLine="420" w:firstLineChars="200"/>
              <w:rPr>
                <w:rFonts w:ascii="宋体" w:hAnsi="宋体" w:cs="宋体"/>
                <w:color w:val="auto"/>
                <w:kern w:val="0"/>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0" w:hRule="atLeast"/>
          <w:jc w:val="center"/>
        </w:trPr>
        <w:tc>
          <w:tcPr>
            <w:tcW w:w="1243" w:type="dxa"/>
            <w:vMerge w:val="restart"/>
            <w:tcBorders>
              <w:right w:val="single" w:color="auto" w:sz="4" w:space="0"/>
            </w:tcBorders>
            <w:vAlign w:val="center"/>
          </w:tcPr>
          <w:p>
            <w:pPr>
              <w:spacing w:line="400" w:lineRule="exact"/>
              <w:jc w:val="center"/>
              <w:rPr>
                <w:rFonts w:ascii="宋体" w:hAnsi="宋体" w:cs="宋体"/>
                <w:color w:val="auto"/>
                <w:szCs w:val="21"/>
                <w:highlight w:val="none"/>
              </w:rPr>
            </w:pPr>
            <w:r>
              <w:rPr>
                <w:rFonts w:hint="eastAsia" w:ascii="宋体" w:hAnsi="宋体" w:cs="宋体"/>
                <w:color w:val="auto"/>
                <w:szCs w:val="21"/>
                <w:highlight w:val="none"/>
              </w:rPr>
              <w:t>2.2.2</w:t>
            </w:r>
          </w:p>
        </w:tc>
        <w:tc>
          <w:tcPr>
            <w:tcW w:w="1560" w:type="dxa"/>
            <w:vMerge w:val="restart"/>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r>
              <w:rPr>
                <w:rFonts w:hint="eastAsia" w:ascii="宋体" w:hAnsi="宋体"/>
                <w:color w:val="auto"/>
                <w:kern w:val="0"/>
                <w:highlight w:val="none"/>
              </w:rPr>
              <w:t>资格评审标准</w:t>
            </w:r>
          </w:p>
        </w:tc>
        <w:tc>
          <w:tcPr>
            <w:tcW w:w="2267" w:type="dxa"/>
            <w:tcBorders>
              <w:top w:val="single" w:color="auto" w:sz="4" w:space="0"/>
              <w:left w:val="single" w:color="auto" w:sz="4" w:space="0"/>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资质条件</w:t>
            </w:r>
          </w:p>
        </w:tc>
        <w:tc>
          <w:tcPr>
            <w:tcW w:w="4615" w:type="dxa"/>
            <w:gridSpan w:val="2"/>
            <w:tcBorders>
              <w:top w:val="single" w:color="auto" w:sz="4" w:space="0"/>
              <w:left w:val="single" w:color="auto" w:sz="4" w:space="0"/>
            </w:tcBorders>
            <w:vAlign w:val="center"/>
          </w:tcPr>
          <w:p>
            <w:pPr>
              <w:snapToGrid w:val="0"/>
              <w:spacing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”第1.4.1项规定。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0" w:hRule="atLeast"/>
          <w:jc w:val="center"/>
        </w:trPr>
        <w:tc>
          <w:tcPr>
            <w:tcW w:w="1243" w:type="dxa"/>
            <w:vMerge w:val="continue"/>
            <w:tcBorders>
              <w:right w:val="single" w:color="auto" w:sz="4" w:space="0"/>
            </w:tcBorders>
            <w:vAlign w:val="center"/>
          </w:tcPr>
          <w:p>
            <w:pPr>
              <w:spacing w:line="400" w:lineRule="exact"/>
              <w:jc w:val="center"/>
              <w:rPr>
                <w:rFonts w:ascii="宋体" w:hAnsi="宋体" w:cs="宋体"/>
                <w:color w:val="auto"/>
                <w:szCs w:val="21"/>
                <w:highlight w:val="none"/>
              </w:rPr>
            </w:pPr>
          </w:p>
        </w:tc>
        <w:tc>
          <w:tcPr>
            <w:tcW w:w="1560" w:type="dxa"/>
            <w:vMerge w:val="continue"/>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p>
        </w:tc>
        <w:tc>
          <w:tcPr>
            <w:tcW w:w="2267" w:type="dxa"/>
            <w:tcBorders>
              <w:top w:val="single" w:color="auto" w:sz="4" w:space="0"/>
              <w:left w:val="single" w:color="auto" w:sz="4" w:space="0"/>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营业执照</w:t>
            </w:r>
          </w:p>
        </w:tc>
        <w:tc>
          <w:tcPr>
            <w:tcW w:w="4615" w:type="dxa"/>
            <w:gridSpan w:val="2"/>
            <w:tcBorders>
              <w:top w:val="single" w:color="auto" w:sz="4" w:space="0"/>
              <w:left w:val="single" w:color="auto" w:sz="4" w:space="0"/>
            </w:tcBorders>
            <w:vAlign w:val="center"/>
          </w:tcPr>
          <w:p>
            <w:pPr>
              <w:snapToGrid w:val="0"/>
              <w:spacing w:after="78" w:afterLines="25"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”第1.4.1项规定。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0" w:hRule="atLeast"/>
          <w:jc w:val="center"/>
        </w:trPr>
        <w:tc>
          <w:tcPr>
            <w:tcW w:w="1243" w:type="dxa"/>
            <w:vMerge w:val="continue"/>
            <w:tcBorders>
              <w:right w:val="single" w:color="auto" w:sz="4" w:space="0"/>
            </w:tcBorders>
            <w:vAlign w:val="center"/>
          </w:tcPr>
          <w:p>
            <w:pPr>
              <w:spacing w:line="400" w:lineRule="exact"/>
              <w:jc w:val="center"/>
              <w:rPr>
                <w:rFonts w:ascii="宋体" w:hAnsi="宋体" w:cs="宋体"/>
                <w:color w:val="auto"/>
                <w:szCs w:val="21"/>
                <w:highlight w:val="none"/>
              </w:rPr>
            </w:pPr>
          </w:p>
        </w:tc>
        <w:tc>
          <w:tcPr>
            <w:tcW w:w="1560" w:type="dxa"/>
            <w:vMerge w:val="continue"/>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p>
        </w:tc>
        <w:tc>
          <w:tcPr>
            <w:tcW w:w="2267" w:type="dxa"/>
            <w:tcBorders>
              <w:top w:val="single" w:color="auto" w:sz="4" w:space="0"/>
              <w:left w:val="single" w:color="auto" w:sz="4" w:space="0"/>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安全生产条件</w:t>
            </w:r>
          </w:p>
        </w:tc>
        <w:tc>
          <w:tcPr>
            <w:tcW w:w="4615" w:type="dxa"/>
            <w:gridSpan w:val="2"/>
            <w:tcBorders>
              <w:top w:val="single" w:color="auto" w:sz="4" w:space="0"/>
              <w:left w:val="single" w:color="auto" w:sz="4" w:space="0"/>
            </w:tcBorders>
            <w:vAlign w:val="center"/>
          </w:tcPr>
          <w:p>
            <w:pPr>
              <w:snapToGrid w:val="0"/>
              <w:spacing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”第1.4.1项规定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0" w:hRule="atLeast"/>
          <w:jc w:val="center"/>
        </w:trPr>
        <w:tc>
          <w:tcPr>
            <w:tcW w:w="1243" w:type="dxa"/>
            <w:vMerge w:val="continue"/>
            <w:tcBorders>
              <w:right w:val="single" w:color="auto" w:sz="4" w:space="0"/>
            </w:tcBorders>
            <w:vAlign w:val="center"/>
          </w:tcPr>
          <w:p>
            <w:pPr>
              <w:spacing w:line="400" w:lineRule="exact"/>
              <w:jc w:val="center"/>
              <w:rPr>
                <w:rFonts w:ascii="宋体" w:hAnsi="宋体" w:cs="宋体"/>
                <w:color w:val="auto"/>
                <w:szCs w:val="21"/>
                <w:highlight w:val="none"/>
              </w:rPr>
            </w:pPr>
          </w:p>
        </w:tc>
        <w:tc>
          <w:tcPr>
            <w:tcW w:w="1560" w:type="dxa"/>
            <w:vMerge w:val="continue"/>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p>
        </w:tc>
        <w:tc>
          <w:tcPr>
            <w:tcW w:w="2267" w:type="dxa"/>
            <w:tcBorders>
              <w:top w:val="single" w:color="auto" w:sz="4" w:space="0"/>
              <w:left w:val="single" w:color="auto" w:sz="4" w:space="0"/>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lang w:eastAsia="zh-CN"/>
              </w:rPr>
              <w:t>☑</w:t>
            </w:r>
            <w:r>
              <w:rPr>
                <w:rFonts w:hint="eastAsia" w:ascii="宋体" w:hAnsi="宋体" w:cs="宋体"/>
                <w:color w:val="auto"/>
                <w:kern w:val="0"/>
                <w:highlight w:val="none"/>
              </w:rPr>
              <w:t>财务要求</w:t>
            </w:r>
          </w:p>
        </w:tc>
        <w:tc>
          <w:tcPr>
            <w:tcW w:w="4615" w:type="dxa"/>
            <w:gridSpan w:val="2"/>
            <w:tcBorders>
              <w:top w:val="single" w:color="auto" w:sz="4" w:space="0"/>
              <w:left w:val="single" w:color="auto" w:sz="4" w:space="0"/>
            </w:tcBorders>
            <w:vAlign w:val="center"/>
          </w:tcPr>
          <w:p>
            <w:pPr>
              <w:snapToGrid w:val="0"/>
              <w:spacing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”第1.4.1项规定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0" w:hRule="atLeast"/>
          <w:jc w:val="center"/>
        </w:trPr>
        <w:tc>
          <w:tcPr>
            <w:tcW w:w="1243" w:type="dxa"/>
            <w:vMerge w:val="continue"/>
            <w:tcBorders>
              <w:right w:val="single" w:color="auto" w:sz="4" w:space="0"/>
            </w:tcBorders>
            <w:vAlign w:val="center"/>
          </w:tcPr>
          <w:p>
            <w:pPr>
              <w:spacing w:line="400" w:lineRule="exact"/>
              <w:jc w:val="center"/>
              <w:rPr>
                <w:rFonts w:ascii="宋体" w:hAnsi="宋体" w:cs="宋体"/>
                <w:color w:val="auto"/>
                <w:szCs w:val="21"/>
                <w:highlight w:val="none"/>
              </w:rPr>
            </w:pPr>
          </w:p>
        </w:tc>
        <w:tc>
          <w:tcPr>
            <w:tcW w:w="1560" w:type="dxa"/>
            <w:vMerge w:val="continue"/>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p>
        </w:tc>
        <w:tc>
          <w:tcPr>
            <w:tcW w:w="2267" w:type="dxa"/>
            <w:tcBorders>
              <w:top w:val="single" w:color="auto" w:sz="4" w:space="0"/>
              <w:left w:val="single" w:color="auto" w:sz="4" w:space="0"/>
              <w:right w:val="single" w:color="auto" w:sz="4" w:space="0"/>
            </w:tcBorders>
            <w:vAlign w:val="center"/>
          </w:tcPr>
          <w:p>
            <w:pPr>
              <w:snapToGrid w:val="0"/>
              <w:spacing w:after="78" w:afterLines="25" w:line="400" w:lineRule="exact"/>
              <w:jc w:val="left"/>
              <w:rPr>
                <w:rFonts w:ascii="宋体" w:hAnsi="宋体" w:cs="宋体"/>
                <w:color w:val="auto"/>
                <w:kern w:val="0"/>
                <w:highlight w:val="none"/>
              </w:rPr>
            </w:pPr>
            <w:r>
              <w:rPr>
                <w:rFonts w:hint="eastAsia" w:ascii="宋体" w:hAnsi="宋体" w:cs="宋体"/>
                <w:color w:val="auto"/>
                <w:szCs w:val="21"/>
                <w:highlight w:val="none"/>
              </w:rPr>
              <w:t>投标截止日投标资格情况</w:t>
            </w:r>
          </w:p>
        </w:tc>
        <w:tc>
          <w:tcPr>
            <w:tcW w:w="4615" w:type="dxa"/>
            <w:gridSpan w:val="2"/>
            <w:tcBorders>
              <w:top w:val="single" w:color="auto" w:sz="4" w:space="0"/>
              <w:left w:val="single" w:color="auto" w:sz="4" w:space="0"/>
            </w:tcBorders>
            <w:vAlign w:val="center"/>
          </w:tcPr>
          <w:p>
            <w:pPr>
              <w:snapToGrid w:val="0"/>
              <w:spacing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”第1.4.1项规定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0" w:hRule="atLeast"/>
          <w:jc w:val="center"/>
        </w:trPr>
        <w:tc>
          <w:tcPr>
            <w:tcW w:w="1243" w:type="dxa"/>
            <w:vMerge w:val="continue"/>
            <w:tcBorders>
              <w:right w:val="single" w:color="auto" w:sz="4" w:space="0"/>
            </w:tcBorders>
            <w:vAlign w:val="center"/>
          </w:tcPr>
          <w:p>
            <w:pPr>
              <w:spacing w:line="400" w:lineRule="exact"/>
              <w:jc w:val="center"/>
              <w:rPr>
                <w:rFonts w:ascii="宋体" w:hAnsi="宋体" w:cs="宋体"/>
                <w:color w:val="auto"/>
                <w:szCs w:val="21"/>
                <w:highlight w:val="none"/>
              </w:rPr>
            </w:pPr>
          </w:p>
        </w:tc>
        <w:tc>
          <w:tcPr>
            <w:tcW w:w="1560" w:type="dxa"/>
            <w:vMerge w:val="continue"/>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p>
        </w:tc>
        <w:tc>
          <w:tcPr>
            <w:tcW w:w="2267" w:type="dxa"/>
            <w:tcBorders>
              <w:top w:val="single" w:color="auto" w:sz="4" w:space="0"/>
              <w:left w:val="single" w:color="auto" w:sz="4" w:space="0"/>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项目经理资格要求</w:t>
            </w:r>
          </w:p>
        </w:tc>
        <w:tc>
          <w:tcPr>
            <w:tcW w:w="4615" w:type="dxa"/>
            <w:gridSpan w:val="2"/>
            <w:tcBorders>
              <w:top w:val="single" w:color="auto" w:sz="4" w:space="0"/>
              <w:left w:val="single" w:color="auto" w:sz="4" w:space="0"/>
            </w:tcBorders>
            <w:vAlign w:val="center"/>
          </w:tcPr>
          <w:p>
            <w:pPr>
              <w:snapToGrid w:val="0"/>
              <w:spacing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”第1.4.1项规定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0" w:hRule="atLeast"/>
          <w:jc w:val="center"/>
        </w:trPr>
        <w:tc>
          <w:tcPr>
            <w:tcW w:w="1243" w:type="dxa"/>
            <w:vMerge w:val="continue"/>
            <w:tcBorders>
              <w:right w:val="single" w:color="auto" w:sz="4" w:space="0"/>
            </w:tcBorders>
            <w:vAlign w:val="center"/>
          </w:tcPr>
          <w:p>
            <w:pPr>
              <w:spacing w:line="400" w:lineRule="exact"/>
              <w:jc w:val="center"/>
              <w:rPr>
                <w:rFonts w:ascii="宋体" w:hAnsi="宋体" w:cs="宋体"/>
                <w:color w:val="auto"/>
                <w:szCs w:val="21"/>
                <w:highlight w:val="none"/>
              </w:rPr>
            </w:pPr>
          </w:p>
        </w:tc>
        <w:tc>
          <w:tcPr>
            <w:tcW w:w="1560" w:type="dxa"/>
            <w:vMerge w:val="continue"/>
            <w:tcBorders>
              <w:left w:val="single" w:color="auto" w:sz="4" w:space="0"/>
              <w:right w:val="single" w:color="auto" w:sz="4" w:space="0"/>
            </w:tcBorders>
            <w:vAlign w:val="center"/>
          </w:tcPr>
          <w:p>
            <w:pPr>
              <w:spacing w:line="400" w:lineRule="exact"/>
              <w:jc w:val="center"/>
              <w:rPr>
                <w:rFonts w:ascii="宋体" w:hAnsi="宋体"/>
                <w:color w:val="auto"/>
                <w:kern w:val="0"/>
                <w:highlight w:val="none"/>
              </w:rPr>
            </w:pPr>
          </w:p>
        </w:tc>
        <w:tc>
          <w:tcPr>
            <w:tcW w:w="2267" w:type="dxa"/>
            <w:tcBorders>
              <w:top w:val="single" w:color="auto" w:sz="4" w:space="0"/>
              <w:left w:val="single" w:color="auto" w:sz="4" w:space="0"/>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其他要求</w:t>
            </w:r>
          </w:p>
        </w:tc>
        <w:tc>
          <w:tcPr>
            <w:tcW w:w="4615" w:type="dxa"/>
            <w:gridSpan w:val="2"/>
            <w:tcBorders>
              <w:top w:val="single" w:color="auto" w:sz="4" w:space="0"/>
              <w:left w:val="single" w:color="auto" w:sz="4" w:space="0"/>
            </w:tcBorders>
            <w:vAlign w:val="center"/>
          </w:tcPr>
          <w:p>
            <w:pPr>
              <w:snapToGrid w:val="0"/>
              <w:spacing w:line="400" w:lineRule="exact"/>
              <w:ind w:firstLine="420" w:firstLineChars="200"/>
              <w:rPr>
                <w:rFonts w:ascii="宋体" w:hAnsi="宋体" w:cs="宋体"/>
                <w:color w:val="auto"/>
                <w:kern w:val="0"/>
                <w:highlight w:val="none"/>
                <w:u w:val="singl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”第1.4.1项规定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restart"/>
            <w:tcBorders>
              <w:right w:val="single" w:color="auto" w:sz="4" w:space="0"/>
            </w:tcBorders>
            <w:vAlign w:val="center"/>
          </w:tcPr>
          <w:p>
            <w:pPr>
              <w:spacing w:line="400" w:lineRule="exact"/>
              <w:jc w:val="center"/>
              <w:rPr>
                <w:rFonts w:ascii="宋体" w:hAnsi="宋体"/>
                <w:color w:val="auto"/>
                <w:kern w:val="0"/>
                <w:highlight w:val="none"/>
              </w:rPr>
            </w:pPr>
            <w:r>
              <w:rPr>
                <w:rFonts w:ascii="宋体" w:hAnsi="宋体"/>
                <w:color w:val="auto"/>
                <w:kern w:val="0"/>
                <w:highlight w:val="none"/>
              </w:rPr>
              <w:t>2.</w:t>
            </w:r>
            <w:r>
              <w:rPr>
                <w:rFonts w:hint="eastAsia" w:ascii="宋体" w:hAnsi="宋体"/>
                <w:color w:val="auto"/>
                <w:kern w:val="0"/>
                <w:highlight w:val="none"/>
              </w:rPr>
              <w:t>2</w:t>
            </w:r>
            <w:r>
              <w:rPr>
                <w:rFonts w:ascii="宋体" w:hAnsi="宋体"/>
                <w:color w:val="auto"/>
                <w:kern w:val="0"/>
                <w:highlight w:val="none"/>
              </w:rPr>
              <w:t>.</w:t>
            </w:r>
            <w:r>
              <w:rPr>
                <w:rFonts w:hint="eastAsia" w:ascii="宋体" w:hAnsi="宋体"/>
                <w:color w:val="auto"/>
                <w:kern w:val="0"/>
                <w:highlight w:val="none"/>
              </w:rPr>
              <w:t>3</w:t>
            </w:r>
          </w:p>
        </w:tc>
        <w:tc>
          <w:tcPr>
            <w:tcW w:w="1560" w:type="dxa"/>
            <w:vMerge w:val="restart"/>
            <w:tcBorders>
              <w:left w:val="single" w:color="auto" w:sz="4" w:space="0"/>
            </w:tcBorders>
            <w:vAlign w:val="center"/>
          </w:tcPr>
          <w:p>
            <w:pPr>
              <w:spacing w:line="400" w:lineRule="exact"/>
              <w:jc w:val="center"/>
              <w:rPr>
                <w:rFonts w:ascii="宋体" w:hAnsi="宋体"/>
                <w:color w:val="auto"/>
                <w:kern w:val="0"/>
                <w:highlight w:val="none"/>
              </w:rPr>
            </w:pPr>
            <w:r>
              <w:rPr>
                <w:rFonts w:hint="eastAsia" w:ascii="宋体" w:hAnsi="宋体"/>
                <w:color w:val="auto"/>
                <w:kern w:val="0"/>
                <w:highlight w:val="none"/>
              </w:rPr>
              <w:t>形式评审标准</w:t>
            </w:r>
          </w:p>
        </w:tc>
        <w:tc>
          <w:tcPr>
            <w:tcW w:w="2267" w:type="dxa"/>
            <w:tcBorders>
              <w:right w:val="single" w:color="auto" w:sz="4" w:space="0"/>
            </w:tcBorders>
            <w:vAlign w:val="center"/>
          </w:tcPr>
          <w:p>
            <w:pPr>
              <w:spacing w:line="400" w:lineRule="exact"/>
              <w:jc w:val="left"/>
              <w:rPr>
                <w:rFonts w:ascii="宋体" w:hAnsi="宋体" w:cs="宋体"/>
                <w:color w:val="auto"/>
                <w:kern w:val="0"/>
                <w:highlight w:val="none"/>
              </w:rPr>
            </w:pPr>
            <w:r>
              <w:rPr>
                <w:rFonts w:hint="eastAsia" w:ascii="宋体" w:hAnsi="宋体" w:cs="宋体"/>
                <w:color w:val="auto"/>
                <w:kern w:val="0"/>
                <w:highlight w:val="none"/>
                <w:lang w:eastAsia="zh-CN"/>
              </w:rPr>
              <w:t>竞选人</w:t>
            </w:r>
            <w:r>
              <w:rPr>
                <w:rFonts w:hint="eastAsia" w:ascii="宋体" w:hAnsi="宋体" w:cs="宋体"/>
                <w:color w:val="auto"/>
                <w:kern w:val="0"/>
                <w:highlight w:val="none"/>
              </w:rPr>
              <w:t>名称</w:t>
            </w:r>
          </w:p>
        </w:tc>
        <w:tc>
          <w:tcPr>
            <w:tcW w:w="4615" w:type="dxa"/>
            <w:gridSpan w:val="2"/>
            <w:tcBorders>
              <w:left w:val="single" w:color="auto" w:sz="4" w:space="0"/>
            </w:tcBorders>
            <w:vAlign w:val="center"/>
          </w:tcPr>
          <w:p>
            <w:pPr>
              <w:snapToGrid w:val="0"/>
              <w:spacing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与营业执照、资质证书、安全生产许可证一致，依法变更名称的应提交相应证明材料。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b/>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b/>
                <w:color w:val="auto"/>
                <w:kern w:val="0"/>
                <w:highlight w:val="none"/>
              </w:rPr>
            </w:pPr>
          </w:p>
        </w:tc>
        <w:tc>
          <w:tcPr>
            <w:tcW w:w="2267" w:type="dxa"/>
            <w:tcBorders>
              <w:right w:val="single" w:color="auto" w:sz="4" w:space="0"/>
            </w:tcBorders>
            <w:vAlign w:val="center"/>
          </w:tcPr>
          <w:p>
            <w:pPr>
              <w:spacing w:line="400" w:lineRule="exact"/>
              <w:jc w:val="left"/>
              <w:rPr>
                <w:rFonts w:ascii="宋体" w:hAnsi="宋体" w:cs="宋体"/>
                <w:color w:val="auto"/>
                <w:kern w:val="0"/>
                <w:highlight w:val="none"/>
              </w:rPr>
            </w:pPr>
            <w:r>
              <w:rPr>
                <w:rFonts w:hint="eastAsia" w:ascii="宋体" w:hAnsi="宋体" w:cs="宋体"/>
                <w:color w:val="auto"/>
                <w:kern w:val="0"/>
                <w:highlight w:val="none"/>
              </w:rPr>
              <w:t>投标函签名盖章</w:t>
            </w:r>
          </w:p>
        </w:tc>
        <w:tc>
          <w:tcPr>
            <w:tcW w:w="4615" w:type="dxa"/>
            <w:gridSpan w:val="2"/>
            <w:tcBorders>
              <w:left w:val="single" w:color="auto" w:sz="4" w:space="0"/>
            </w:tcBorders>
            <w:vAlign w:val="center"/>
          </w:tcPr>
          <w:p>
            <w:pPr>
              <w:snapToGrid w:val="0"/>
              <w:spacing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投标函格式规定签名、盖章的位置有法定代表人或其委托代理人签名（或盖章）、加盖单位法人章。</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b/>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b/>
                <w:color w:val="auto"/>
                <w:kern w:val="0"/>
                <w:highlight w:val="none"/>
              </w:rPr>
            </w:pPr>
          </w:p>
        </w:tc>
        <w:tc>
          <w:tcPr>
            <w:tcW w:w="2267" w:type="dxa"/>
            <w:tcBorders>
              <w:right w:val="single" w:color="auto" w:sz="4" w:space="0"/>
            </w:tcBorders>
            <w:vAlign w:val="center"/>
          </w:tcPr>
          <w:p>
            <w:pPr>
              <w:spacing w:line="400" w:lineRule="exact"/>
              <w:jc w:val="left"/>
              <w:rPr>
                <w:rFonts w:ascii="宋体" w:hAnsi="宋体" w:cs="宋体"/>
                <w:color w:val="auto"/>
                <w:kern w:val="0"/>
                <w:highlight w:val="none"/>
              </w:rPr>
            </w:pPr>
            <w:r>
              <w:rPr>
                <w:rFonts w:hint="eastAsia" w:ascii="宋体" w:hAnsi="宋体" w:cs="宋体"/>
                <w:color w:val="auto"/>
                <w:kern w:val="0"/>
                <w:highlight w:val="none"/>
              </w:rPr>
              <w:t>投标文件格式</w:t>
            </w:r>
          </w:p>
        </w:tc>
        <w:tc>
          <w:tcPr>
            <w:tcW w:w="4615" w:type="dxa"/>
            <w:gridSpan w:val="2"/>
            <w:tcBorders>
              <w:left w:val="single" w:color="auto" w:sz="4" w:space="0"/>
            </w:tcBorders>
            <w:vAlign w:val="center"/>
          </w:tcPr>
          <w:p>
            <w:pPr>
              <w:snapToGrid w:val="0"/>
              <w:spacing w:line="400" w:lineRule="exact"/>
              <w:ind w:firstLine="380" w:firstLineChars="181"/>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”第3.7款的要求。</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b/>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b/>
                <w:color w:val="auto"/>
                <w:kern w:val="0"/>
                <w:highlight w:val="none"/>
              </w:rPr>
            </w:pPr>
          </w:p>
        </w:tc>
        <w:tc>
          <w:tcPr>
            <w:tcW w:w="2267" w:type="dxa"/>
            <w:tcBorders>
              <w:right w:val="single" w:color="auto" w:sz="4" w:space="0"/>
            </w:tcBorders>
            <w:vAlign w:val="center"/>
          </w:tcPr>
          <w:p>
            <w:pPr>
              <w:spacing w:line="400" w:lineRule="exact"/>
              <w:jc w:val="left"/>
              <w:rPr>
                <w:rFonts w:ascii="宋体" w:hAnsi="宋体" w:cs="宋体"/>
                <w:color w:val="auto"/>
                <w:kern w:val="0"/>
                <w:highlight w:val="none"/>
              </w:rPr>
            </w:pPr>
            <w:r>
              <w:rPr>
                <w:rFonts w:hint="eastAsia" w:ascii="宋体" w:hAnsi="宋体" w:cs="宋体"/>
                <w:color w:val="auto"/>
                <w:kern w:val="0"/>
                <w:highlight w:val="none"/>
              </w:rPr>
              <w:t>投标文件份数</w:t>
            </w:r>
          </w:p>
        </w:tc>
        <w:tc>
          <w:tcPr>
            <w:tcW w:w="4615" w:type="dxa"/>
            <w:gridSpan w:val="2"/>
            <w:tcBorders>
              <w:left w:val="single" w:color="auto" w:sz="4" w:space="0"/>
            </w:tcBorders>
            <w:vAlign w:val="center"/>
          </w:tcPr>
          <w:p>
            <w:pPr>
              <w:snapToGrid w:val="0"/>
              <w:spacing w:line="400" w:lineRule="exact"/>
              <w:ind w:firstLine="380" w:firstLineChars="181"/>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”第3.7.4项规定。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b/>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b/>
                <w:color w:val="auto"/>
                <w:kern w:val="0"/>
                <w:highlight w:val="none"/>
              </w:rPr>
            </w:pPr>
          </w:p>
        </w:tc>
        <w:tc>
          <w:tcPr>
            <w:tcW w:w="2267" w:type="dxa"/>
            <w:tcBorders>
              <w:right w:val="single" w:color="auto" w:sz="4" w:space="0"/>
            </w:tcBorders>
            <w:vAlign w:val="center"/>
          </w:tcPr>
          <w:p>
            <w:pPr>
              <w:spacing w:line="400" w:lineRule="exact"/>
              <w:jc w:val="left"/>
              <w:rPr>
                <w:rFonts w:ascii="宋体" w:hAnsi="宋体" w:cs="宋体"/>
                <w:color w:val="auto"/>
                <w:kern w:val="0"/>
                <w:highlight w:val="none"/>
              </w:rPr>
            </w:pPr>
            <w:r>
              <w:rPr>
                <w:rFonts w:hint="eastAsia" w:ascii="宋体" w:hAnsi="宋体" w:cs="宋体"/>
                <w:color w:val="auto"/>
                <w:kern w:val="0"/>
                <w:highlight w:val="none"/>
              </w:rPr>
              <w:t>报价唯一</w:t>
            </w:r>
          </w:p>
        </w:tc>
        <w:tc>
          <w:tcPr>
            <w:tcW w:w="4615" w:type="dxa"/>
            <w:gridSpan w:val="2"/>
            <w:tcBorders>
              <w:left w:val="single" w:color="auto" w:sz="4" w:space="0"/>
            </w:tcBorders>
            <w:vAlign w:val="center"/>
          </w:tcPr>
          <w:p>
            <w:pPr>
              <w:snapToGrid w:val="0"/>
              <w:spacing w:after="31" w:afterLines="10"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只能有一个有效报价。在招标文件没有规定的情况下，不得提交选择性报价。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b/>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b/>
                <w:color w:val="auto"/>
                <w:kern w:val="0"/>
                <w:highlight w:val="none"/>
              </w:rPr>
            </w:pPr>
          </w:p>
        </w:tc>
        <w:tc>
          <w:tcPr>
            <w:tcW w:w="2267" w:type="dxa"/>
            <w:tcBorders>
              <w:right w:val="single" w:color="auto" w:sz="4" w:space="0"/>
            </w:tcBorders>
            <w:vAlign w:val="center"/>
          </w:tcPr>
          <w:p>
            <w:pPr>
              <w:spacing w:line="400" w:lineRule="exact"/>
              <w:jc w:val="left"/>
              <w:rPr>
                <w:rFonts w:ascii="宋体" w:hAnsi="宋体" w:cs="宋体"/>
                <w:color w:val="auto"/>
                <w:kern w:val="0"/>
                <w:highlight w:val="none"/>
              </w:rPr>
            </w:pPr>
            <w:r>
              <w:rPr>
                <w:rFonts w:hint="eastAsia" w:ascii="宋体" w:hAnsi="宋体" w:cs="宋体"/>
                <w:color w:val="auto"/>
                <w:kern w:val="0"/>
                <w:highlight w:val="none"/>
              </w:rPr>
              <w:t>投标文件的签署</w:t>
            </w:r>
          </w:p>
        </w:tc>
        <w:tc>
          <w:tcPr>
            <w:tcW w:w="4615" w:type="dxa"/>
            <w:gridSpan w:val="2"/>
            <w:tcBorders>
              <w:left w:val="single" w:color="auto" w:sz="4" w:space="0"/>
            </w:tcBorders>
            <w:vAlign w:val="center"/>
          </w:tcPr>
          <w:p>
            <w:pPr>
              <w:autoSpaceDE w:val="0"/>
              <w:autoSpaceDN w:val="0"/>
              <w:adjustRightInd w:val="0"/>
              <w:snapToGrid w:val="0"/>
              <w:spacing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第八章 投标文件格式要求法定代表人或其委托代理人签名（或盖章）的须齐全。</w:t>
            </w:r>
          </w:p>
          <w:p>
            <w:pPr>
              <w:autoSpaceDE w:val="0"/>
              <w:autoSpaceDN w:val="0"/>
              <w:adjustRightInd w:val="0"/>
              <w:snapToGrid w:val="0"/>
              <w:spacing w:line="400" w:lineRule="exact"/>
              <w:ind w:firstLine="420" w:firstLineChars="200"/>
              <w:rPr>
                <w:rFonts w:ascii="宋体" w:hAnsi="宋体" w:cs="宋体"/>
                <w:color w:val="auto"/>
                <w:kern w:val="0"/>
                <w:highlight w:val="none"/>
              </w:rPr>
            </w:pPr>
            <w:r>
              <w:rPr>
                <w:rFonts w:hint="eastAsia" w:ascii="宋体" w:hAnsi="宋体" w:cs="宋体"/>
                <w:snapToGrid w:val="0"/>
                <w:color w:val="auto"/>
                <w:kern w:val="0"/>
                <w:szCs w:val="21"/>
                <w:highlight w:val="none"/>
              </w:rPr>
              <w:t>若投标单位为联合体，则联合体协议书中各联合体各成员单位签名（或盖章）须齐全，联合体协议书以外的</w:t>
            </w:r>
            <w:r>
              <w:rPr>
                <w:rFonts w:hint="eastAsia" w:ascii="宋体" w:hAnsi="宋体" w:cs="宋体"/>
                <w:color w:val="auto"/>
                <w:kern w:val="0"/>
                <w:highlight w:val="none"/>
              </w:rPr>
              <w:t>投标文件格式中，要求</w:t>
            </w:r>
            <w:r>
              <w:rPr>
                <w:rFonts w:hint="eastAsia" w:ascii="宋体" w:hAnsi="宋体" w:cs="宋体"/>
                <w:snapToGrid w:val="0"/>
                <w:color w:val="auto"/>
                <w:kern w:val="0"/>
                <w:szCs w:val="21"/>
                <w:highlight w:val="none"/>
              </w:rPr>
              <w:t>联合体牵头人</w:t>
            </w:r>
            <w:r>
              <w:rPr>
                <w:rFonts w:hint="eastAsia" w:ascii="宋体" w:hAnsi="宋体" w:cs="宋体"/>
                <w:color w:val="auto"/>
                <w:kern w:val="0"/>
                <w:highlight w:val="none"/>
              </w:rPr>
              <w:t>法定代表人或其委托代理人签名（或盖章）的须齐全。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b/>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b/>
                <w:color w:val="auto"/>
                <w:kern w:val="0"/>
                <w:highlight w:val="none"/>
              </w:rPr>
            </w:pPr>
          </w:p>
        </w:tc>
        <w:tc>
          <w:tcPr>
            <w:tcW w:w="2267" w:type="dxa"/>
            <w:tcBorders>
              <w:right w:val="single" w:color="auto" w:sz="4" w:space="0"/>
            </w:tcBorders>
            <w:vAlign w:val="center"/>
          </w:tcPr>
          <w:p>
            <w:pPr>
              <w:spacing w:line="400" w:lineRule="exact"/>
              <w:jc w:val="left"/>
              <w:rPr>
                <w:rFonts w:ascii="宋体" w:hAnsi="宋体" w:cs="宋体"/>
                <w:color w:val="auto"/>
                <w:kern w:val="0"/>
                <w:highlight w:val="none"/>
              </w:rPr>
            </w:pPr>
            <w:r>
              <w:rPr>
                <w:rFonts w:hint="eastAsia" w:ascii="宋体" w:hAnsi="宋体" w:cs="宋体"/>
                <w:color w:val="auto"/>
                <w:kern w:val="0"/>
                <w:highlight w:val="none"/>
              </w:rPr>
              <w:t>委托代理人</w:t>
            </w:r>
          </w:p>
        </w:tc>
        <w:tc>
          <w:tcPr>
            <w:tcW w:w="4615" w:type="dxa"/>
            <w:gridSpan w:val="2"/>
            <w:tcBorders>
              <w:left w:val="single" w:color="auto" w:sz="4" w:space="0"/>
            </w:tcBorders>
            <w:vAlign w:val="center"/>
          </w:tcPr>
          <w:p>
            <w:pPr>
              <w:snapToGrid w:val="0"/>
              <w:spacing w:after="78" w:afterLines="25"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lang w:eastAsia="zh-CN"/>
              </w:rPr>
              <w:t>竞选人</w:t>
            </w:r>
            <w:r>
              <w:rPr>
                <w:rFonts w:hint="eastAsia" w:ascii="宋体" w:hAnsi="宋体" w:cs="宋体"/>
                <w:color w:val="auto"/>
                <w:kern w:val="0"/>
                <w:highlight w:val="none"/>
              </w:rPr>
              <w:t>法定代表人的委托代理人有法定代表人签署的授权委托书和</w:t>
            </w:r>
            <w:r>
              <w:rPr>
                <w:rFonts w:hint="eastAsia" w:ascii="宋体" w:hAnsi="宋体" w:cs="宋体"/>
                <w:color w:val="auto"/>
                <w:kern w:val="0"/>
                <w:highlight w:val="none"/>
                <w:lang w:eastAsia="zh-CN"/>
              </w:rPr>
              <w:t>竞选人</w:t>
            </w:r>
            <w:r>
              <w:rPr>
                <w:rFonts w:hint="eastAsia" w:ascii="宋体" w:hAnsi="宋体" w:cs="宋体"/>
                <w:color w:val="auto"/>
                <w:kern w:val="0"/>
                <w:highlight w:val="none"/>
              </w:rPr>
              <w:t>为其缴纳的养老保险。</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restart"/>
            <w:tcBorders>
              <w:right w:val="single" w:color="auto" w:sz="4" w:space="0"/>
            </w:tcBorders>
            <w:vAlign w:val="center"/>
          </w:tcPr>
          <w:p>
            <w:pPr>
              <w:spacing w:line="400" w:lineRule="exact"/>
              <w:jc w:val="center"/>
              <w:rPr>
                <w:rFonts w:ascii="宋体" w:hAnsi="宋体"/>
                <w:color w:val="auto"/>
                <w:kern w:val="0"/>
                <w:highlight w:val="none"/>
              </w:rPr>
            </w:pPr>
            <w:r>
              <w:rPr>
                <w:rFonts w:hint="eastAsia" w:ascii="宋体" w:hAnsi="宋体"/>
                <w:color w:val="auto"/>
                <w:kern w:val="0"/>
                <w:highlight w:val="none"/>
              </w:rPr>
              <w:t>2.2.4</w:t>
            </w:r>
          </w:p>
        </w:tc>
        <w:tc>
          <w:tcPr>
            <w:tcW w:w="1560" w:type="dxa"/>
            <w:vMerge w:val="restart"/>
            <w:tcBorders>
              <w:left w:val="single" w:color="auto" w:sz="4" w:space="0"/>
            </w:tcBorders>
            <w:vAlign w:val="center"/>
          </w:tcPr>
          <w:p>
            <w:pPr>
              <w:spacing w:line="400" w:lineRule="exact"/>
              <w:jc w:val="center"/>
              <w:rPr>
                <w:rFonts w:ascii="宋体" w:hAnsi="宋体"/>
                <w:color w:val="auto"/>
                <w:kern w:val="0"/>
                <w:highlight w:val="none"/>
              </w:rPr>
            </w:pPr>
            <w:r>
              <w:rPr>
                <w:rFonts w:hint="eastAsia" w:ascii="宋体" w:hAnsi="宋体"/>
                <w:color w:val="auto"/>
                <w:kern w:val="0"/>
                <w:highlight w:val="none"/>
              </w:rPr>
              <w:t>响应性评审标准</w:t>
            </w:r>
          </w:p>
        </w:tc>
        <w:tc>
          <w:tcPr>
            <w:tcW w:w="2267" w:type="dxa"/>
            <w:tcBorders>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投标总报价</w:t>
            </w:r>
          </w:p>
        </w:tc>
        <w:tc>
          <w:tcPr>
            <w:tcW w:w="4615" w:type="dxa"/>
            <w:gridSpan w:val="2"/>
            <w:tcBorders>
              <w:left w:val="single" w:color="auto" w:sz="4" w:space="0"/>
            </w:tcBorders>
            <w:vAlign w:val="center"/>
          </w:tcPr>
          <w:p>
            <w:pPr>
              <w:snapToGrid w:val="0"/>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1.投标总报价必须与已标价工程量清单总报价一致。</w:t>
            </w:r>
          </w:p>
          <w:p>
            <w:pPr>
              <w:snapToGrid w:val="0"/>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2</w:t>
            </w:r>
            <w:r>
              <w:rPr>
                <w:rFonts w:ascii="宋体" w:hAnsi="宋体" w:cs="宋体"/>
                <w:color w:val="auto"/>
                <w:szCs w:val="21"/>
                <w:highlight w:val="none"/>
              </w:rPr>
              <w:t>.</w:t>
            </w:r>
            <w:r>
              <w:rPr>
                <w:rFonts w:hint="eastAsia" w:ascii="宋体" w:hAnsi="宋体" w:cs="宋体"/>
                <w:color w:val="auto"/>
                <w:szCs w:val="21"/>
                <w:highlight w:val="none"/>
              </w:rPr>
              <w:t>投标总报价不得高于</w:t>
            </w:r>
            <w:r>
              <w:rPr>
                <w:rFonts w:hint="eastAsia" w:ascii="宋体" w:hAnsi="宋体" w:cs="宋体"/>
                <w:color w:val="auto"/>
                <w:szCs w:val="21"/>
                <w:highlight w:val="none"/>
                <w:lang w:eastAsia="zh-CN"/>
              </w:rPr>
              <w:t>比选人</w:t>
            </w:r>
            <w:r>
              <w:rPr>
                <w:rFonts w:hint="eastAsia" w:ascii="宋体" w:hAnsi="宋体" w:cs="宋体"/>
                <w:color w:val="auto"/>
                <w:szCs w:val="21"/>
                <w:highlight w:val="none"/>
              </w:rPr>
              <w:t>公布的投标总报价最高限价。</w:t>
            </w:r>
          </w:p>
          <w:p>
            <w:pPr>
              <w:spacing w:line="400" w:lineRule="exact"/>
              <w:ind w:firstLine="420" w:firstLineChars="200"/>
              <w:jc w:val="left"/>
              <w:rPr>
                <w:rFonts w:ascii="宋体" w:hAnsi="宋体" w:cs="宋体"/>
                <w:bCs/>
                <w:color w:val="auto"/>
                <w:szCs w:val="21"/>
                <w:highlight w:val="none"/>
              </w:rPr>
            </w:pPr>
            <w:r>
              <w:rPr>
                <w:rFonts w:hint="eastAsia" w:ascii="宋体" w:hAnsi="宋体" w:cs="宋体"/>
                <w:color w:val="auto"/>
                <w:szCs w:val="21"/>
                <w:highlight w:val="none"/>
              </w:rPr>
              <w:t>3.投标总报价低于最高限价85%的，</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应在编制投标文件时，在投标函部分中递交低价风险担保提交承诺书。</w:t>
            </w:r>
            <w:r>
              <w:rPr>
                <w:rFonts w:hint="eastAsia" w:ascii="宋体" w:hAnsi="宋体" w:cs="宋体"/>
                <w:bCs/>
                <w:color w:val="auto"/>
                <w:szCs w:val="21"/>
                <w:highlight w:val="none"/>
              </w:rPr>
              <w:t>承诺书格式详见第八章投标文件格式。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color w:val="auto"/>
                <w:kern w:val="0"/>
                <w:highlight w:val="none"/>
              </w:rPr>
            </w:pPr>
          </w:p>
        </w:tc>
        <w:tc>
          <w:tcPr>
            <w:tcW w:w="2267" w:type="dxa"/>
            <w:tcBorders>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暂定金额</w:t>
            </w:r>
          </w:p>
        </w:tc>
        <w:tc>
          <w:tcPr>
            <w:tcW w:w="4615" w:type="dxa"/>
            <w:gridSpan w:val="2"/>
            <w:tcBorders>
              <w:left w:val="single" w:color="auto" w:sz="4" w:space="0"/>
            </w:tcBorders>
            <w:vAlign w:val="center"/>
          </w:tcPr>
          <w:p>
            <w:pPr>
              <w:snapToGrid w:val="0"/>
              <w:spacing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暂列金额、暂估价、安全文明施工费等暂定金额必须按照招标文件给定的金额填报。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color w:val="auto"/>
                <w:kern w:val="0"/>
                <w:highlight w:val="none"/>
              </w:rPr>
            </w:pPr>
          </w:p>
        </w:tc>
        <w:tc>
          <w:tcPr>
            <w:tcW w:w="2267" w:type="dxa"/>
            <w:tcBorders>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投标内容</w:t>
            </w:r>
          </w:p>
        </w:tc>
        <w:tc>
          <w:tcPr>
            <w:tcW w:w="4615" w:type="dxa"/>
            <w:gridSpan w:val="2"/>
            <w:tcBorders>
              <w:left w:val="single" w:color="auto" w:sz="4" w:space="0"/>
            </w:tcBorders>
            <w:vAlign w:val="center"/>
          </w:tcPr>
          <w:p>
            <w:pPr>
              <w:snapToGrid w:val="0"/>
              <w:spacing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”第1.3.1项规定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color w:val="auto"/>
                <w:kern w:val="0"/>
                <w:highlight w:val="none"/>
              </w:rPr>
            </w:pPr>
          </w:p>
        </w:tc>
        <w:tc>
          <w:tcPr>
            <w:tcW w:w="2267" w:type="dxa"/>
            <w:tcBorders>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工期</w:t>
            </w:r>
          </w:p>
        </w:tc>
        <w:tc>
          <w:tcPr>
            <w:tcW w:w="4615" w:type="dxa"/>
            <w:gridSpan w:val="2"/>
            <w:tcBorders>
              <w:left w:val="single" w:color="auto" w:sz="4" w:space="0"/>
            </w:tcBorders>
            <w:vAlign w:val="center"/>
          </w:tcPr>
          <w:p>
            <w:pPr>
              <w:snapToGrid w:val="0"/>
              <w:spacing w:line="400" w:lineRule="exact"/>
              <w:ind w:firstLine="420" w:firstLineChars="200"/>
              <w:jc w:val="left"/>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”第1.3.2项规定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color w:val="auto"/>
                <w:kern w:val="0"/>
                <w:highlight w:val="none"/>
              </w:rPr>
            </w:pPr>
          </w:p>
        </w:tc>
        <w:tc>
          <w:tcPr>
            <w:tcW w:w="2267" w:type="dxa"/>
            <w:tcBorders>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工程质量</w:t>
            </w:r>
          </w:p>
        </w:tc>
        <w:tc>
          <w:tcPr>
            <w:tcW w:w="4615" w:type="dxa"/>
            <w:gridSpan w:val="2"/>
            <w:tcBorders>
              <w:left w:val="single" w:color="auto" w:sz="4" w:space="0"/>
            </w:tcBorders>
            <w:vAlign w:val="center"/>
          </w:tcPr>
          <w:p>
            <w:pPr>
              <w:snapToGrid w:val="0"/>
              <w:spacing w:line="400" w:lineRule="exact"/>
              <w:ind w:firstLine="420" w:firstLineChars="200"/>
              <w:jc w:val="left"/>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”第1.3.3项规定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color w:val="auto"/>
                <w:kern w:val="0"/>
                <w:highlight w:val="none"/>
              </w:rPr>
            </w:pPr>
          </w:p>
        </w:tc>
        <w:tc>
          <w:tcPr>
            <w:tcW w:w="2267" w:type="dxa"/>
            <w:tcBorders>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投标有效期</w:t>
            </w:r>
          </w:p>
        </w:tc>
        <w:tc>
          <w:tcPr>
            <w:tcW w:w="4615" w:type="dxa"/>
            <w:gridSpan w:val="2"/>
            <w:tcBorders>
              <w:left w:val="single" w:color="auto" w:sz="4" w:space="0"/>
            </w:tcBorders>
            <w:vAlign w:val="center"/>
          </w:tcPr>
          <w:p>
            <w:pPr>
              <w:snapToGrid w:val="0"/>
              <w:spacing w:line="400" w:lineRule="exact"/>
              <w:ind w:firstLine="420" w:firstLineChars="200"/>
              <w:jc w:val="left"/>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”第3.3.1项规定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color w:val="auto"/>
                <w:kern w:val="0"/>
                <w:highlight w:val="none"/>
              </w:rPr>
            </w:pPr>
          </w:p>
        </w:tc>
        <w:tc>
          <w:tcPr>
            <w:tcW w:w="2267" w:type="dxa"/>
            <w:tcBorders>
              <w:right w:val="single" w:color="auto" w:sz="4" w:space="0"/>
            </w:tcBorders>
            <w:vAlign w:val="center"/>
          </w:tcPr>
          <w:p>
            <w:pPr>
              <w:spacing w:line="400" w:lineRule="exact"/>
              <w:jc w:val="left"/>
              <w:rPr>
                <w:rFonts w:ascii="宋体" w:hAnsi="宋体" w:cs="宋体"/>
                <w:color w:val="auto"/>
                <w:kern w:val="0"/>
                <w:highlight w:val="none"/>
              </w:rPr>
            </w:pPr>
            <w:r>
              <w:rPr>
                <w:rFonts w:hint="eastAsia" w:ascii="宋体" w:hAnsi="宋体" w:cs="宋体"/>
                <w:color w:val="auto"/>
                <w:kern w:val="0"/>
                <w:highlight w:val="none"/>
              </w:rPr>
              <w:t>投标保证金</w:t>
            </w:r>
          </w:p>
        </w:tc>
        <w:tc>
          <w:tcPr>
            <w:tcW w:w="4615" w:type="dxa"/>
            <w:gridSpan w:val="2"/>
            <w:tcBorders>
              <w:left w:val="single" w:color="auto" w:sz="4" w:space="0"/>
            </w:tcBorders>
            <w:vAlign w:val="center"/>
          </w:tcPr>
          <w:p>
            <w:pPr>
              <w:tabs>
                <w:tab w:val="left" w:pos="611"/>
                <w:tab w:val="left" w:pos="669"/>
              </w:tabs>
              <w:snapToGrid w:val="0"/>
              <w:spacing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竞选人须知前附表</w:t>
            </w:r>
            <w:r>
              <w:rPr>
                <w:rFonts w:hint="eastAsia" w:ascii="宋体" w:hAnsi="宋体" w:cs="宋体"/>
                <w:color w:val="auto"/>
                <w:kern w:val="0"/>
                <w:highlight w:val="none"/>
              </w:rPr>
              <w:t>”第3.4项规定。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color w:val="auto"/>
                <w:kern w:val="0"/>
                <w:highlight w:val="none"/>
              </w:rPr>
            </w:pPr>
          </w:p>
        </w:tc>
        <w:tc>
          <w:tcPr>
            <w:tcW w:w="2267" w:type="dxa"/>
            <w:tcBorders>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权利义务</w:t>
            </w:r>
          </w:p>
        </w:tc>
        <w:tc>
          <w:tcPr>
            <w:tcW w:w="4615" w:type="dxa"/>
            <w:gridSpan w:val="2"/>
            <w:tcBorders>
              <w:left w:val="single" w:color="auto" w:sz="4" w:space="0"/>
            </w:tcBorders>
            <w:vAlign w:val="center"/>
          </w:tcPr>
          <w:p>
            <w:pPr>
              <w:snapToGrid w:val="0"/>
              <w:spacing w:after="31" w:afterLines="10"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符合第四章“合同条款及格式”规定，投标文件不应附有</w:t>
            </w:r>
            <w:r>
              <w:rPr>
                <w:rFonts w:hint="eastAsia" w:ascii="宋体" w:hAnsi="宋体" w:cs="宋体"/>
                <w:color w:val="auto"/>
                <w:kern w:val="0"/>
                <w:highlight w:val="none"/>
                <w:lang w:eastAsia="zh-CN"/>
              </w:rPr>
              <w:t>比选人</w:t>
            </w:r>
            <w:r>
              <w:rPr>
                <w:rFonts w:hint="eastAsia" w:ascii="宋体" w:hAnsi="宋体" w:cs="宋体"/>
                <w:color w:val="auto"/>
                <w:kern w:val="0"/>
                <w:highlight w:val="none"/>
              </w:rPr>
              <w:t>不能接受的条件。（由</w:t>
            </w:r>
            <w:r>
              <w:rPr>
                <w:rFonts w:hint="eastAsia" w:ascii="宋体" w:hAnsi="宋体" w:cs="宋体"/>
                <w:color w:val="auto"/>
                <w:kern w:val="0"/>
                <w:highlight w:val="none"/>
                <w:lang w:eastAsia="zh-CN"/>
              </w:rPr>
              <w:t>竞选人</w:t>
            </w:r>
            <w:r>
              <w:rPr>
                <w:rFonts w:hint="eastAsia" w:ascii="宋体" w:hAnsi="宋体" w:cs="宋体"/>
                <w:color w:val="auto"/>
                <w:kern w:val="0"/>
                <w:highlight w:val="none"/>
              </w:rPr>
              <w:t>承诺，承诺书格式详见第八章投标文件格式。）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color w:val="auto"/>
                <w:kern w:val="0"/>
                <w:highlight w:val="none"/>
              </w:rPr>
            </w:pPr>
          </w:p>
        </w:tc>
        <w:tc>
          <w:tcPr>
            <w:tcW w:w="2267" w:type="dxa"/>
            <w:tcBorders>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技术标准和要求</w:t>
            </w:r>
          </w:p>
        </w:tc>
        <w:tc>
          <w:tcPr>
            <w:tcW w:w="4615" w:type="dxa"/>
            <w:gridSpan w:val="2"/>
            <w:tcBorders>
              <w:left w:val="single" w:color="auto" w:sz="4" w:space="0"/>
            </w:tcBorders>
            <w:vAlign w:val="center"/>
          </w:tcPr>
          <w:p>
            <w:pPr>
              <w:snapToGrid w:val="0"/>
              <w:spacing w:after="31" w:afterLines="10"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符合第七章“技术标准和要求”规定。（由</w:t>
            </w:r>
            <w:r>
              <w:rPr>
                <w:rFonts w:hint="eastAsia" w:ascii="宋体" w:hAnsi="宋体" w:cs="宋体"/>
                <w:color w:val="auto"/>
                <w:kern w:val="0"/>
                <w:highlight w:val="none"/>
                <w:lang w:eastAsia="zh-CN"/>
              </w:rPr>
              <w:t>竞选人</w:t>
            </w:r>
            <w:r>
              <w:rPr>
                <w:rFonts w:hint="eastAsia" w:ascii="宋体" w:hAnsi="宋体" w:cs="宋体"/>
                <w:color w:val="auto"/>
                <w:kern w:val="0"/>
                <w:highlight w:val="none"/>
              </w:rPr>
              <w:t>承诺，承诺书格式详见第八章投标文件格式。）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color w:val="auto"/>
                <w:kern w:val="0"/>
                <w:highlight w:val="none"/>
              </w:rPr>
            </w:pPr>
          </w:p>
        </w:tc>
        <w:tc>
          <w:tcPr>
            <w:tcW w:w="2267" w:type="dxa"/>
            <w:tcBorders>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已标价工程量清单</w:t>
            </w:r>
          </w:p>
        </w:tc>
        <w:tc>
          <w:tcPr>
            <w:tcW w:w="4615" w:type="dxa"/>
            <w:gridSpan w:val="2"/>
            <w:tcBorders>
              <w:left w:val="single" w:color="auto" w:sz="4" w:space="0"/>
            </w:tcBorders>
            <w:vAlign w:val="center"/>
          </w:tcPr>
          <w:p>
            <w:pPr>
              <w:spacing w:after="62" w:afterLines="20"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lang w:eastAsia="zh-CN"/>
              </w:rPr>
              <w:t>竞选人</w:t>
            </w:r>
            <w:r>
              <w:rPr>
                <w:rFonts w:hint="eastAsia" w:ascii="宋体" w:hAnsi="宋体" w:cs="宋体"/>
                <w:color w:val="auto"/>
                <w:kern w:val="0"/>
                <w:highlight w:val="none"/>
              </w:rPr>
              <w:t>承诺满足以下内容：</w:t>
            </w:r>
          </w:p>
          <w:p>
            <w:pPr>
              <w:spacing w:after="62" w:afterLines="20"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1.符合第五章“工程量清单”给出的范围及数量。</w:t>
            </w:r>
          </w:p>
          <w:p>
            <w:pPr>
              <w:snapToGrid w:val="0"/>
              <w:spacing w:after="31" w:afterLines="10"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2.招标文件中规定工程量清单不允许修改的内容不得修改。</w:t>
            </w:r>
          </w:p>
          <w:p>
            <w:pPr>
              <w:snapToGrid w:val="0"/>
              <w:spacing w:after="31" w:afterLines="10"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3.每项工程量清单综合单价报价不得高于对应工程量清单综合单价最高限价。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color w:val="auto"/>
                <w:kern w:val="0"/>
                <w:highlight w:val="none"/>
              </w:rPr>
            </w:pPr>
          </w:p>
        </w:tc>
        <w:tc>
          <w:tcPr>
            <w:tcW w:w="2267" w:type="dxa"/>
            <w:tcBorders>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投标报价算术错误修正</w:t>
            </w:r>
          </w:p>
        </w:tc>
        <w:tc>
          <w:tcPr>
            <w:tcW w:w="4615" w:type="dxa"/>
            <w:gridSpan w:val="2"/>
            <w:tcBorders>
              <w:left w:val="single" w:color="auto" w:sz="4" w:space="0"/>
            </w:tcBorders>
            <w:vAlign w:val="center"/>
          </w:tcPr>
          <w:p>
            <w:pPr>
              <w:snapToGrid w:val="0"/>
              <w:spacing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符合第三章3.评标程序第3.2.3项规定。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43" w:type="dxa"/>
            <w:vMerge w:val="continue"/>
            <w:tcBorders>
              <w:right w:val="single" w:color="auto" w:sz="4" w:space="0"/>
            </w:tcBorders>
            <w:vAlign w:val="center"/>
          </w:tcPr>
          <w:p>
            <w:pPr>
              <w:spacing w:line="400" w:lineRule="exact"/>
              <w:jc w:val="center"/>
              <w:rPr>
                <w:rFonts w:ascii="宋体" w:hAnsi="宋体"/>
                <w:color w:val="auto"/>
                <w:kern w:val="0"/>
                <w:highlight w:val="none"/>
              </w:rPr>
            </w:pPr>
          </w:p>
        </w:tc>
        <w:tc>
          <w:tcPr>
            <w:tcW w:w="1560" w:type="dxa"/>
            <w:vMerge w:val="continue"/>
            <w:tcBorders>
              <w:left w:val="single" w:color="auto" w:sz="4" w:space="0"/>
            </w:tcBorders>
            <w:vAlign w:val="center"/>
          </w:tcPr>
          <w:p>
            <w:pPr>
              <w:spacing w:line="400" w:lineRule="exact"/>
              <w:jc w:val="center"/>
              <w:rPr>
                <w:rFonts w:ascii="宋体" w:hAnsi="宋体"/>
                <w:color w:val="auto"/>
                <w:kern w:val="0"/>
                <w:highlight w:val="none"/>
              </w:rPr>
            </w:pPr>
          </w:p>
        </w:tc>
        <w:tc>
          <w:tcPr>
            <w:tcW w:w="2267" w:type="dxa"/>
            <w:tcBorders>
              <w:right w:val="single" w:color="auto" w:sz="4" w:space="0"/>
            </w:tcBorders>
            <w:vAlign w:val="center"/>
          </w:tcPr>
          <w:p>
            <w:pPr>
              <w:snapToGrid w:val="0"/>
              <w:spacing w:line="400" w:lineRule="exact"/>
              <w:jc w:val="left"/>
              <w:rPr>
                <w:rFonts w:ascii="宋体" w:hAnsi="宋体" w:cs="宋体"/>
                <w:color w:val="auto"/>
                <w:kern w:val="0"/>
                <w:highlight w:val="none"/>
              </w:rPr>
            </w:pPr>
            <w:r>
              <w:rPr>
                <w:rFonts w:hint="eastAsia" w:ascii="宋体" w:hAnsi="宋体" w:cs="宋体"/>
                <w:color w:val="auto"/>
                <w:kern w:val="0"/>
                <w:highlight w:val="none"/>
              </w:rPr>
              <w:t>实质性要求</w:t>
            </w:r>
          </w:p>
        </w:tc>
        <w:tc>
          <w:tcPr>
            <w:tcW w:w="4615" w:type="dxa"/>
            <w:gridSpan w:val="2"/>
            <w:tcBorders>
              <w:left w:val="single" w:color="auto" w:sz="4" w:space="0"/>
            </w:tcBorders>
            <w:vAlign w:val="center"/>
          </w:tcPr>
          <w:p>
            <w:pPr>
              <w:snapToGrid w:val="0"/>
              <w:spacing w:after="31" w:afterLines="10"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符合第二章“</w:t>
            </w:r>
            <w:r>
              <w:rPr>
                <w:rFonts w:hint="eastAsia" w:ascii="宋体" w:hAnsi="宋体" w:cs="宋体"/>
                <w:color w:val="auto"/>
                <w:kern w:val="0"/>
                <w:highlight w:val="none"/>
                <w:lang w:eastAsia="zh-CN"/>
              </w:rPr>
              <w:t>竞选人须知</w:t>
            </w:r>
            <w:r>
              <w:rPr>
                <w:rFonts w:hint="eastAsia" w:ascii="宋体" w:hAnsi="宋体" w:cs="宋体"/>
                <w:color w:val="auto"/>
                <w:kern w:val="0"/>
                <w:highlight w:val="none"/>
              </w:rPr>
              <w:t>”第1.4.3项规定。</w:t>
            </w:r>
          </w:p>
          <w:p>
            <w:pPr>
              <w:snapToGrid w:val="0"/>
              <w:spacing w:after="31" w:afterLines="10"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本次投标不得有串通投标、弄虚作假等其他违反招投标相关法律、法规行为。</w:t>
            </w:r>
          </w:p>
          <w:p>
            <w:pPr>
              <w:snapToGrid w:val="0"/>
              <w:spacing w:after="31" w:afterLines="10" w:line="400" w:lineRule="exact"/>
              <w:ind w:firstLine="420" w:firstLineChars="200"/>
              <w:rPr>
                <w:rFonts w:ascii="宋体" w:hAnsi="宋体" w:cs="宋体"/>
                <w:color w:val="auto"/>
                <w:kern w:val="0"/>
                <w:highlight w:val="none"/>
              </w:rPr>
            </w:pPr>
            <w:r>
              <w:rPr>
                <w:rFonts w:hint="eastAsia" w:ascii="宋体" w:hAnsi="宋体" w:cs="宋体"/>
                <w:color w:val="auto"/>
                <w:kern w:val="0"/>
                <w:highlight w:val="none"/>
              </w:rPr>
              <w:t>按评标委员会要求澄清、说明或补正。</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82" w:hRule="atLeast"/>
          <w:jc w:val="center"/>
        </w:trPr>
        <w:tc>
          <w:tcPr>
            <w:tcW w:w="1243" w:type="dxa"/>
            <w:tcBorders>
              <w:right w:val="single" w:color="auto" w:sz="4" w:space="0"/>
            </w:tcBorders>
            <w:vAlign w:val="center"/>
          </w:tcPr>
          <w:p>
            <w:pPr>
              <w:spacing w:line="400" w:lineRule="exact"/>
              <w:jc w:val="center"/>
              <w:rPr>
                <w:rFonts w:ascii="宋体" w:hAnsi="宋体"/>
                <w:color w:val="auto"/>
                <w:highlight w:val="none"/>
              </w:rPr>
            </w:pPr>
            <w:r>
              <w:rPr>
                <w:rFonts w:ascii="宋体" w:hAnsi="宋体"/>
                <w:color w:val="auto"/>
                <w:highlight w:val="none"/>
              </w:rPr>
              <w:t>3</w:t>
            </w:r>
          </w:p>
        </w:tc>
        <w:tc>
          <w:tcPr>
            <w:tcW w:w="1560" w:type="dxa"/>
            <w:tcBorders>
              <w:left w:val="single" w:color="auto" w:sz="4" w:space="0"/>
              <w:right w:val="single" w:color="auto" w:sz="4" w:space="0"/>
            </w:tcBorders>
            <w:vAlign w:val="center"/>
          </w:tcPr>
          <w:p>
            <w:pPr>
              <w:spacing w:line="400" w:lineRule="exact"/>
              <w:jc w:val="center"/>
              <w:rPr>
                <w:rFonts w:ascii="宋体" w:hAnsi="宋体"/>
                <w:color w:val="auto"/>
                <w:highlight w:val="none"/>
              </w:rPr>
            </w:pPr>
            <w:r>
              <w:rPr>
                <w:rFonts w:hint="eastAsia" w:ascii="宋体" w:hAnsi="宋体"/>
                <w:color w:val="auto"/>
                <w:highlight w:val="none"/>
              </w:rPr>
              <w:t>评标程序</w:t>
            </w:r>
          </w:p>
        </w:tc>
        <w:tc>
          <w:tcPr>
            <w:tcW w:w="6882" w:type="dxa"/>
            <w:gridSpan w:val="3"/>
            <w:tcBorders>
              <w:left w:val="single" w:color="auto" w:sz="4" w:space="0"/>
            </w:tcBorders>
            <w:vAlign w:val="center"/>
          </w:tcPr>
          <w:p>
            <w:pPr>
              <w:spacing w:after="31" w:afterLines="10" w:line="400" w:lineRule="exact"/>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1.对报价不高于最高限价的所有</w:t>
            </w:r>
            <w:r>
              <w:rPr>
                <w:rFonts w:hint="eastAsia" w:ascii="宋体" w:hAnsi="宋体"/>
                <w:color w:val="auto"/>
                <w:kern w:val="0"/>
                <w:szCs w:val="21"/>
                <w:highlight w:val="none"/>
                <w:lang w:eastAsia="zh-CN"/>
              </w:rPr>
              <w:t>竞选人</w:t>
            </w:r>
            <w:r>
              <w:rPr>
                <w:rFonts w:hint="eastAsia" w:ascii="宋体" w:hAnsi="宋体"/>
                <w:color w:val="auto"/>
                <w:kern w:val="0"/>
                <w:szCs w:val="21"/>
                <w:highlight w:val="none"/>
              </w:rPr>
              <w:t>的投标文件，按照报价由低到高的顺序排序。</w:t>
            </w:r>
          </w:p>
          <w:p>
            <w:pPr>
              <w:spacing w:after="31" w:afterLines="10" w:line="400" w:lineRule="exact"/>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2.根据本章第2.2款约定进行符合性审查</w:t>
            </w:r>
            <w:r>
              <w:rPr>
                <w:rFonts w:hint="eastAsia" w:ascii="宋体" w:hAnsi="宋体"/>
                <w:color w:val="auto"/>
                <w:spacing w:val="4"/>
                <w:kern w:val="0"/>
                <w:szCs w:val="21"/>
                <w:highlight w:val="none"/>
              </w:rPr>
              <w:t>。符合性审查</w:t>
            </w:r>
            <w:r>
              <w:rPr>
                <w:rFonts w:hint="eastAsia" w:ascii="宋体" w:hAnsi="宋体"/>
                <w:color w:val="auto"/>
                <w:kern w:val="0"/>
                <w:szCs w:val="21"/>
                <w:highlight w:val="none"/>
              </w:rPr>
              <w:t>合格的</w:t>
            </w:r>
            <w:r>
              <w:rPr>
                <w:rFonts w:hint="eastAsia" w:ascii="宋体" w:hAnsi="宋体"/>
                <w:color w:val="auto"/>
                <w:kern w:val="0"/>
                <w:szCs w:val="21"/>
                <w:highlight w:val="none"/>
                <w:lang w:eastAsia="zh-CN"/>
              </w:rPr>
              <w:t>竞选人</w:t>
            </w:r>
            <w:r>
              <w:rPr>
                <w:rFonts w:hint="eastAsia" w:ascii="宋体" w:hAnsi="宋体"/>
                <w:color w:val="auto"/>
                <w:kern w:val="0"/>
                <w:szCs w:val="21"/>
                <w:highlight w:val="none"/>
              </w:rPr>
              <w:t>中，报价最低的成为第一中标候选人，报价次低的成为第二中标候选人，依次类推。</w:t>
            </w:r>
          </w:p>
          <w:p>
            <w:pPr>
              <w:spacing w:after="31" w:afterLines="10" w:line="400" w:lineRule="exact"/>
              <w:ind w:firstLine="420" w:firstLineChars="200"/>
              <w:jc w:val="left"/>
              <w:rPr>
                <w:rFonts w:ascii="宋体" w:hAnsi="宋体"/>
                <w:color w:val="auto"/>
                <w:kern w:val="0"/>
                <w:szCs w:val="21"/>
                <w:highlight w:val="none"/>
              </w:rPr>
            </w:pPr>
            <w:r>
              <w:rPr>
                <w:rFonts w:hint="eastAsia" w:ascii="宋体" w:hAnsi="宋体"/>
                <w:i/>
                <w:color w:val="auto"/>
                <w:kern w:val="0"/>
                <w:highlight w:val="none"/>
              </w:rPr>
              <w:t>[提示：勾选技术方案评审的，符合性审查应首先进行技术方案暗标评审，再按照资格、形式、响应性的顺序进行评审。]</w:t>
            </w:r>
          </w:p>
          <w:p>
            <w:pPr>
              <w:spacing w:after="31" w:afterLines="10" w:line="400" w:lineRule="exact"/>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w:t>
            </w:r>
            <w:r>
              <w:rPr>
                <w:rFonts w:hint="eastAsia" w:ascii="宋体" w:hAnsi="宋体"/>
                <w:color w:val="auto"/>
                <w:spacing w:val="4"/>
                <w:kern w:val="0"/>
                <w:szCs w:val="21"/>
                <w:highlight w:val="none"/>
              </w:rPr>
              <w:t>若上述程序未能评出三名中标候选人</w:t>
            </w:r>
            <w:r>
              <w:rPr>
                <w:rFonts w:hint="eastAsia" w:ascii="宋体" w:hAnsi="宋体"/>
                <w:color w:val="auto"/>
                <w:kern w:val="0"/>
                <w:szCs w:val="21"/>
                <w:highlight w:val="none"/>
              </w:rPr>
              <w:t>，则评标委员会对剩余投标文件继续按上述第2条进行评审，直至评出三名中标候选人，或者评审完所有投标文件。</w:t>
            </w:r>
          </w:p>
          <w:p>
            <w:pPr>
              <w:spacing w:after="31" w:afterLines="10" w:line="400" w:lineRule="exact"/>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w:t>
            </w:r>
            <w:r>
              <w:rPr>
                <w:rFonts w:hint="eastAsia"/>
                <w:color w:val="auto"/>
                <w:highlight w:val="none"/>
              </w:rPr>
              <w:t xml:space="preserve"> </w:t>
            </w:r>
            <w:r>
              <w:rPr>
                <w:rFonts w:hint="eastAsia" w:ascii="宋体" w:hAnsi="宋体"/>
                <w:color w:val="auto"/>
                <w:kern w:val="0"/>
                <w:szCs w:val="21"/>
                <w:highlight w:val="none"/>
              </w:rPr>
              <w:t>因评标委员会作否决投标处理，导致有效</w:t>
            </w:r>
            <w:r>
              <w:rPr>
                <w:rFonts w:hint="eastAsia" w:ascii="宋体" w:hAnsi="宋体"/>
                <w:color w:val="auto"/>
                <w:kern w:val="0"/>
                <w:szCs w:val="21"/>
                <w:highlight w:val="none"/>
                <w:lang w:eastAsia="zh-CN"/>
              </w:rPr>
              <w:t>竞选人</w:t>
            </w:r>
            <w:r>
              <w:rPr>
                <w:rFonts w:hint="eastAsia" w:ascii="宋体" w:hAnsi="宋体"/>
                <w:color w:val="auto"/>
                <w:kern w:val="0"/>
                <w:szCs w:val="21"/>
                <w:highlight w:val="none"/>
              </w:rPr>
              <w:t>不足三个的，评标委员会应当否决所有投标。但是有效</w:t>
            </w:r>
            <w:r>
              <w:rPr>
                <w:rFonts w:hint="eastAsia" w:ascii="宋体" w:hAnsi="宋体"/>
                <w:color w:val="auto"/>
                <w:kern w:val="0"/>
                <w:szCs w:val="21"/>
                <w:highlight w:val="none"/>
                <w:lang w:eastAsia="zh-CN"/>
              </w:rPr>
              <w:t>竞选人</w:t>
            </w:r>
            <w:r>
              <w:rPr>
                <w:rFonts w:hint="eastAsia" w:ascii="宋体" w:hAnsi="宋体"/>
                <w:color w:val="auto"/>
                <w:kern w:val="0"/>
                <w:szCs w:val="21"/>
                <w:highlight w:val="none"/>
              </w:rPr>
              <w:t>的经济、技术等指标仍然具有市场竞争力，并满足招标文件要求的，评标委员会可以继续评标并确定中标候选人。</w:t>
            </w:r>
          </w:p>
          <w:p>
            <w:pPr>
              <w:spacing w:after="31" w:afterLines="10" w:line="400" w:lineRule="exact"/>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注：若出现</w:t>
            </w:r>
            <w:r>
              <w:rPr>
                <w:rFonts w:hint="eastAsia" w:ascii="宋体" w:hAnsi="宋体"/>
                <w:color w:val="auto"/>
                <w:kern w:val="0"/>
                <w:szCs w:val="21"/>
                <w:highlight w:val="none"/>
                <w:lang w:eastAsia="zh-CN"/>
              </w:rPr>
              <w:t>竞选人</w:t>
            </w:r>
            <w:r>
              <w:rPr>
                <w:rFonts w:hint="eastAsia" w:ascii="宋体" w:hAnsi="宋体"/>
                <w:color w:val="auto"/>
                <w:kern w:val="0"/>
                <w:szCs w:val="21"/>
                <w:highlight w:val="none"/>
              </w:rPr>
              <w:t>投标报价相同的，以“</w:t>
            </w:r>
            <w:r>
              <w:rPr>
                <w:rFonts w:hint="eastAsia" w:ascii="宋体" w:hAnsi="宋体"/>
                <w:color w:val="auto"/>
                <w:kern w:val="0"/>
                <w:szCs w:val="21"/>
                <w:highlight w:val="none"/>
                <w:lang w:eastAsia="zh-CN"/>
              </w:rPr>
              <w:t>竞选人</w:t>
            </w:r>
            <w:r>
              <w:rPr>
                <w:rFonts w:hint="eastAsia" w:ascii="宋体" w:hAnsi="宋体"/>
                <w:color w:val="auto"/>
                <w:kern w:val="0"/>
                <w:szCs w:val="21"/>
                <w:highlight w:val="none"/>
              </w:rPr>
              <w:t>在红名单中优先”的原则排序</w:t>
            </w:r>
            <w:r>
              <w:rPr>
                <w:rFonts w:hint="eastAsia" w:ascii="宋体" w:hAnsi="宋体"/>
                <w:color w:val="auto"/>
                <w:spacing w:val="4"/>
                <w:kern w:val="0"/>
                <w:szCs w:val="21"/>
                <w:highlight w:val="none"/>
              </w:rPr>
              <w:t>（联合体投标的，须联合体牵头人在红名单中），</w:t>
            </w:r>
            <w:r>
              <w:rPr>
                <w:rFonts w:hint="eastAsia" w:ascii="宋体" w:hAnsi="宋体"/>
                <w:color w:val="auto"/>
                <w:spacing w:val="4"/>
                <w:kern w:val="0"/>
                <w:szCs w:val="21"/>
                <w:highlight w:val="none"/>
                <w:lang w:eastAsia="zh-CN"/>
              </w:rPr>
              <w:t>竞选人</w:t>
            </w:r>
            <w:r>
              <w:rPr>
                <w:rFonts w:hint="eastAsia" w:ascii="宋体" w:hAnsi="宋体"/>
                <w:color w:val="auto"/>
                <w:spacing w:val="4"/>
                <w:kern w:val="0"/>
                <w:szCs w:val="21"/>
                <w:highlight w:val="none"/>
              </w:rPr>
              <w:t>是否属于红名单，以开标环节信用状况查询结果为准</w:t>
            </w:r>
            <w:r>
              <w:rPr>
                <w:rFonts w:hint="eastAsia" w:ascii="宋体" w:hAnsi="宋体"/>
                <w:color w:val="auto"/>
                <w:kern w:val="0"/>
                <w:szCs w:val="21"/>
                <w:highlight w:val="none"/>
              </w:rPr>
              <w:t>；</w:t>
            </w:r>
            <w:r>
              <w:rPr>
                <w:rFonts w:hint="eastAsia" w:ascii="宋体" w:hAnsi="宋体"/>
                <w:color w:val="auto"/>
                <w:kern w:val="0"/>
                <w:szCs w:val="21"/>
                <w:highlight w:val="none"/>
                <w:lang w:eastAsia="zh-CN"/>
              </w:rPr>
              <w:t>竞选人</w:t>
            </w:r>
            <w:r>
              <w:rPr>
                <w:rFonts w:hint="eastAsia" w:ascii="宋体" w:hAnsi="宋体"/>
                <w:color w:val="auto"/>
                <w:kern w:val="0"/>
                <w:szCs w:val="21"/>
                <w:highlight w:val="none"/>
              </w:rPr>
              <w:t>均在红名单中</w:t>
            </w:r>
            <w:r>
              <w:rPr>
                <w:rFonts w:hint="eastAsia" w:ascii="宋体" w:hAnsi="宋体"/>
                <w:color w:val="auto"/>
                <w:spacing w:val="4"/>
                <w:kern w:val="0"/>
                <w:szCs w:val="21"/>
                <w:highlight w:val="none"/>
              </w:rPr>
              <w:t>或均不在红名单中的，由评标委员会按照</w:t>
            </w:r>
            <w:r>
              <w:rPr>
                <w:rFonts w:hint="eastAsia" w:ascii="宋体" w:hAnsi="宋体"/>
                <w:color w:val="auto"/>
                <w:spacing w:val="4"/>
                <w:kern w:val="0"/>
                <w:szCs w:val="21"/>
                <w:highlight w:val="none"/>
                <w:u w:val="single"/>
              </w:rPr>
              <w:t xml:space="preserve">  </w:t>
            </w:r>
            <w:r>
              <w:rPr>
                <w:rFonts w:hint="eastAsia" w:ascii="宋体" w:hAnsi="宋体"/>
                <w:color w:val="auto"/>
                <w:spacing w:val="4"/>
                <w:kern w:val="0"/>
                <w:szCs w:val="21"/>
                <w:highlight w:val="none"/>
                <w:u w:val="single"/>
                <w:lang w:val="en-US" w:eastAsia="zh-CN"/>
              </w:rPr>
              <w:t>投标表决</w:t>
            </w:r>
            <w:r>
              <w:rPr>
                <w:rFonts w:hint="eastAsia" w:ascii="宋体" w:hAnsi="宋体"/>
                <w:color w:val="auto"/>
                <w:spacing w:val="4"/>
                <w:kern w:val="0"/>
                <w:szCs w:val="21"/>
                <w:highlight w:val="none"/>
                <w:u w:val="single"/>
              </w:rPr>
              <w:t xml:space="preserve">   </w:t>
            </w:r>
            <w:r>
              <w:rPr>
                <w:rFonts w:hint="eastAsia" w:ascii="宋体" w:hAnsi="宋体"/>
                <w:color w:val="auto"/>
                <w:spacing w:val="4"/>
                <w:kern w:val="0"/>
                <w:szCs w:val="21"/>
                <w:highlight w:val="none"/>
              </w:rPr>
              <w:t>原则排序。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82" w:hRule="atLeast"/>
          <w:jc w:val="center"/>
        </w:trPr>
        <w:tc>
          <w:tcPr>
            <w:tcW w:w="1243" w:type="dxa"/>
            <w:tcBorders>
              <w:right w:val="single" w:color="auto" w:sz="4" w:space="0"/>
            </w:tcBorders>
            <w:vAlign w:val="center"/>
          </w:tcPr>
          <w:p>
            <w:pPr>
              <w:spacing w:line="400" w:lineRule="exact"/>
              <w:jc w:val="center"/>
              <w:rPr>
                <w:rFonts w:ascii="宋体" w:hAnsi="宋体"/>
                <w:color w:val="auto"/>
                <w:highlight w:val="none"/>
              </w:rPr>
            </w:pPr>
            <w:r>
              <w:rPr>
                <w:rFonts w:hint="eastAsia" w:ascii="宋体" w:hAnsi="宋体"/>
                <w:color w:val="auto"/>
                <w:highlight w:val="none"/>
              </w:rPr>
              <w:t>3.4</w:t>
            </w:r>
          </w:p>
        </w:tc>
        <w:tc>
          <w:tcPr>
            <w:tcW w:w="1560" w:type="dxa"/>
            <w:tcBorders>
              <w:left w:val="single" w:color="auto" w:sz="4" w:space="0"/>
              <w:right w:val="single" w:color="auto" w:sz="4" w:space="0"/>
            </w:tcBorders>
            <w:vAlign w:val="center"/>
          </w:tcPr>
          <w:p>
            <w:pPr>
              <w:spacing w:line="400" w:lineRule="exact"/>
              <w:jc w:val="center"/>
              <w:rPr>
                <w:rFonts w:ascii="宋体" w:hAnsi="宋体"/>
                <w:color w:val="auto"/>
                <w:highlight w:val="none"/>
              </w:rPr>
            </w:pPr>
            <w:r>
              <w:rPr>
                <w:rFonts w:ascii="宋体" w:hAnsi="宋体"/>
                <w:color w:val="auto"/>
                <w:highlight w:val="none"/>
              </w:rPr>
              <w:t>评标结果</w:t>
            </w:r>
          </w:p>
        </w:tc>
        <w:tc>
          <w:tcPr>
            <w:tcW w:w="6882" w:type="dxa"/>
            <w:gridSpan w:val="3"/>
            <w:tcBorders>
              <w:left w:val="single" w:color="auto" w:sz="4" w:space="0"/>
            </w:tcBorders>
            <w:vAlign w:val="center"/>
          </w:tcPr>
          <w:p>
            <w:pPr>
              <w:autoSpaceDE w:val="0"/>
              <w:autoSpaceDN w:val="0"/>
              <w:adjustRightInd w:val="0"/>
              <w:snapToGrid w:val="0"/>
              <w:spacing w:line="400" w:lineRule="exact"/>
              <w:ind w:firstLine="420"/>
              <w:jc w:val="left"/>
              <w:rPr>
                <w:rFonts w:ascii="宋体" w:hAnsi="宋体"/>
                <w:color w:val="auto"/>
                <w:kern w:val="0"/>
                <w:szCs w:val="21"/>
                <w:highlight w:val="none"/>
              </w:rPr>
            </w:pPr>
            <w:r>
              <w:rPr>
                <w:rFonts w:ascii="宋体" w:hAnsi="宋体"/>
                <w:color w:val="auto"/>
                <w:kern w:val="0"/>
                <w:szCs w:val="21"/>
                <w:highlight w:val="none"/>
              </w:rPr>
              <w:t>3.</w:t>
            </w:r>
            <w:r>
              <w:rPr>
                <w:rFonts w:ascii="宋体" w:hAnsi="宋体"/>
                <w:color w:val="auto"/>
                <w:spacing w:val="-1"/>
                <w:kern w:val="0"/>
                <w:szCs w:val="21"/>
                <w:highlight w:val="none"/>
              </w:rPr>
              <w:t>4</w:t>
            </w:r>
            <w:r>
              <w:rPr>
                <w:rFonts w:ascii="宋体" w:hAnsi="宋体"/>
                <w:color w:val="auto"/>
                <w:kern w:val="0"/>
                <w:szCs w:val="21"/>
                <w:highlight w:val="none"/>
              </w:rPr>
              <w:t>.1</w:t>
            </w:r>
            <w:r>
              <w:rPr>
                <w:rFonts w:hint="eastAsia" w:ascii="宋体" w:hAnsi="宋体"/>
                <w:color w:val="auto"/>
                <w:kern w:val="0"/>
                <w:szCs w:val="21"/>
                <w:highlight w:val="none"/>
              </w:rPr>
              <w:t xml:space="preserve"> </w:t>
            </w:r>
            <w:r>
              <w:rPr>
                <w:rFonts w:ascii="宋体" w:hAnsi="宋体"/>
                <w:color w:val="auto"/>
                <w:kern w:val="0"/>
                <w:szCs w:val="21"/>
                <w:highlight w:val="none"/>
              </w:rPr>
              <w:t>除第二章“</w:t>
            </w:r>
            <w:r>
              <w:rPr>
                <w:rFonts w:hint="eastAsia" w:ascii="宋体" w:hAnsi="宋体"/>
                <w:color w:val="auto"/>
                <w:kern w:val="0"/>
                <w:szCs w:val="21"/>
                <w:highlight w:val="none"/>
                <w:lang w:eastAsia="zh-CN"/>
              </w:rPr>
              <w:t>竞选人须知</w:t>
            </w:r>
            <w:r>
              <w:rPr>
                <w:rFonts w:ascii="宋体" w:hAnsi="宋体"/>
                <w:color w:val="auto"/>
                <w:kern w:val="0"/>
                <w:szCs w:val="21"/>
                <w:highlight w:val="none"/>
              </w:rPr>
              <w:t>”前</w:t>
            </w:r>
            <w:r>
              <w:rPr>
                <w:rFonts w:ascii="宋体" w:hAnsi="宋体"/>
                <w:color w:val="auto"/>
                <w:spacing w:val="1"/>
                <w:kern w:val="0"/>
                <w:szCs w:val="21"/>
                <w:highlight w:val="none"/>
              </w:rPr>
              <w:t>附</w:t>
            </w:r>
            <w:r>
              <w:rPr>
                <w:rFonts w:ascii="宋体" w:hAnsi="宋体"/>
                <w:color w:val="auto"/>
                <w:kern w:val="0"/>
                <w:szCs w:val="21"/>
                <w:highlight w:val="none"/>
              </w:rPr>
              <w:t>表授权直</w:t>
            </w:r>
            <w:r>
              <w:rPr>
                <w:rFonts w:ascii="宋体" w:hAnsi="宋体"/>
                <w:color w:val="auto"/>
                <w:spacing w:val="1"/>
                <w:kern w:val="0"/>
                <w:szCs w:val="21"/>
                <w:highlight w:val="none"/>
              </w:rPr>
              <w:t>接</w:t>
            </w:r>
            <w:r>
              <w:rPr>
                <w:rFonts w:ascii="宋体" w:hAnsi="宋体"/>
                <w:color w:val="auto"/>
                <w:kern w:val="0"/>
                <w:szCs w:val="21"/>
                <w:highlight w:val="none"/>
              </w:rPr>
              <w:t>确定中标</w:t>
            </w:r>
            <w:r>
              <w:rPr>
                <w:rFonts w:ascii="宋体" w:hAnsi="宋体"/>
                <w:color w:val="auto"/>
                <w:spacing w:val="1"/>
                <w:kern w:val="0"/>
                <w:szCs w:val="21"/>
                <w:highlight w:val="none"/>
              </w:rPr>
              <w:t>人</w:t>
            </w:r>
            <w:r>
              <w:rPr>
                <w:rFonts w:ascii="宋体" w:hAnsi="宋体"/>
                <w:color w:val="auto"/>
                <w:kern w:val="0"/>
                <w:szCs w:val="21"/>
                <w:highlight w:val="none"/>
              </w:rPr>
              <w:t>外，评标</w:t>
            </w:r>
            <w:r>
              <w:rPr>
                <w:rFonts w:ascii="宋体" w:hAnsi="宋体"/>
                <w:color w:val="auto"/>
                <w:spacing w:val="1"/>
                <w:kern w:val="0"/>
                <w:szCs w:val="21"/>
                <w:highlight w:val="none"/>
              </w:rPr>
              <w:t>委</w:t>
            </w:r>
            <w:r>
              <w:rPr>
                <w:rFonts w:ascii="宋体" w:hAnsi="宋体"/>
                <w:color w:val="auto"/>
                <w:kern w:val="0"/>
                <w:szCs w:val="21"/>
                <w:highlight w:val="none"/>
              </w:rPr>
              <w:t>员会</w:t>
            </w:r>
            <w:r>
              <w:rPr>
                <w:rFonts w:hint="eastAsia" w:ascii="宋体" w:hAnsi="宋体"/>
                <w:color w:val="auto"/>
                <w:kern w:val="0"/>
                <w:szCs w:val="21"/>
                <w:highlight w:val="none"/>
              </w:rPr>
              <w:t>按经评审的最低投标价法</w:t>
            </w:r>
            <w:r>
              <w:rPr>
                <w:rFonts w:ascii="宋体" w:hAnsi="宋体"/>
                <w:color w:val="auto"/>
                <w:kern w:val="0"/>
                <w:szCs w:val="21"/>
                <w:highlight w:val="none"/>
              </w:rPr>
              <w:t>推荐中标候选人。</w:t>
            </w:r>
          </w:p>
          <w:p>
            <w:pPr>
              <w:spacing w:line="400" w:lineRule="exact"/>
              <w:ind w:firstLine="424" w:firstLineChars="200"/>
              <w:rPr>
                <w:rFonts w:ascii="宋体" w:hAnsi="宋体"/>
                <w:color w:val="auto"/>
                <w:highlight w:val="none"/>
              </w:rPr>
            </w:pPr>
            <w:r>
              <w:rPr>
                <w:rFonts w:ascii="宋体" w:hAnsi="宋体"/>
                <w:color w:val="auto"/>
                <w:spacing w:val="1"/>
                <w:kern w:val="0"/>
                <w:szCs w:val="21"/>
                <w:highlight w:val="none"/>
              </w:rPr>
              <w:t>3</w:t>
            </w:r>
            <w:r>
              <w:rPr>
                <w:rFonts w:ascii="宋体" w:hAnsi="宋体"/>
                <w:color w:val="auto"/>
                <w:kern w:val="0"/>
                <w:szCs w:val="21"/>
                <w:highlight w:val="none"/>
              </w:rPr>
              <w:t>.4.2</w:t>
            </w:r>
            <w:r>
              <w:rPr>
                <w:rFonts w:hint="eastAsia" w:ascii="宋体" w:hAnsi="宋体"/>
                <w:color w:val="auto"/>
                <w:kern w:val="0"/>
                <w:szCs w:val="21"/>
                <w:highlight w:val="none"/>
              </w:rPr>
              <w:t xml:space="preserve"> </w:t>
            </w:r>
            <w:r>
              <w:rPr>
                <w:rFonts w:ascii="宋体" w:hAnsi="宋体"/>
                <w:color w:val="auto"/>
                <w:kern w:val="0"/>
                <w:szCs w:val="21"/>
                <w:highlight w:val="none"/>
              </w:rPr>
              <w:t>评标</w:t>
            </w:r>
            <w:r>
              <w:rPr>
                <w:rFonts w:ascii="宋体" w:hAnsi="宋体"/>
                <w:color w:val="auto"/>
                <w:spacing w:val="-1"/>
                <w:kern w:val="0"/>
                <w:szCs w:val="21"/>
                <w:highlight w:val="none"/>
              </w:rPr>
              <w:t>委</w:t>
            </w:r>
            <w:r>
              <w:rPr>
                <w:rFonts w:ascii="宋体" w:hAnsi="宋体"/>
                <w:color w:val="auto"/>
                <w:kern w:val="0"/>
                <w:szCs w:val="21"/>
                <w:highlight w:val="none"/>
              </w:rPr>
              <w:t>员会完成评标后，应当向</w:t>
            </w:r>
            <w:r>
              <w:rPr>
                <w:rFonts w:hint="eastAsia" w:ascii="宋体" w:hAnsi="宋体"/>
                <w:color w:val="auto"/>
                <w:kern w:val="0"/>
                <w:szCs w:val="21"/>
                <w:highlight w:val="none"/>
                <w:lang w:eastAsia="zh-CN"/>
              </w:rPr>
              <w:t>比选人</w:t>
            </w:r>
            <w:r>
              <w:rPr>
                <w:rFonts w:ascii="宋体" w:hAnsi="宋体"/>
                <w:color w:val="auto"/>
                <w:kern w:val="0"/>
                <w:szCs w:val="21"/>
                <w:highlight w:val="none"/>
              </w:rPr>
              <w:t>提交书面评标报告。</w:t>
            </w:r>
          </w:p>
        </w:tc>
      </w:tr>
    </w:tbl>
    <w:p>
      <w:pPr>
        <w:pStyle w:val="4"/>
        <w:spacing w:before="0" w:after="0" w:line="360" w:lineRule="auto"/>
        <w:rPr>
          <w:rFonts w:ascii="宋体" w:hAnsi="宋体"/>
          <w:bCs w:val="0"/>
          <w:snapToGrid w:val="0"/>
          <w:color w:val="auto"/>
          <w:highlight w:val="none"/>
        </w:rPr>
      </w:pPr>
      <w:r>
        <w:rPr>
          <w:rFonts w:ascii="宋体" w:hAnsi="宋体"/>
          <w:bCs w:val="0"/>
          <w:snapToGrid w:val="0"/>
          <w:color w:val="auto"/>
          <w:highlight w:val="none"/>
        </w:rPr>
        <w:br w:type="page"/>
      </w:r>
      <w:bookmarkStart w:id="308" w:name="_Toc12666"/>
      <w:bookmarkStart w:id="309" w:name="_Toc27750"/>
      <w:bookmarkStart w:id="310" w:name="_Toc57905886"/>
      <w:bookmarkStart w:id="311" w:name="_Toc13566"/>
      <w:r>
        <w:rPr>
          <w:rFonts w:ascii="宋体" w:hAnsi="宋体"/>
          <w:b w:val="0"/>
          <w:snapToGrid w:val="0"/>
          <w:color w:val="auto"/>
          <w:highlight w:val="none"/>
        </w:rPr>
        <w:t>1.  评标方法</w:t>
      </w:r>
      <w:bookmarkEnd w:id="308"/>
      <w:bookmarkEnd w:id="309"/>
      <w:bookmarkEnd w:id="310"/>
      <w:bookmarkEnd w:id="311"/>
    </w:p>
    <w:p>
      <w:pPr>
        <w:spacing w:line="360" w:lineRule="auto"/>
        <w:ind w:firstLine="420" w:firstLineChars="200"/>
        <w:rPr>
          <w:rFonts w:ascii="宋体" w:hAnsi="宋体"/>
          <w:color w:val="auto"/>
          <w:highlight w:val="none"/>
        </w:rPr>
      </w:pPr>
      <w:r>
        <w:rPr>
          <w:rFonts w:hint="eastAsia" w:ascii="宋体" w:hAnsi="宋体"/>
          <w:color w:val="auto"/>
          <w:highlight w:val="none"/>
        </w:rPr>
        <w:t>本次评标采用经评审的最低投标价法，评标委员会按照本章第2.1款进行报价排序，按照本章第2.2款进行符合性审查，符合性审查合格的</w:t>
      </w:r>
      <w:r>
        <w:rPr>
          <w:rFonts w:hint="eastAsia" w:ascii="宋体" w:hAnsi="宋体"/>
          <w:color w:val="auto"/>
          <w:highlight w:val="none"/>
          <w:lang w:eastAsia="zh-CN"/>
        </w:rPr>
        <w:t>竞选人</w:t>
      </w:r>
      <w:r>
        <w:rPr>
          <w:rFonts w:hint="eastAsia" w:ascii="宋体" w:hAnsi="宋体"/>
          <w:color w:val="auto"/>
          <w:highlight w:val="none"/>
        </w:rPr>
        <w:t>中按报价由低到高推荐中标候选人，或根据</w:t>
      </w:r>
      <w:r>
        <w:rPr>
          <w:rFonts w:hint="eastAsia" w:ascii="宋体" w:hAnsi="宋体"/>
          <w:color w:val="auto"/>
          <w:highlight w:val="none"/>
          <w:lang w:eastAsia="zh-CN"/>
        </w:rPr>
        <w:t>比选人</w:t>
      </w:r>
      <w:r>
        <w:rPr>
          <w:rFonts w:hint="eastAsia" w:ascii="宋体" w:hAnsi="宋体"/>
          <w:color w:val="auto"/>
          <w:highlight w:val="none"/>
        </w:rPr>
        <w:t>授权直接确定中标人。若出现</w:t>
      </w:r>
      <w:r>
        <w:rPr>
          <w:rFonts w:hint="eastAsia" w:ascii="宋体" w:hAnsi="宋体"/>
          <w:color w:val="auto"/>
          <w:highlight w:val="none"/>
          <w:lang w:eastAsia="zh-CN"/>
        </w:rPr>
        <w:t>竞选人</w:t>
      </w:r>
      <w:r>
        <w:rPr>
          <w:rFonts w:hint="eastAsia" w:ascii="宋体" w:hAnsi="宋体"/>
          <w:color w:val="auto"/>
          <w:highlight w:val="none"/>
        </w:rPr>
        <w:t>投标报价相同的，以评标办法前附表约定的原则确定排序。</w:t>
      </w:r>
    </w:p>
    <w:p>
      <w:pPr>
        <w:pStyle w:val="4"/>
        <w:spacing w:before="0" w:after="0" w:line="360" w:lineRule="auto"/>
        <w:rPr>
          <w:rFonts w:ascii="宋体" w:hAnsi="宋体"/>
          <w:b w:val="0"/>
          <w:snapToGrid w:val="0"/>
          <w:color w:val="auto"/>
          <w:highlight w:val="none"/>
        </w:rPr>
      </w:pPr>
      <w:bookmarkStart w:id="312" w:name="_Toc22016"/>
      <w:bookmarkStart w:id="313" w:name="_Toc57905887"/>
      <w:bookmarkStart w:id="314" w:name="_Toc24923"/>
      <w:bookmarkStart w:id="315" w:name="_Toc20502"/>
      <w:r>
        <w:rPr>
          <w:rFonts w:ascii="宋体" w:hAnsi="宋体"/>
          <w:b w:val="0"/>
          <w:snapToGrid w:val="0"/>
          <w:color w:val="auto"/>
          <w:highlight w:val="none"/>
        </w:rPr>
        <w:t>2.  评审标准</w:t>
      </w:r>
      <w:bookmarkEnd w:id="312"/>
      <w:bookmarkEnd w:id="313"/>
      <w:bookmarkEnd w:id="314"/>
      <w:bookmarkEnd w:id="315"/>
    </w:p>
    <w:p>
      <w:pPr>
        <w:pStyle w:val="5"/>
        <w:spacing w:before="0" w:after="0" w:line="360" w:lineRule="auto"/>
        <w:rPr>
          <w:rFonts w:ascii="宋体" w:hAnsi="宋体" w:cs="宋体"/>
          <w:color w:val="auto"/>
          <w:sz w:val="21"/>
          <w:szCs w:val="21"/>
          <w:highlight w:val="none"/>
        </w:rPr>
      </w:pPr>
      <w:bookmarkStart w:id="316" w:name="_Toc3739"/>
      <w:bookmarkStart w:id="317" w:name="_Toc57905888"/>
      <w:bookmarkStart w:id="318" w:name="_Toc24029"/>
      <w:bookmarkStart w:id="319" w:name="_Toc27721"/>
      <w:r>
        <w:rPr>
          <w:rFonts w:ascii="宋体" w:hAnsi="宋体" w:cs="宋体"/>
          <w:color w:val="auto"/>
          <w:sz w:val="21"/>
          <w:szCs w:val="21"/>
          <w:highlight w:val="none"/>
        </w:rPr>
        <w:t>2.1</w:t>
      </w:r>
      <w:r>
        <w:rPr>
          <w:rFonts w:hint="eastAsia" w:ascii="宋体" w:hAnsi="宋体" w:cs="宋体"/>
          <w:color w:val="auto"/>
          <w:sz w:val="21"/>
          <w:szCs w:val="21"/>
          <w:highlight w:val="none"/>
        </w:rPr>
        <w:t>报价</w:t>
      </w:r>
      <w:r>
        <w:rPr>
          <w:rFonts w:ascii="宋体" w:hAnsi="宋体" w:cs="宋体"/>
          <w:color w:val="auto"/>
          <w:sz w:val="21"/>
          <w:szCs w:val="21"/>
          <w:highlight w:val="none"/>
        </w:rPr>
        <w:t>排序</w:t>
      </w:r>
      <w:bookmarkEnd w:id="316"/>
      <w:r>
        <w:rPr>
          <w:rFonts w:hint="eastAsia" w:ascii="宋体" w:hAnsi="宋体" w:cs="宋体"/>
          <w:color w:val="auto"/>
          <w:sz w:val="21"/>
          <w:szCs w:val="21"/>
          <w:highlight w:val="none"/>
        </w:rPr>
        <w:t>标准</w:t>
      </w:r>
      <w:bookmarkEnd w:id="317"/>
      <w:bookmarkEnd w:id="318"/>
      <w:bookmarkEnd w:id="319"/>
    </w:p>
    <w:p>
      <w:pPr>
        <w:autoSpaceDE w:val="0"/>
        <w:autoSpaceDN w:val="0"/>
        <w:adjustRightInd w:val="0"/>
        <w:snapToGrid w:val="0"/>
        <w:spacing w:line="360" w:lineRule="auto"/>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见评标办法前附表。</w:t>
      </w:r>
    </w:p>
    <w:p>
      <w:pPr>
        <w:pStyle w:val="5"/>
        <w:spacing w:before="0" w:after="0" w:line="360" w:lineRule="auto"/>
        <w:rPr>
          <w:rFonts w:ascii="宋体" w:hAnsi="宋体" w:cs="宋体"/>
          <w:color w:val="auto"/>
          <w:sz w:val="21"/>
          <w:szCs w:val="21"/>
          <w:highlight w:val="none"/>
        </w:rPr>
      </w:pPr>
      <w:bookmarkStart w:id="320" w:name="_Toc16832"/>
      <w:bookmarkStart w:id="321" w:name="_Toc7449"/>
      <w:bookmarkStart w:id="322" w:name="_Toc12020"/>
      <w:bookmarkStart w:id="323" w:name="_Toc57905889"/>
      <w:r>
        <w:rPr>
          <w:rFonts w:ascii="宋体" w:hAnsi="宋体" w:cs="宋体"/>
          <w:color w:val="auto"/>
          <w:sz w:val="21"/>
          <w:szCs w:val="21"/>
          <w:highlight w:val="none"/>
        </w:rPr>
        <w:t>2.</w:t>
      </w:r>
      <w:r>
        <w:rPr>
          <w:rFonts w:hint="eastAsia" w:ascii="宋体" w:hAnsi="宋体" w:cs="宋体"/>
          <w:color w:val="auto"/>
          <w:sz w:val="21"/>
          <w:szCs w:val="21"/>
          <w:highlight w:val="none"/>
        </w:rPr>
        <w:t>2符合性审查</w:t>
      </w:r>
      <w:bookmarkEnd w:id="320"/>
      <w:r>
        <w:rPr>
          <w:rFonts w:hint="eastAsia" w:ascii="宋体" w:hAnsi="宋体" w:cs="宋体"/>
          <w:color w:val="auto"/>
          <w:sz w:val="21"/>
          <w:szCs w:val="21"/>
          <w:highlight w:val="none"/>
        </w:rPr>
        <w:t>标准</w:t>
      </w:r>
      <w:bookmarkEnd w:id="321"/>
      <w:bookmarkEnd w:id="322"/>
      <w:bookmarkEnd w:id="323"/>
    </w:p>
    <w:p>
      <w:pPr>
        <w:autoSpaceDE w:val="0"/>
        <w:autoSpaceDN w:val="0"/>
        <w:adjustRightInd w:val="0"/>
        <w:snapToGrid w:val="0"/>
        <w:spacing w:line="360" w:lineRule="auto"/>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按评标办法前附表约定的投标单位报价排序数量进行符合性审查</w:t>
      </w:r>
      <w:r>
        <w:rPr>
          <w:rFonts w:hint="eastAsia" w:ascii="宋体" w:hAnsi="宋体"/>
          <w:color w:val="auto"/>
          <w:spacing w:val="4"/>
          <w:kern w:val="0"/>
          <w:szCs w:val="21"/>
          <w:highlight w:val="none"/>
        </w:rPr>
        <w:t>。符合性审查内容：技术方案评审（如有）、资格评审、形式评审、响应性评审。</w:t>
      </w:r>
    </w:p>
    <w:p>
      <w:pPr>
        <w:autoSpaceDE w:val="0"/>
        <w:autoSpaceDN w:val="0"/>
        <w:adjustRightInd w:val="0"/>
        <w:snapToGrid w:val="0"/>
        <w:spacing w:line="360" w:lineRule="auto"/>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2.2.1  技术方案评审标准：见评标办法前附表。</w:t>
      </w:r>
    </w:p>
    <w:p>
      <w:pPr>
        <w:autoSpaceDE w:val="0"/>
        <w:autoSpaceDN w:val="0"/>
        <w:adjustRightInd w:val="0"/>
        <w:snapToGrid w:val="0"/>
        <w:spacing w:line="360" w:lineRule="auto"/>
        <w:ind w:firstLine="420" w:firstLineChars="200"/>
        <w:jc w:val="left"/>
        <w:rPr>
          <w:rFonts w:ascii="宋体" w:hAnsi="宋体" w:cs="宋体"/>
          <w:color w:val="auto"/>
          <w:szCs w:val="21"/>
          <w:highlight w:val="none"/>
        </w:rPr>
      </w:pPr>
      <w:r>
        <w:rPr>
          <w:rFonts w:ascii="宋体" w:hAnsi="宋体" w:cs="宋体"/>
          <w:color w:val="auto"/>
          <w:szCs w:val="21"/>
          <w:highlight w:val="none"/>
        </w:rPr>
        <w:t>2.</w:t>
      </w:r>
      <w:r>
        <w:rPr>
          <w:rFonts w:hint="eastAsia" w:ascii="宋体" w:hAnsi="宋体" w:cs="宋体"/>
          <w:color w:val="auto"/>
          <w:szCs w:val="21"/>
          <w:highlight w:val="none"/>
        </w:rPr>
        <w:t>2</w:t>
      </w:r>
      <w:r>
        <w:rPr>
          <w:rFonts w:ascii="宋体" w:hAnsi="宋体" w:cs="宋体"/>
          <w:color w:val="auto"/>
          <w:szCs w:val="21"/>
          <w:highlight w:val="none"/>
        </w:rPr>
        <w:t>.</w:t>
      </w:r>
      <w:r>
        <w:rPr>
          <w:rFonts w:hint="eastAsia" w:ascii="宋体" w:hAnsi="宋体" w:cs="宋体"/>
          <w:color w:val="auto"/>
          <w:szCs w:val="21"/>
          <w:highlight w:val="none"/>
        </w:rPr>
        <w:t>2A  资格评审标准：见资格预审文件第三章“资格审查办法”详细审查标准（适用于已进行资格预审的）。</w:t>
      </w:r>
    </w:p>
    <w:p>
      <w:pPr>
        <w:autoSpaceDE w:val="0"/>
        <w:autoSpaceDN w:val="0"/>
        <w:adjustRightInd w:val="0"/>
        <w:snapToGrid w:val="0"/>
        <w:spacing w:line="360" w:lineRule="auto"/>
        <w:ind w:firstLine="420" w:firstLineChars="200"/>
        <w:jc w:val="left"/>
        <w:rPr>
          <w:rFonts w:ascii="宋体" w:hAnsi="宋体" w:cs="宋体"/>
          <w:color w:val="auto"/>
          <w:szCs w:val="21"/>
          <w:highlight w:val="none"/>
        </w:rPr>
      </w:pPr>
      <w:r>
        <w:rPr>
          <w:rFonts w:ascii="宋体" w:hAnsi="宋体" w:cs="宋体"/>
          <w:color w:val="auto"/>
          <w:szCs w:val="21"/>
          <w:highlight w:val="none"/>
        </w:rPr>
        <w:t>2.</w:t>
      </w:r>
      <w:r>
        <w:rPr>
          <w:rFonts w:hint="eastAsia" w:ascii="宋体" w:hAnsi="宋体" w:cs="宋体"/>
          <w:color w:val="auto"/>
          <w:szCs w:val="21"/>
          <w:highlight w:val="none"/>
        </w:rPr>
        <w:t>2</w:t>
      </w:r>
      <w:r>
        <w:rPr>
          <w:rFonts w:ascii="宋体" w:hAnsi="宋体" w:cs="宋体"/>
          <w:color w:val="auto"/>
          <w:szCs w:val="21"/>
          <w:highlight w:val="none"/>
        </w:rPr>
        <w:t>.</w:t>
      </w:r>
      <w:r>
        <w:rPr>
          <w:rFonts w:hint="eastAsia" w:ascii="宋体" w:hAnsi="宋体" w:cs="宋体"/>
          <w:color w:val="auto"/>
          <w:szCs w:val="21"/>
          <w:highlight w:val="none"/>
        </w:rPr>
        <w:t>2B  资格评审标准：见评标办法前附表（适用于未进行资格预审的）。</w:t>
      </w:r>
    </w:p>
    <w:p>
      <w:pPr>
        <w:autoSpaceDE w:val="0"/>
        <w:autoSpaceDN w:val="0"/>
        <w:adjustRightInd w:val="0"/>
        <w:snapToGrid w:val="0"/>
        <w:spacing w:line="360" w:lineRule="auto"/>
        <w:ind w:firstLine="420" w:firstLineChars="200"/>
        <w:jc w:val="left"/>
        <w:rPr>
          <w:rFonts w:ascii="宋体" w:hAnsi="宋体" w:cs="宋体"/>
          <w:color w:val="auto"/>
          <w:szCs w:val="21"/>
          <w:highlight w:val="none"/>
        </w:rPr>
      </w:pPr>
      <w:r>
        <w:rPr>
          <w:rFonts w:ascii="宋体" w:hAnsi="宋体" w:cs="宋体"/>
          <w:color w:val="auto"/>
          <w:szCs w:val="21"/>
          <w:highlight w:val="none"/>
        </w:rPr>
        <w:t>2.</w:t>
      </w:r>
      <w:r>
        <w:rPr>
          <w:rFonts w:hint="eastAsia" w:ascii="宋体" w:hAnsi="宋体" w:cs="宋体"/>
          <w:color w:val="auto"/>
          <w:szCs w:val="21"/>
          <w:highlight w:val="none"/>
        </w:rPr>
        <w:t>2</w:t>
      </w:r>
      <w:r>
        <w:rPr>
          <w:rFonts w:ascii="宋体" w:hAnsi="宋体" w:cs="宋体"/>
          <w:color w:val="auto"/>
          <w:szCs w:val="21"/>
          <w:highlight w:val="none"/>
        </w:rPr>
        <w:t>.</w:t>
      </w:r>
      <w:r>
        <w:rPr>
          <w:rFonts w:hint="eastAsia" w:ascii="宋体" w:hAnsi="宋体" w:cs="宋体"/>
          <w:color w:val="auto"/>
          <w:szCs w:val="21"/>
          <w:highlight w:val="none"/>
        </w:rPr>
        <w:t>3  形式评审标准：见评标办法前附表。</w:t>
      </w:r>
    </w:p>
    <w:p>
      <w:pPr>
        <w:autoSpaceDE w:val="0"/>
        <w:autoSpaceDN w:val="0"/>
        <w:adjustRightInd w:val="0"/>
        <w:snapToGrid w:val="0"/>
        <w:spacing w:line="360" w:lineRule="auto"/>
        <w:ind w:firstLine="420" w:firstLineChars="200"/>
        <w:jc w:val="left"/>
        <w:rPr>
          <w:rFonts w:ascii="宋体" w:hAnsi="宋体" w:cs="宋体"/>
          <w:color w:val="auto"/>
          <w:szCs w:val="21"/>
          <w:highlight w:val="none"/>
        </w:rPr>
      </w:pPr>
      <w:r>
        <w:rPr>
          <w:rFonts w:ascii="宋体" w:hAnsi="宋体" w:cs="宋体"/>
          <w:color w:val="auto"/>
          <w:szCs w:val="21"/>
          <w:highlight w:val="none"/>
        </w:rPr>
        <w:t>2.</w:t>
      </w:r>
      <w:r>
        <w:rPr>
          <w:rFonts w:hint="eastAsia" w:ascii="宋体" w:hAnsi="宋体" w:cs="宋体"/>
          <w:color w:val="auto"/>
          <w:szCs w:val="21"/>
          <w:highlight w:val="none"/>
        </w:rPr>
        <w:t>2</w:t>
      </w:r>
      <w:r>
        <w:rPr>
          <w:rFonts w:ascii="宋体" w:hAnsi="宋体" w:cs="宋体"/>
          <w:color w:val="auto"/>
          <w:szCs w:val="21"/>
          <w:highlight w:val="none"/>
        </w:rPr>
        <w:t>.</w:t>
      </w:r>
      <w:r>
        <w:rPr>
          <w:rFonts w:hint="eastAsia" w:ascii="宋体" w:hAnsi="宋体" w:cs="宋体"/>
          <w:color w:val="auto"/>
          <w:szCs w:val="21"/>
          <w:highlight w:val="none"/>
        </w:rPr>
        <w:t>4  响应性评审标准：见评标办法前附表。</w:t>
      </w:r>
    </w:p>
    <w:p>
      <w:pPr>
        <w:pStyle w:val="4"/>
        <w:spacing w:before="0" w:after="0" w:line="360" w:lineRule="auto"/>
        <w:rPr>
          <w:rFonts w:ascii="宋体" w:hAnsi="宋体"/>
          <w:b w:val="0"/>
          <w:snapToGrid w:val="0"/>
          <w:color w:val="auto"/>
          <w:highlight w:val="none"/>
        </w:rPr>
      </w:pPr>
      <w:bookmarkStart w:id="324" w:name="_Toc6630"/>
      <w:bookmarkStart w:id="325" w:name="_Toc57905890"/>
      <w:bookmarkStart w:id="326" w:name="_Toc30094"/>
      <w:bookmarkStart w:id="327" w:name="_Toc16910"/>
      <w:r>
        <w:rPr>
          <w:rFonts w:ascii="宋体" w:hAnsi="宋体"/>
          <w:b w:val="0"/>
          <w:snapToGrid w:val="0"/>
          <w:color w:val="auto"/>
          <w:highlight w:val="none"/>
        </w:rPr>
        <w:t>3.  评标程序</w:t>
      </w:r>
      <w:bookmarkEnd w:id="324"/>
      <w:bookmarkEnd w:id="325"/>
      <w:bookmarkEnd w:id="326"/>
      <w:bookmarkEnd w:id="327"/>
    </w:p>
    <w:p>
      <w:pPr>
        <w:pStyle w:val="5"/>
        <w:spacing w:before="0" w:after="0" w:line="360" w:lineRule="auto"/>
        <w:rPr>
          <w:rFonts w:ascii="宋体" w:hAnsi="宋体" w:cs="宋体"/>
          <w:color w:val="auto"/>
          <w:sz w:val="21"/>
          <w:szCs w:val="21"/>
          <w:highlight w:val="none"/>
        </w:rPr>
      </w:pPr>
      <w:bookmarkStart w:id="328" w:name="_Toc17317"/>
      <w:bookmarkStart w:id="329" w:name="_Toc19555"/>
      <w:bookmarkStart w:id="330" w:name="_Toc57905891"/>
      <w:bookmarkStart w:id="331" w:name="_Toc29791"/>
      <w:r>
        <w:rPr>
          <w:rFonts w:ascii="宋体" w:hAnsi="宋体" w:cs="宋体"/>
          <w:color w:val="auto"/>
          <w:sz w:val="21"/>
          <w:szCs w:val="21"/>
          <w:highlight w:val="none"/>
        </w:rPr>
        <w:t>3.1</w:t>
      </w:r>
      <w:r>
        <w:rPr>
          <w:rFonts w:hint="eastAsia" w:ascii="宋体" w:hAnsi="宋体" w:cs="宋体"/>
          <w:color w:val="auto"/>
          <w:sz w:val="21"/>
          <w:szCs w:val="21"/>
          <w:highlight w:val="none"/>
        </w:rPr>
        <w:t>报价排序</w:t>
      </w:r>
      <w:bookmarkEnd w:id="328"/>
      <w:bookmarkEnd w:id="329"/>
      <w:bookmarkEnd w:id="330"/>
      <w:bookmarkEnd w:id="331"/>
    </w:p>
    <w:p>
      <w:pPr>
        <w:spacing w:line="360" w:lineRule="auto"/>
        <w:ind w:firstLine="413" w:firstLineChars="197"/>
        <w:rPr>
          <w:rFonts w:ascii="宋体" w:hAnsi="宋体" w:cs="宋体"/>
          <w:color w:val="auto"/>
          <w:szCs w:val="21"/>
          <w:highlight w:val="none"/>
        </w:rPr>
      </w:pPr>
      <w:r>
        <w:rPr>
          <w:rFonts w:hint="eastAsia" w:ascii="宋体" w:hAnsi="宋体" w:cs="宋体"/>
          <w:color w:val="auto"/>
          <w:szCs w:val="21"/>
          <w:highlight w:val="none"/>
        </w:rPr>
        <w:t>对报价不高于最高限价的所有</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的投标文件，按照报价由低到高的顺序排序。</w:t>
      </w:r>
    </w:p>
    <w:p>
      <w:pPr>
        <w:pStyle w:val="5"/>
        <w:spacing w:before="0" w:after="0" w:line="360" w:lineRule="auto"/>
        <w:rPr>
          <w:rFonts w:ascii="宋体" w:hAnsi="宋体" w:cs="宋体"/>
          <w:color w:val="auto"/>
          <w:sz w:val="21"/>
          <w:szCs w:val="21"/>
          <w:highlight w:val="none"/>
        </w:rPr>
      </w:pPr>
      <w:bookmarkStart w:id="332" w:name="_Toc25530"/>
      <w:bookmarkStart w:id="333" w:name="_Toc57905892"/>
      <w:bookmarkStart w:id="334" w:name="_Toc23300"/>
      <w:r>
        <w:rPr>
          <w:rFonts w:ascii="宋体" w:hAnsi="宋体" w:cs="宋体"/>
          <w:color w:val="auto"/>
          <w:sz w:val="21"/>
          <w:szCs w:val="21"/>
          <w:highlight w:val="none"/>
        </w:rPr>
        <w:t>3.</w:t>
      </w:r>
      <w:r>
        <w:rPr>
          <w:rFonts w:hint="eastAsia" w:ascii="宋体" w:hAnsi="宋体" w:cs="宋体"/>
          <w:color w:val="auto"/>
          <w:sz w:val="21"/>
          <w:szCs w:val="21"/>
          <w:highlight w:val="none"/>
        </w:rPr>
        <w:t>2符合性审查</w:t>
      </w:r>
      <w:bookmarkEnd w:id="332"/>
      <w:bookmarkEnd w:id="333"/>
      <w:bookmarkEnd w:id="334"/>
    </w:p>
    <w:p>
      <w:pPr>
        <w:spacing w:line="360" w:lineRule="auto"/>
        <w:ind w:firstLine="413" w:firstLineChars="197"/>
        <w:rPr>
          <w:rFonts w:ascii="宋体" w:hAnsi="宋体" w:cs="宋体"/>
          <w:color w:val="auto"/>
          <w:szCs w:val="21"/>
          <w:highlight w:val="none"/>
        </w:rPr>
      </w:pPr>
      <w:r>
        <w:rPr>
          <w:rFonts w:ascii="宋体" w:hAnsi="宋体" w:cs="宋体"/>
          <w:color w:val="auto"/>
          <w:szCs w:val="21"/>
          <w:highlight w:val="none"/>
        </w:rPr>
        <w:t>3.</w:t>
      </w:r>
      <w:r>
        <w:rPr>
          <w:rFonts w:hint="eastAsia" w:ascii="宋体" w:hAnsi="宋体" w:cs="宋体"/>
          <w:color w:val="auto"/>
          <w:szCs w:val="21"/>
          <w:highlight w:val="none"/>
        </w:rPr>
        <w:t>2</w:t>
      </w:r>
      <w:r>
        <w:rPr>
          <w:rFonts w:ascii="宋体" w:hAnsi="宋体" w:cs="宋体"/>
          <w:color w:val="auto"/>
          <w:szCs w:val="21"/>
          <w:highlight w:val="none"/>
        </w:rPr>
        <w:t>.1评标委员会依据本章第2.</w:t>
      </w:r>
      <w:r>
        <w:rPr>
          <w:rFonts w:hint="eastAsia" w:ascii="宋体" w:hAnsi="宋体" w:cs="宋体"/>
          <w:color w:val="auto"/>
          <w:szCs w:val="21"/>
          <w:highlight w:val="none"/>
        </w:rPr>
        <w:t>2</w:t>
      </w:r>
      <w:r>
        <w:rPr>
          <w:rFonts w:ascii="宋体" w:hAnsi="宋体" w:cs="宋体"/>
          <w:color w:val="auto"/>
          <w:szCs w:val="21"/>
          <w:highlight w:val="none"/>
        </w:rPr>
        <w:t xml:space="preserve"> </w:t>
      </w:r>
      <w:r>
        <w:rPr>
          <w:rFonts w:hint="eastAsia" w:ascii="宋体" w:hAnsi="宋体" w:cs="宋体"/>
          <w:color w:val="auto"/>
          <w:szCs w:val="21"/>
          <w:highlight w:val="none"/>
        </w:rPr>
        <w:t>款规定的标准对投标文件进行符合性审查。符合性审查顺序：技术方案评审（如有）、资格评审、形式评审、响应性评审。</w:t>
      </w:r>
    </w:p>
    <w:p>
      <w:pPr>
        <w:spacing w:line="360" w:lineRule="auto"/>
        <w:ind w:firstLine="413" w:firstLineChars="197"/>
        <w:rPr>
          <w:rFonts w:ascii="宋体" w:hAnsi="宋体" w:cs="宋体"/>
          <w:color w:val="auto"/>
          <w:szCs w:val="21"/>
          <w:highlight w:val="none"/>
        </w:rPr>
      </w:pPr>
      <w:r>
        <w:rPr>
          <w:rFonts w:hint="eastAsia" w:ascii="宋体" w:hAnsi="宋体" w:cs="宋体"/>
          <w:color w:val="auto"/>
          <w:szCs w:val="21"/>
          <w:highlight w:val="none"/>
        </w:rPr>
        <w:t>勾选技术方案评审的，符合性审查应首先进行技术方案暗标审查，再按照资格、形式、响应性的顺序进行评审。有一项不符合评审标准的，作否决投标处理。</w:t>
      </w:r>
    </w:p>
    <w:p>
      <w:pPr>
        <w:spacing w:line="360" w:lineRule="auto"/>
        <w:ind w:firstLine="420" w:firstLineChars="200"/>
        <w:rPr>
          <w:rFonts w:ascii="宋体" w:hAnsi="宋体" w:cs="宋体"/>
          <w:color w:val="auto"/>
          <w:szCs w:val="21"/>
          <w:highlight w:val="none"/>
        </w:rPr>
      </w:pPr>
      <w:r>
        <w:rPr>
          <w:rFonts w:ascii="宋体" w:hAnsi="宋体" w:cs="宋体"/>
          <w:color w:val="auto"/>
          <w:szCs w:val="21"/>
          <w:highlight w:val="none"/>
        </w:rPr>
        <w:t>3.</w:t>
      </w:r>
      <w:r>
        <w:rPr>
          <w:rFonts w:hint="eastAsia" w:ascii="宋体" w:hAnsi="宋体" w:cs="宋体"/>
          <w:color w:val="auto"/>
          <w:szCs w:val="21"/>
          <w:highlight w:val="none"/>
        </w:rPr>
        <w:t>2</w:t>
      </w:r>
      <w:r>
        <w:rPr>
          <w:rFonts w:ascii="宋体" w:hAnsi="宋体" w:cs="宋体"/>
          <w:color w:val="auto"/>
          <w:szCs w:val="21"/>
          <w:highlight w:val="none"/>
        </w:rPr>
        <w:t xml:space="preserve">.2 </w:t>
      </w:r>
      <w:r>
        <w:rPr>
          <w:rFonts w:hint="eastAsia" w:ascii="宋体" w:hAnsi="宋体" w:cs="宋体"/>
          <w:color w:val="auto"/>
          <w:szCs w:val="21"/>
          <w:highlight w:val="none"/>
          <w:lang w:eastAsia="zh-CN"/>
        </w:rPr>
        <w:t>竞选人</w:t>
      </w:r>
      <w:r>
        <w:rPr>
          <w:rFonts w:ascii="宋体" w:hAnsi="宋体" w:cs="宋体"/>
          <w:color w:val="auto"/>
          <w:szCs w:val="21"/>
          <w:highlight w:val="none"/>
        </w:rPr>
        <w:t>有以下情形之一的，</w:t>
      </w:r>
      <w:r>
        <w:rPr>
          <w:rFonts w:hint="eastAsia" w:ascii="宋体" w:hAnsi="宋体" w:cs="宋体"/>
          <w:color w:val="auto"/>
          <w:szCs w:val="21"/>
          <w:highlight w:val="none"/>
        </w:rPr>
        <w:t>其投标文件将被否决：</w:t>
      </w:r>
    </w:p>
    <w:p>
      <w:pPr>
        <w:spacing w:line="360" w:lineRule="auto"/>
        <w:ind w:firstLine="405" w:firstLineChars="193"/>
        <w:rPr>
          <w:rFonts w:ascii="宋体" w:hAnsi="宋体" w:cs="宋体"/>
          <w:color w:val="auto"/>
          <w:szCs w:val="21"/>
          <w:highlight w:val="none"/>
        </w:rPr>
      </w:pPr>
      <w:r>
        <w:rPr>
          <w:rFonts w:hint="eastAsia" w:ascii="宋体" w:hAnsi="宋体" w:cs="宋体"/>
          <w:color w:val="auto"/>
          <w:szCs w:val="21"/>
          <w:highlight w:val="none"/>
        </w:rPr>
        <w:t>（1</w:t>
      </w:r>
      <w:r>
        <w:rPr>
          <w:rFonts w:ascii="宋体" w:hAnsi="宋体" w:cs="宋体"/>
          <w:color w:val="auto"/>
          <w:szCs w:val="21"/>
          <w:highlight w:val="none"/>
        </w:rPr>
        <w:t>）第二章“</w:t>
      </w:r>
      <w:r>
        <w:rPr>
          <w:rFonts w:hint="eastAsia" w:ascii="宋体" w:hAnsi="宋体" w:cs="宋体"/>
          <w:color w:val="auto"/>
          <w:szCs w:val="21"/>
          <w:highlight w:val="none"/>
          <w:lang w:eastAsia="zh-CN"/>
        </w:rPr>
        <w:t>竞选人须知</w:t>
      </w:r>
      <w:r>
        <w:rPr>
          <w:rFonts w:ascii="宋体" w:hAnsi="宋体" w:cs="宋体"/>
          <w:color w:val="auto"/>
          <w:szCs w:val="21"/>
          <w:highlight w:val="none"/>
        </w:rPr>
        <w:t xml:space="preserve">”第1.4.3 </w:t>
      </w:r>
      <w:r>
        <w:rPr>
          <w:rFonts w:hint="eastAsia" w:ascii="宋体" w:hAnsi="宋体" w:cs="宋体"/>
          <w:color w:val="auto"/>
          <w:szCs w:val="21"/>
          <w:highlight w:val="none"/>
        </w:rPr>
        <w:t>项</w:t>
      </w:r>
      <w:r>
        <w:rPr>
          <w:rFonts w:ascii="宋体" w:hAnsi="宋体" w:cs="宋体"/>
          <w:color w:val="auto"/>
          <w:szCs w:val="21"/>
          <w:highlight w:val="none"/>
        </w:rPr>
        <w:t>规定的任何一种情形的；</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w:t>
      </w:r>
      <w:r>
        <w:rPr>
          <w:rFonts w:ascii="宋体" w:hAnsi="宋体" w:cs="宋体"/>
          <w:color w:val="auto"/>
          <w:szCs w:val="21"/>
          <w:highlight w:val="none"/>
        </w:rPr>
        <w:t>）</w:t>
      </w:r>
      <w:r>
        <w:rPr>
          <w:rFonts w:hint="eastAsia" w:ascii="宋体" w:hAnsi="宋体" w:cs="宋体"/>
          <w:color w:val="auto"/>
          <w:szCs w:val="21"/>
          <w:highlight w:val="none"/>
        </w:rPr>
        <w:t>本次投标有串通投标、弄虚作假等其他违反招投标相关法律、法规行为的；</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（3）拒绝按评标委员会要求澄清、说明或补正的。</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3.2.3 投标报价有算术错误的，评标委员会按以下原则对投标报价进行修正，修正的价格经</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书面确认后具有约束力，修正原则如下：</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（1）投标文件中的大写金额与小写金额不一致的，以大写金额为准；</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（2）投标函中的总报价与已标价工程量清单总报价不一致的，由评标委员会作否决投标处理。</w:t>
      </w:r>
    </w:p>
    <w:p>
      <w:pPr>
        <w:pStyle w:val="5"/>
        <w:spacing w:before="0" w:after="0" w:line="360" w:lineRule="auto"/>
        <w:rPr>
          <w:rFonts w:ascii="宋体" w:hAnsi="宋体" w:cs="宋体"/>
          <w:color w:val="auto"/>
          <w:sz w:val="21"/>
          <w:szCs w:val="21"/>
          <w:highlight w:val="none"/>
        </w:rPr>
      </w:pPr>
      <w:bookmarkStart w:id="335" w:name="_Toc26415"/>
      <w:bookmarkStart w:id="336" w:name="_Toc30970"/>
      <w:bookmarkStart w:id="337" w:name="_Toc57905893"/>
      <w:bookmarkStart w:id="338" w:name="_Toc5505"/>
      <w:r>
        <w:rPr>
          <w:rFonts w:ascii="宋体" w:hAnsi="宋体" w:cs="宋体"/>
          <w:color w:val="auto"/>
          <w:sz w:val="21"/>
          <w:szCs w:val="21"/>
          <w:highlight w:val="none"/>
        </w:rPr>
        <w:t>3.</w:t>
      </w:r>
      <w:r>
        <w:rPr>
          <w:rFonts w:hint="eastAsia" w:ascii="宋体" w:hAnsi="宋体" w:cs="宋体"/>
          <w:color w:val="auto"/>
          <w:sz w:val="21"/>
          <w:szCs w:val="21"/>
          <w:highlight w:val="none"/>
        </w:rPr>
        <w:t>3</w:t>
      </w:r>
      <w:r>
        <w:rPr>
          <w:rFonts w:ascii="宋体" w:hAnsi="宋体" w:cs="宋体"/>
          <w:color w:val="auto"/>
          <w:sz w:val="21"/>
          <w:szCs w:val="21"/>
          <w:highlight w:val="none"/>
        </w:rPr>
        <w:t xml:space="preserve"> </w:t>
      </w:r>
      <w:r>
        <w:rPr>
          <w:rFonts w:hint="eastAsia" w:ascii="宋体" w:hAnsi="宋体" w:cs="宋体"/>
          <w:color w:val="auto"/>
          <w:sz w:val="21"/>
          <w:szCs w:val="21"/>
          <w:highlight w:val="none"/>
        </w:rPr>
        <w:t>投标文件的澄清和补正</w:t>
      </w:r>
      <w:bookmarkEnd w:id="335"/>
      <w:bookmarkEnd w:id="336"/>
      <w:bookmarkEnd w:id="337"/>
      <w:bookmarkEnd w:id="338"/>
    </w:p>
    <w:p>
      <w:pPr>
        <w:spacing w:line="360" w:lineRule="auto"/>
        <w:ind w:firstLine="420" w:firstLineChars="200"/>
        <w:rPr>
          <w:rFonts w:ascii="宋体" w:hAnsi="宋体" w:cs="宋体"/>
          <w:color w:val="auto"/>
          <w:szCs w:val="21"/>
          <w:highlight w:val="none"/>
        </w:rPr>
      </w:pPr>
      <w:r>
        <w:rPr>
          <w:rFonts w:ascii="宋体" w:hAnsi="宋体" w:cs="宋体"/>
          <w:color w:val="auto"/>
          <w:szCs w:val="21"/>
          <w:highlight w:val="none"/>
        </w:rPr>
        <w:t>3.</w:t>
      </w:r>
      <w:r>
        <w:rPr>
          <w:rFonts w:hint="eastAsia" w:ascii="宋体" w:hAnsi="宋体" w:cs="宋体"/>
          <w:color w:val="auto"/>
          <w:szCs w:val="21"/>
          <w:highlight w:val="none"/>
        </w:rPr>
        <w:t>3</w:t>
      </w:r>
      <w:r>
        <w:rPr>
          <w:rFonts w:ascii="宋体" w:hAnsi="宋体" w:cs="宋体"/>
          <w:color w:val="auto"/>
          <w:szCs w:val="21"/>
          <w:highlight w:val="none"/>
        </w:rPr>
        <w:t xml:space="preserve">.1 </w:t>
      </w:r>
      <w:r>
        <w:rPr>
          <w:rFonts w:hint="eastAsia" w:ascii="宋体" w:hAnsi="宋体" w:cs="宋体"/>
          <w:color w:val="auto"/>
          <w:szCs w:val="21"/>
          <w:highlight w:val="none"/>
        </w:rPr>
        <w:t>在评标过程中，评标委员会可以书面形式要求</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对所提交投标文件中不明确的内容进行书面澄清或说明，或者对细微偏差进行补正。评标委员会不接受</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主动提出的澄清、说明或补正。</w:t>
      </w:r>
    </w:p>
    <w:p>
      <w:pPr>
        <w:spacing w:line="360" w:lineRule="auto"/>
        <w:ind w:firstLine="420" w:firstLineChars="200"/>
        <w:rPr>
          <w:rFonts w:ascii="宋体" w:hAnsi="宋体" w:cs="宋体"/>
          <w:color w:val="auto"/>
          <w:szCs w:val="21"/>
          <w:highlight w:val="none"/>
        </w:rPr>
      </w:pPr>
      <w:r>
        <w:rPr>
          <w:rFonts w:ascii="宋体" w:hAnsi="宋体" w:cs="宋体"/>
          <w:color w:val="auto"/>
          <w:szCs w:val="21"/>
          <w:highlight w:val="none"/>
        </w:rPr>
        <w:t>3.</w:t>
      </w:r>
      <w:r>
        <w:rPr>
          <w:rFonts w:hint="eastAsia" w:ascii="宋体" w:hAnsi="宋体" w:cs="宋体"/>
          <w:color w:val="auto"/>
          <w:szCs w:val="21"/>
          <w:highlight w:val="none"/>
        </w:rPr>
        <w:t>3</w:t>
      </w:r>
      <w:r>
        <w:rPr>
          <w:rFonts w:ascii="宋体" w:hAnsi="宋体" w:cs="宋体"/>
          <w:color w:val="auto"/>
          <w:szCs w:val="21"/>
          <w:highlight w:val="none"/>
        </w:rPr>
        <w:t xml:space="preserve">.2 </w:t>
      </w:r>
      <w:r>
        <w:rPr>
          <w:rFonts w:hint="eastAsia" w:ascii="宋体" w:hAnsi="宋体" w:cs="宋体"/>
          <w:color w:val="auto"/>
          <w:szCs w:val="21"/>
          <w:highlight w:val="none"/>
        </w:rPr>
        <w:t>澄清、说明和补正不得改变投标文件的实质性内容（算术性错误修正的除外）。</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的书面澄清、说明和补正属于投标文件的组成部分。</w:t>
      </w:r>
    </w:p>
    <w:p>
      <w:pPr>
        <w:spacing w:line="360" w:lineRule="auto"/>
        <w:ind w:firstLine="420" w:firstLineChars="200"/>
        <w:rPr>
          <w:rFonts w:ascii="宋体" w:hAnsi="宋体" w:cs="宋体"/>
          <w:color w:val="auto"/>
          <w:szCs w:val="21"/>
          <w:highlight w:val="none"/>
        </w:rPr>
      </w:pPr>
      <w:r>
        <w:rPr>
          <w:rFonts w:ascii="宋体" w:hAnsi="宋体" w:cs="宋体"/>
          <w:color w:val="auto"/>
          <w:szCs w:val="21"/>
          <w:highlight w:val="none"/>
        </w:rPr>
        <w:t>3.</w:t>
      </w:r>
      <w:r>
        <w:rPr>
          <w:rFonts w:hint="eastAsia" w:ascii="宋体" w:hAnsi="宋体" w:cs="宋体"/>
          <w:color w:val="auto"/>
          <w:szCs w:val="21"/>
          <w:highlight w:val="none"/>
        </w:rPr>
        <w:t>3</w:t>
      </w:r>
      <w:r>
        <w:rPr>
          <w:rFonts w:ascii="宋体" w:hAnsi="宋体" w:cs="宋体"/>
          <w:color w:val="auto"/>
          <w:szCs w:val="21"/>
          <w:highlight w:val="none"/>
        </w:rPr>
        <w:t xml:space="preserve">.3 </w:t>
      </w:r>
      <w:r>
        <w:rPr>
          <w:rFonts w:hint="eastAsia" w:ascii="宋体" w:hAnsi="宋体" w:cs="宋体"/>
          <w:color w:val="auto"/>
          <w:szCs w:val="21"/>
          <w:highlight w:val="none"/>
        </w:rPr>
        <w:t>评标委员会对</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提交的澄清、说明或补正有疑问的，可以要求</w:t>
      </w:r>
      <w:r>
        <w:rPr>
          <w:rFonts w:hint="eastAsia" w:ascii="宋体" w:hAnsi="宋体" w:cs="宋体"/>
          <w:color w:val="auto"/>
          <w:szCs w:val="21"/>
          <w:highlight w:val="none"/>
          <w:lang w:eastAsia="zh-CN"/>
        </w:rPr>
        <w:t>竞选人</w:t>
      </w:r>
      <w:r>
        <w:rPr>
          <w:rFonts w:hint="eastAsia" w:ascii="宋体" w:hAnsi="宋体" w:cs="宋体"/>
          <w:color w:val="auto"/>
          <w:szCs w:val="21"/>
          <w:highlight w:val="none"/>
        </w:rPr>
        <w:t>进一步澄清、说明或补正，直至满足评标委员会的要求。</w:t>
      </w:r>
    </w:p>
    <w:p>
      <w:pPr>
        <w:pStyle w:val="5"/>
        <w:spacing w:before="0" w:after="0" w:line="360" w:lineRule="auto"/>
        <w:rPr>
          <w:rFonts w:ascii="宋体" w:hAnsi="宋体" w:cs="宋体"/>
          <w:color w:val="auto"/>
          <w:sz w:val="21"/>
          <w:szCs w:val="21"/>
          <w:highlight w:val="none"/>
        </w:rPr>
      </w:pPr>
      <w:bookmarkStart w:id="339" w:name="_Toc27746"/>
      <w:bookmarkStart w:id="340" w:name="_Toc484465184"/>
      <w:bookmarkStart w:id="341" w:name="_Toc57905894"/>
      <w:bookmarkStart w:id="342" w:name="_Toc31475"/>
      <w:bookmarkStart w:id="343" w:name="_Toc26860"/>
      <w:bookmarkStart w:id="344" w:name="_Toc479262406"/>
      <w:r>
        <w:rPr>
          <w:rFonts w:ascii="宋体" w:hAnsi="宋体" w:cs="宋体"/>
          <w:color w:val="auto"/>
          <w:sz w:val="21"/>
          <w:szCs w:val="21"/>
          <w:highlight w:val="none"/>
        </w:rPr>
        <w:t>3.</w:t>
      </w:r>
      <w:r>
        <w:rPr>
          <w:rFonts w:hint="eastAsia" w:ascii="宋体" w:hAnsi="宋体" w:cs="宋体"/>
          <w:color w:val="auto"/>
          <w:sz w:val="21"/>
          <w:szCs w:val="21"/>
          <w:highlight w:val="none"/>
        </w:rPr>
        <w:t>4</w:t>
      </w:r>
      <w:r>
        <w:rPr>
          <w:rFonts w:ascii="宋体" w:hAnsi="宋体" w:cs="宋体"/>
          <w:color w:val="auto"/>
          <w:sz w:val="21"/>
          <w:szCs w:val="21"/>
          <w:highlight w:val="none"/>
        </w:rPr>
        <w:t xml:space="preserve"> </w:t>
      </w:r>
      <w:r>
        <w:rPr>
          <w:rFonts w:hint="eastAsia" w:ascii="宋体" w:hAnsi="宋体" w:cs="宋体"/>
          <w:color w:val="auto"/>
          <w:sz w:val="21"/>
          <w:szCs w:val="21"/>
          <w:highlight w:val="none"/>
        </w:rPr>
        <w:t>评标结果</w:t>
      </w:r>
      <w:bookmarkEnd w:id="339"/>
      <w:bookmarkEnd w:id="340"/>
      <w:bookmarkEnd w:id="341"/>
      <w:bookmarkEnd w:id="342"/>
      <w:bookmarkEnd w:id="343"/>
      <w:bookmarkEnd w:id="344"/>
    </w:p>
    <w:p>
      <w:pPr>
        <w:autoSpaceDE w:val="0"/>
        <w:autoSpaceDN w:val="0"/>
        <w:adjustRightInd w:val="0"/>
        <w:spacing w:line="360" w:lineRule="auto"/>
        <w:ind w:firstLine="420" w:firstLineChars="200"/>
        <w:jc w:val="left"/>
        <w:rPr>
          <w:rFonts w:ascii="宋体" w:hAnsi="宋体" w:cs="宋体"/>
          <w:color w:val="auto"/>
          <w:kern w:val="0"/>
          <w:szCs w:val="21"/>
          <w:highlight w:val="none"/>
        </w:rPr>
      </w:pPr>
      <w:r>
        <w:rPr>
          <w:rFonts w:ascii="宋体" w:hAnsi="宋体" w:cs="宋体"/>
          <w:color w:val="auto"/>
          <w:szCs w:val="21"/>
          <w:highlight w:val="none"/>
        </w:rPr>
        <w:t>3.</w:t>
      </w:r>
      <w:r>
        <w:rPr>
          <w:rFonts w:hint="eastAsia" w:ascii="宋体" w:hAnsi="宋体" w:cs="宋体"/>
          <w:color w:val="auto"/>
          <w:szCs w:val="21"/>
          <w:highlight w:val="none"/>
        </w:rPr>
        <w:t>4</w:t>
      </w:r>
      <w:r>
        <w:rPr>
          <w:rFonts w:ascii="宋体" w:hAnsi="宋体" w:cs="宋体"/>
          <w:color w:val="auto"/>
          <w:szCs w:val="21"/>
          <w:highlight w:val="none"/>
        </w:rPr>
        <w:t>.1</w:t>
      </w:r>
      <w:r>
        <w:rPr>
          <w:rFonts w:hint="eastAsia" w:ascii="宋体" w:hAnsi="宋体" w:cs="宋体"/>
          <w:color w:val="auto"/>
          <w:szCs w:val="21"/>
          <w:highlight w:val="none"/>
        </w:rPr>
        <w:t>除第二章“</w:t>
      </w:r>
      <w:r>
        <w:rPr>
          <w:rFonts w:hint="eastAsia" w:ascii="宋体" w:hAnsi="宋体" w:cs="宋体"/>
          <w:color w:val="auto"/>
          <w:szCs w:val="21"/>
          <w:highlight w:val="none"/>
          <w:lang w:eastAsia="zh-CN"/>
        </w:rPr>
        <w:t>竞选人须知</w:t>
      </w:r>
      <w:r>
        <w:rPr>
          <w:rFonts w:hint="eastAsia" w:ascii="宋体" w:hAnsi="宋体" w:cs="宋体"/>
          <w:color w:val="auto"/>
          <w:szCs w:val="21"/>
          <w:highlight w:val="none"/>
        </w:rPr>
        <w:t>”前附表授权直接确定中标人外，评标委员会按经评审的最低投标价法推荐中标候选人。</w:t>
      </w:r>
    </w:p>
    <w:p>
      <w:pPr>
        <w:spacing w:line="360" w:lineRule="auto"/>
        <w:ind w:firstLine="420" w:firstLineChars="200"/>
        <w:jc w:val="left"/>
        <w:rPr>
          <w:rFonts w:ascii="宋体" w:hAnsi="宋体" w:cs="宋体"/>
          <w:color w:val="auto"/>
          <w:szCs w:val="21"/>
          <w:highlight w:val="none"/>
        </w:rPr>
      </w:pPr>
      <w:r>
        <w:rPr>
          <w:rFonts w:ascii="宋体" w:hAnsi="宋体" w:cs="宋体"/>
          <w:color w:val="auto"/>
          <w:szCs w:val="21"/>
          <w:highlight w:val="none"/>
        </w:rPr>
        <w:t>3.</w:t>
      </w:r>
      <w:r>
        <w:rPr>
          <w:rFonts w:hint="eastAsia" w:ascii="宋体" w:hAnsi="宋体" w:cs="宋体"/>
          <w:color w:val="auto"/>
          <w:szCs w:val="21"/>
          <w:highlight w:val="none"/>
        </w:rPr>
        <w:t>4</w:t>
      </w:r>
      <w:r>
        <w:rPr>
          <w:rFonts w:ascii="宋体" w:hAnsi="宋体" w:cs="宋体"/>
          <w:color w:val="auto"/>
          <w:szCs w:val="21"/>
          <w:highlight w:val="none"/>
        </w:rPr>
        <w:t>.2</w:t>
      </w:r>
      <w:r>
        <w:rPr>
          <w:rFonts w:hint="eastAsia" w:ascii="宋体" w:hAnsi="宋体" w:cs="宋体"/>
          <w:color w:val="auto"/>
          <w:szCs w:val="21"/>
          <w:highlight w:val="none"/>
        </w:rPr>
        <w:t xml:space="preserve"> 评标委员会完成评标后，应当向</w:t>
      </w:r>
      <w:r>
        <w:rPr>
          <w:rFonts w:hint="eastAsia" w:ascii="宋体" w:hAnsi="宋体" w:cs="宋体"/>
          <w:color w:val="auto"/>
          <w:szCs w:val="21"/>
          <w:highlight w:val="none"/>
          <w:lang w:eastAsia="zh-CN"/>
        </w:rPr>
        <w:t>比选人</w:t>
      </w:r>
      <w:r>
        <w:rPr>
          <w:rFonts w:hint="eastAsia" w:ascii="宋体" w:hAnsi="宋体" w:cs="宋体"/>
          <w:color w:val="auto"/>
          <w:szCs w:val="21"/>
          <w:highlight w:val="none"/>
        </w:rPr>
        <w:t>提交书面评标报告和中标候选人名单。</w:t>
      </w:r>
    </w:p>
    <w:p>
      <w:pPr>
        <w:pStyle w:val="33"/>
        <w:spacing w:line="360" w:lineRule="auto"/>
        <w:rPr>
          <w:rFonts w:ascii="宋体" w:hAnsi="宋体"/>
          <w:b/>
          <w:color w:val="auto"/>
          <w:sz w:val="28"/>
          <w:szCs w:val="28"/>
          <w:highlight w:val="none"/>
          <w:u w:val="none"/>
          <w:lang w:eastAsia="zh-CN"/>
        </w:rPr>
      </w:pPr>
      <w:r>
        <w:rPr>
          <w:rFonts w:ascii="宋体" w:hAnsi="宋体" w:cs="宋体"/>
          <w:color w:val="auto"/>
          <w:szCs w:val="21"/>
          <w:highlight w:val="none"/>
          <w:lang w:eastAsia="zh-CN"/>
        </w:rPr>
        <w:br w:type="page"/>
      </w:r>
      <w:r>
        <w:rPr>
          <w:rFonts w:ascii="宋体" w:hAnsi="宋体"/>
          <w:b/>
          <w:color w:val="auto"/>
          <w:sz w:val="28"/>
          <w:szCs w:val="28"/>
          <w:highlight w:val="none"/>
          <w:u w:val="none"/>
          <w:lang w:eastAsia="zh-CN"/>
        </w:rPr>
        <w:t>附件A：</w:t>
      </w:r>
      <w:r>
        <w:rPr>
          <w:rFonts w:hint="eastAsia" w:ascii="宋体" w:hAnsi="宋体"/>
          <w:b/>
          <w:color w:val="auto"/>
          <w:sz w:val="28"/>
          <w:szCs w:val="28"/>
          <w:highlight w:val="none"/>
          <w:u w:val="none"/>
          <w:lang w:eastAsia="zh-CN"/>
        </w:rPr>
        <w:t>经评审的最低投标价法</w:t>
      </w:r>
      <w:r>
        <w:rPr>
          <w:rFonts w:ascii="宋体" w:hAnsi="宋体"/>
          <w:b/>
          <w:color w:val="auto"/>
          <w:sz w:val="28"/>
          <w:szCs w:val="28"/>
          <w:highlight w:val="none"/>
          <w:u w:val="none"/>
          <w:lang w:eastAsia="zh-CN"/>
        </w:rPr>
        <w:t>否决投标情况一览表</w:t>
      </w:r>
    </w:p>
    <w:p>
      <w:pPr>
        <w:pStyle w:val="33"/>
        <w:spacing w:line="360" w:lineRule="auto"/>
        <w:ind w:firstLine="420" w:firstLineChars="200"/>
        <w:jc w:val="both"/>
        <w:rPr>
          <w:rFonts w:ascii="宋体" w:hAnsi="宋体"/>
          <w:color w:val="auto"/>
          <w:sz w:val="21"/>
          <w:szCs w:val="21"/>
          <w:highlight w:val="none"/>
          <w:u w:val="none"/>
          <w:lang w:eastAsia="zh-CN"/>
        </w:rPr>
      </w:pPr>
      <w:r>
        <w:rPr>
          <w:rFonts w:hint="eastAsia" w:ascii="宋体" w:hAnsi="宋体"/>
          <w:color w:val="auto"/>
          <w:sz w:val="21"/>
          <w:szCs w:val="21"/>
          <w:highlight w:val="none"/>
          <w:u w:val="none"/>
          <w:lang w:eastAsia="zh-CN"/>
        </w:rPr>
        <w:t>投标文件存在本一览表下列情形之一的，投标文件视为重大偏差并作否决投标处理，否则，评标委员会不得视为重大偏差而否决竞选人的投标文件</w:t>
      </w:r>
      <w:r>
        <w:rPr>
          <w:rFonts w:ascii="宋体" w:hAnsi="宋体"/>
          <w:color w:val="auto"/>
          <w:sz w:val="21"/>
          <w:szCs w:val="21"/>
          <w:highlight w:val="none"/>
          <w:u w:val="none"/>
          <w:lang w:eastAsia="zh-CN"/>
        </w:rPr>
        <w:t>。</w:t>
      </w:r>
    </w:p>
    <w:tbl>
      <w:tblPr>
        <w:tblStyle w:val="45"/>
        <w:tblW w:w="9469" w:type="dxa"/>
        <w:jc w:val="center"/>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108" w:type="dxa"/>
          <w:bottom w:w="0" w:type="dxa"/>
          <w:right w:w="108" w:type="dxa"/>
        </w:tblCellMar>
      </w:tblPr>
      <w:tblGrid>
        <w:gridCol w:w="1237"/>
        <w:gridCol w:w="1899"/>
        <w:gridCol w:w="6333"/>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Align w:val="center"/>
          </w:tcPr>
          <w:p>
            <w:pPr>
              <w:spacing w:line="400" w:lineRule="exact"/>
              <w:jc w:val="center"/>
              <w:rPr>
                <w:rFonts w:ascii="宋体" w:hAnsi="宋体"/>
                <w:b/>
                <w:color w:val="auto"/>
                <w:szCs w:val="21"/>
                <w:highlight w:val="none"/>
              </w:rPr>
            </w:pPr>
            <w:r>
              <w:rPr>
                <w:rFonts w:ascii="宋体" w:hAnsi="宋体"/>
                <w:b/>
                <w:color w:val="auto"/>
                <w:szCs w:val="21"/>
                <w:highlight w:val="none"/>
              </w:rPr>
              <w:t>章节号</w:t>
            </w:r>
          </w:p>
        </w:tc>
        <w:tc>
          <w:tcPr>
            <w:tcW w:w="1899" w:type="dxa"/>
            <w:vAlign w:val="center"/>
          </w:tcPr>
          <w:p>
            <w:pPr>
              <w:spacing w:line="400" w:lineRule="exact"/>
              <w:jc w:val="center"/>
              <w:rPr>
                <w:rFonts w:ascii="宋体" w:hAnsi="宋体"/>
                <w:b/>
                <w:color w:val="auto"/>
                <w:szCs w:val="21"/>
                <w:highlight w:val="none"/>
              </w:rPr>
            </w:pPr>
            <w:r>
              <w:rPr>
                <w:rFonts w:ascii="宋体" w:hAnsi="宋体"/>
                <w:b/>
                <w:color w:val="auto"/>
                <w:szCs w:val="21"/>
                <w:highlight w:val="none"/>
              </w:rPr>
              <w:t>条款名称</w:t>
            </w:r>
          </w:p>
        </w:tc>
        <w:tc>
          <w:tcPr>
            <w:tcW w:w="6333" w:type="dxa"/>
            <w:vAlign w:val="center"/>
          </w:tcPr>
          <w:p>
            <w:pPr>
              <w:spacing w:line="400" w:lineRule="exact"/>
              <w:jc w:val="center"/>
              <w:rPr>
                <w:rFonts w:ascii="宋体" w:hAnsi="宋体"/>
                <w:b/>
                <w:color w:val="auto"/>
                <w:szCs w:val="21"/>
                <w:highlight w:val="none"/>
              </w:rPr>
            </w:pPr>
            <w:r>
              <w:rPr>
                <w:rFonts w:ascii="宋体" w:hAnsi="宋体"/>
                <w:b/>
                <w:color w:val="auto"/>
                <w:szCs w:val="21"/>
                <w:highlight w:val="none"/>
              </w:rPr>
              <w:t>否决投标条件</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237" w:type="dxa"/>
            <w:vMerge w:val="restart"/>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第三章</w:t>
            </w:r>
          </w:p>
        </w:tc>
        <w:tc>
          <w:tcPr>
            <w:tcW w:w="1899"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技术方案评审</w:t>
            </w:r>
          </w:p>
          <w:p>
            <w:pPr>
              <w:spacing w:line="400" w:lineRule="exact"/>
              <w:jc w:val="center"/>
              <w:rPr>
                <w:rFonts w:ascii="宋体" w:hAnsi="宋体"/>
                <w:color w:val="auto"/>
                <w:szCs w:val="21"/>
                <w:highlight w:val="none"/>
              </w:rPr>
            </w:pPr>
            <w:r>
              <w:rPr>
                <w:rFonts w:hint="eastAsia" w:ascii="宋体" w:hAnsi="宋体"/>
                <w:color w:val="auto"/>
                <w:szCs w:val="21"/>
                <w:highlight w:val="none"/>
              </w:rPr>
              <w:t>（如有）</w:t>
            </w: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A-1</w:t>
            </w:r>
            <w:r>
              <w:rPr>
                <w:rFonts w:hint="eastAsia" w:ascii="宋体" w:hAnsi="宋体"/>
                <w:color w:val="auto"/>
                <w:szCs w:val="21"/>
                <w:highlight w:val="none"/>
                <w:lang w:eastAsia="zh-CN"/>
              </w:rPr>
              <w:t>竞选人</w:t>
            </w:r>
            <w:r>
              <w:rPr>
                <w:rFonts w:hint="eastAsia" w:ascii="宋体" w:hAnsi="宋体"/>
                <w:color w:val="auto"/>
                <w:szCs w:val="21"/>
                <w:highlight w:val="none"/>
              </w:rPr>
              <w:t>的技术方案综合性评审不合格，由评标委员会作否决投标处理。技术方案采用暗标评审时，其形式应符合第二章</w:t>
            </w:r>
            <w:r>
              <w:rPr>
                <w:rFonts w:hint="eastAsia" w:ascii="宋体" w:hAnsi="宋体"/>
                <w:color w:val="auto"/>
                <w:szCs w:val="21"/>
                <w:highlight w:val="none"/>
                <w:lang w:eastAsia="zh-CN"/>
              </w:rPr>
              <w:t>竞选人须知前附表</w:t>
            </w:r>
            <w:r>
              <w:rPr>
                <w:rFonts w:hint="eastAsia" w:ascii="宋体" w:hAnsi="宋体"/>
                <w:color w:val="auto"/>
                <w:szCs w:val="21"/>
                <w:highlight w:val="none"/>
              </w:rPr>
              <w:t>第3.7.5项（</w:t>
            </w:r>
            <w:r>
              <w:rPr>
                <w:rFonts w:hint="eastAsia" w:ascii="宋体" w:hAnsi="宋体"/>
                <w:color w:val="auto"/>
                <w:szCs w:val="21"/>
                <w:highlight w:val="none"/>
                <w:lang w:val="en-US" w:eastAsia="zh-CN"/>
              </w:rPr>
              <w:t>4</w:t>
            </w:r>
            <w:r>
              <w:rPr>
                <w:rFonts w:hint="eastAsia" w:ascii="宋体" w:hAnsi="宋体"/>
                <w:color w:val="auto"/>
                <w:szCs w:val="21"/>
                <w:highlight w:val="none"/>
              </w:rPr>
              <w:t>）技术部分的</w:t>
            </w:r>
            <w:r>
              <w:rPr>
                <w:rFonts w:hint="eastAsia" w:ascii="宋体" w:hAnsi="宋体"/>
                <w:color w:val="auto"/>
                <w:szCs w:val="21"/>
                <w:highlight w:val="none"/>
                <w:lang w:val="en-US" w:eastAsia="zh-CN"/>
              </w:rPr>
              <w:t>装订</w:t>
            </w:r>
            <w:r>
              <w:rPr>
                <w:rFonts w:hint="eastAsia" w:ascii="宋体" w:hAnsi="宋体"/>
                <w:color w:val="auto"/>
                <w:szCs w:val="21"/>
                <w:highlight w:val="none"/>
              </w:rPr>
              <w:t>要求，否则由评标委员会作否决投标处理。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restart"/>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资格评审</w:t>
            </w: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A-2</w:t>
            </w:r>
            <w:r>
              <w:rPr>
                <w:rFonts w:hint="eastAsia" w:ascii="宋体" w:hAnsi="宋体"/>
                <w:color w:val="auto"/>
                <w:szCs w:val="21"/>
                <w:highlight w:val="none"/>
                <w:lang w:eastAsia="zh-CN"/>
              </w:rPr>
              <w:t>竞选人</w:t>
            </w:r>
            <w:r>
              <w:rPr>
                <w:rFonts w:hint="eastAsia" w:ascii="宋体" w:hAnsi="宋体"/>
                <w:color w:val="auto"/>
                <w:szCs w:val="21"/>
                <w:highlight w:val="none"/>
              </w:rPr>
              <w:t>的资质条件、营业执照及安全生产条件须满足</w:t>
            </w:r>
            <w:r>
              <w:rPr>
                <w:rFonts w:hint="eastAsia" w:ascii="宋体" w:hAnsi="宋体"/>
                <w:color w:val="auto"/>
                <w:szCs w:val="21"/>
                <w:highlight w:val="none"/>
                <w:lang w:eastAsia="zh-CN"/>
              </w:rPr>
              <w:t>竞选人须知前附表</w:t>
            </w:r>
            <w:r>
              <w:rPr>
                <w:rFonts w:hint="eastAsia" w:ascii="宋体" w:hAnsi="宋体"/>
                <w:color w:val="auto"/>
                <w:szCs w:val="21"/>
                <w:highlight w:val="none"/>
              </w:rPr>
              <w:t>第1.4.1项的要求，否则由评标委员会作否决投标处理。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A-3</w:t>
            </w:r>
            <w:r>
              <w:rPr>
                <w:rFonts w:hint="eastAsia" w:ascii="宋体" w:hAnsi="宋体"/>
                <w:color w:val="auto"/>
                <w:szCs w:val="21"/>
                <w:highlight w:val="none"/>
                <w:lang w:eastAsia="zh-CN"/>
              </w:rPr>
              <w:t>竞选人</w:t>
            </w:r>
            <w:r>
              <w:rPr>
                <w:rFonts w:hint="eastAsia" w:ascii="宋体" w:hAnsi="宋体"/>
                <w:color w:val="auto"/>
                <w:szCs w:val="21"/>
                <w:highlight w:val="none"/>
              </w:rPr>
              <w:t>的财务须满足</w:t>
            </w:r>
            <w:r>
              <w:rPr>
                <w:rFonts w:hint="eastAsia" w:ascii="宋体" w:hAnsi="宋体"/>
                <w:color w:val="auto"/>
                <w:szCs w:val="21"/>
                <w:highlight w:val="none"/>
                <w:lang w:eastAsia="zh-CN"/>
              </w:rPr>
              <w:t>竞选人须知前附表</w:t>
            </w:r>
            <w:r>
              <w:rPr>
                <w:rFonts w:hint="eastAsia" w:ascii="宋体" w:hAnsi="宋体"/>
                <w:color w:val="auto"/>
                <w:szCs w:val="21"/>
                <w:highlight w:val="none"/>
              </w:rPr>
              <w:t>第1.4.1项的要求，否则由评标委员会作否决投标处理（如有）。</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A-4</w:t>
            </w:r>
            <w:r>
              <w:rPr>
                <w:rFonts w:hint="eastAsia" w:ascii="宋体" w:hAnsi="宋体"/>
                <w:color w:val="auto"/>
                <w:szCs w:val="21"/>
                <w:highlight w:val="none"/>
                <w:lang w:eastAsia="zh-CN"/>
              </w:rPr>
              <w:t>竞选人</w:t>
            </w:r>
            <w:r>
              <w:rPr>
                <w:rFonts w:hint="eastAsia" w:ascii="宋体" w:hAnsi="宋体"/>
                <w:color w:val="auto"/>
                <w:szCs w:val="21"/>
                <w:highlight w:val="none"/>
              </w:rPr>
              <w:t>的业绩须满足</w:t>
            </w:r>
            <w:r>
              <w:rPr>
                <w:rFonts w:hint="eastAsia" w:ascii="宋体" w:hAnsi="宋体"/>
                <w:color w:val="auto"/>
                <w:szCs w:val="21"/>
                <w:highlight w:val="none"/>
                <w:lang w:eastAsia="zh-CN"/>
              </w:rPr>
              <w:t>竞选人须知前附表</w:t>
            </w:r>
            <w:r>
              <w:rPr>
                <w:rFonts w:hint="eastAsia" w:ascii="宋体" w:hAnsi="宋体"/>
                <w:color w:val="auto"/>
                <w:szCs w:val="21"/>
                <w:highlight w:val="none"/>
              </w:rPr>
              <w:t>第1.4.1项的要求，否则由评标委员会作否决投标处理（如有）。</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A-5</w:t>
            </w:r>
            <w:r>
              <w:rPr>
                <w:rFonts w:hint="eastAsia" w:ascii="宋体" w:hAnsi="宋体"/>
                <w:color w:val="auto"/>
                <w:szCs w:val="21"/>
                <w:highlight w:val="none"/>
                <w:lang w:eastAsia="zh-CN"/>
              </w:rPr>
              <w:t>竞选人</w:t>
            </w:r>
            <w:r>
              <w:rPr>
                <w:rFonts w:hint="eastAsia" w:ascii="宋体" w:hAnsi="宋体"/>
                <w:color w:val="auto"/>
                <w:szCs w:val="21"/>
                <w:highlight w:val="none"/>
              </w:rPr>
              <w:t>的投标截止日投标资格情况须满足</w:t>
            </w:r>
            <w:r>
              <w:rPr>
                <w:rFonts w:hint="eastAsia" w:ascii="宋体" w:hAnsi="宋体"/>
                <w:color w:val="auto"/>
                <w:szCs w:val="21"/>
                <w:highlight w:val="none"/>
                <w:lang w:eastAsia="zh-CN"/>
              </w:rPr>
              <w:t>竞选人须知前附表</w:t>
            </w:r>
            <w:r>
              <w:rPr>
                <w:rFonts w:hint="eastAsia" w:ascii="宋体" w:hAnsi="宋体"/>
                <w:color w:val="auto"/>
                <w:szCs w:val="21"/>
                <w:highlight w:val="none"/>
              </w:rPr>
              <w:t>1.4.1项的要求，否则由评标委员会作否决投标处理。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A-6</w:t>
            </w:r>
            <w:r>
              <w:rPr>
                <w:rFonts w:hint="eastAsia" w:ascii="宋体" w:hAnsi="宋体"/>
                <w:color w:val="auto"/>
                <w:szCs w:val="21"/>
                <w:highlight w:val="none"/>
                <w:lang w:eastAsia="zh-CN"/>
              </w:rPr>
              <w:t>竞选人</w:t>
            </w:r>
            <w:r>
              <w:rPr>
                <w:rFonts w:hint="eastAsia" w:ascii="宋体" w:hAnsi="宋体"/>
                <w:color w:val="auto"/>
                <w:szCs w:val="21"/>
                <w:highlight w:val="none"/>
              </w:rPr>
              <w:t>的项目经理资格须满足</w:t>
            </w:r>
            <w:r>
              <w:rPr>
                <w:rFonts w:hint="eastAsia" w:ascii="宋体" w:hAnsi="宋体"/>
                <w:color w:val="auto"/>
                <w:szCs w:val="21"/>
                <w:highlight w:val="none"/>
                <w:lang w:eastAsia="zh-CN"/>
              </w:rPr>
              <w:t>竞选人须知前附表</w:t>
            </w:r>
            <w:r>
              <w:rPr>
                <w:rFonts w:hint="eastAsia" w:ascii="宋体" w:hAnsi="宋体"/>
                <w:color w:val="auto"/>
                <w:szCs w:val="21"/>
                <w:highlight w:val="none"/>
              </w:rPr>
              <w:t>第1.4.1项的要求，否则由评标委员会作否决投标处理。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A-7</w:t>
            </w:r>
            <w:r>
              <w:rPr>
                <w:rFonts w:hint="eastAsia" w:ascii="宋体" w:hAnsi="宋体"/>
                <w:color w:val="auto"/>
                <w:szCs w:val="21"/>
                <w:highlight w:val="none"/>
                <w:lang w:eastAsia="zh-CN"/>
              </w:rPr>
              <w:t>竞选人</w:t>
            </w:r>
            <w:r>
              <w:rPr>
                <w:rFonts w:hint="eastAsia" w:ascii="宋体" w:hAnsi="宋体"/>
                <w:color w:val="auto"/>
                <w:szCs w:val="21"/>
                <w:highlight w:val="none"/>
              </w:rPr>
              <w:t>的其他要求须满足</w:t>
            </w:r>
            <w:r>
              <w:rPr>
                <w:rFonts w:hint="eastAsia" w:ascii="宋体" w:hAnsi="宋体"/>
                <w:color w:val="auto"/>
                <w:szCs w:val="21"/>
                <w:highlight w:val="none"/>
                <w:lang w:eastAsia="zh-CN"/>
              </w:rPr>
              <w:t>竞选人须知前附表</w:t>
            </w:r>
            <w:r>
              <w:rPr>
                <w:rFonts w:hint="eastAsia" w:ascii="宋体" w:hAnsi="宋体"/>
                <w:color w:val="auto"/>
                <w:szCs w:val="21"/>
                <w:highlight w:val="none"/>
              </w:rPr>
              <w:t>第1.4.1项的要求，否则由评标委员会作否决投标处理。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A-8若有联合体</w:t>
            </w:r>
            <w:r>
              <w:rPr>
                <w:rFonts w:hint="eastAsia" w:ascii="宋体" w:hAnsi="宋体"/>
                <w:color w:val="auto"/>
                <w:szCs w:val="21"/>
                <w:highlight w:val="none"/>
                <w:lang w:eastAsia="zh-CN"/>
              </w:rPr>
              <w:t>竞选人</w:t>
            </w:r>
            <w:r>
              <w:rPr>
                <w:rFonts w:hint="eastAsia" w:ascii="宋体" w:hAnsi="宋体"/>
                <w:color w:val="auto"/>
                <w:szCs w:val="21"/>
                <w:highlight w:val="none"/>
              </w:rPr>
              <w:t>，则：</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（1）联合体各方应按照招标文件提供的格式签订联合体协议书，明确联合体牵头人和各方权利义务；</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（2）联合体各方均应当具备承担招标项目的相应能力，联合体协议约定同一专业分工由两个及以上单位共同承担的，按照资质等级较低的单位确定资质等级；</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（3）联合体各方不得再以自己名义单独或参加其他联合体在同一标段中投标。</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restart"/>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形式评审</w:t>
            </w:r>
          </w:p>
        </w:tc>
        <w:tc>
          <w:tcPr>
            <w:tcW w:w="6333" w:type="dxa"/>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A-9</w:t>
            </w:r>
            <w:r>
              <w:rPr>
                <w:rFonts w:hint="eastAsia" w:ascii="宋体" w:hAnsi="宋体"/>
                <w:color w:val="auto"/>
                <w:szCs w:val="21"/>
                <w:highlight w:val="none"/>
                <w:lang w:eastAsia="zh-CN"/>
              </w:rPr>
              <w:t>竞选人</w:t>
            </w:r>
            <w:r>
              <w:rPr>
                <w:rFonts w:hint="eastAsia" w:ascii="宋体" w:hAnsi="宋体"/>
                <w:color w:val="auto"/>
                <w:szCs w:val="21"/>
                <w:highlight w:val="none"/>
              </w:rPr>
              <w:t>名称必须与营业执照、资质证书、安全生产许可证一致，依法变更名称的应提交相应证明材料，</w:t>
            </w:r>
            <w:r>
              <w:rPr>
                <w:rFonts w:ascii="宋体" w:hAnsi="宋体"/>
                <w:color w:val="auto"/>
                <w:szCs w:val="21"/>
                <w:highlight w:val="none"/>
              </w:rPr>
              <w:t>否则</w:t>
            </w:r>
            <w:r>
              <w:rPr>
                <w:rFonts w:hint="eastAsia" w:ascii="宋体" w:hAnsi="宋体"/>
                <w:color w:val="auto"/>
                <w:szCs w:val="21"/>
                <w:highlight w:val="none"/>
              </w:rPr>
              <w:t>由评标委员会</w:t>
            </w:r>
            <w:r>
              <w:rPr>
                <w:rFonts w:ascii="宋体" w:hAnsi="宋体"/>
                <w:color w:val="auto"/>
                <w:szCs w:val="21"/>
                <w:highlight w:val="none"/>
              </w:rPr>
              <w:t>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A-10投标函格式规定签名、盖章的位置有法定代表人或其委托代理人签名（或盖章）、加盖单位法人章，否则由评标委员会作否决投标处理。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A-11投标文件格式符合第二章“</w:t>
            </w:r>
            <w:r>
              <w:rPr>
                <w:rFonts w:hint="eastAsia" w:ascii="宋体" w:hAnsi="宋体"/>
                <w:color w:val="auto"/>
                <w:szCs w:val="21"/>
                <w:highlight w:val="none"/>
                <w:lang w:eastAsia="zh-CN"/>
              </w:rPr>
              <w:t>竞选人须知</w:t>
            </w:r>
            <w:r>
              <w:rPr>
                <w:rFonts w:hint="eastAsia" w:ascii="宋体" w:hAnsi="宋体"/>
                <w:color w:val="auto"/>
                <w:szCs w:val="21"/>
                <w:highlight w:val="none"/>
              </w:rPr>
              <w:t>”第3.7款的要求，否则由评标委员会作否决投标处理。</w:t>
            </w:r>
          </w:p>
          <w:p>
            <w:pPr>
              <w:spacing w:line="400" w:lineRule="exact"/>
              <w:ind w:firstLine="420" w:firstLineChars="200"/>
              <w:rPr>
                <w:rFonts w:ascii="宋体" w:hAnsi="宋体"/>
                <w:color w:val="auto"/>
                <w:szCs w:val="21"/>
                <w:highlight w:val="none"/>
              </w:rPr>
            </w:pPr>
            <w:r>
              <w:rPr>
                <w:rFonts w:hint="eastAsia" w:ascii="宋体" w:hAnsi="宋体"/>
                <w:color w:val="auto"/>
                <w:kern w:val="0"/>
                <w:szCs w:val="21"/>
                <w:highlight w:val="none"/>
              </w:rPr>
              <w:t>编制投标文件时不得对第八章“投标文件格式”的相应要素作实质性修改，否则由评标委员会作否决投标处理。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tcPr>
          <w:p>
            <w:pPr>
              <w:autoSpaceDE w:val="0"/>
              <w:autoSpaceDN w:val="0"/>
              <w:adjustRightInd w:val="0"/>
              <w:snapToGrid w:val="0"/>
              <w:spacing w:line="400" w:lineRule="exact"/>
              <w:ind w:firstLine="420" w:firstLineChars="200"/>
              <w:rPr>
                <w:rFonts w:ascii="宋体" w:hAnsi="宋体"/>
                <w:i/>
                <w:color w:val="auto"/>
                <w:szCs w:val="21"/>
                <w:highlight w:val="none"/>
              </w:rPr>
            </w:pPr>
            <w:r>
              <w:rPr>
                <w:rFonts w:hint="eastAsia" w:ascii="宋体" w:hAnsi="宋体"/>
                <w:color w:val="auto"/>
                <w:szCs w:val="21"/>
                <w:highlight w:val="none"/>
              </w:rPr>
              <w:t>A-12投标文件份数符合第二章“</w:t>
            </w:r>
            <w:r>
              <w:rPr>
                <w:rFonts w:hint="eastAsia" w:ascii="宋体" w:hAnsi="宋体"/>
                <w:color w:val="auto"/>
                <w:szCs w:val="21"/>
                <w:highlight w:val="none"/>
                <w:lang w:eastAsia="zh-CN"/>
              </w:rPr>
              <w:t>竞选人须知</w:t>
            </w:r>
            <w:r>
              <w:rPr>
                <w:rFonts w:hint="eastAsia" w:ascii="宋体" w:hAnsi="宋体"/>
                <w:color w:val="auto"/>
                <w:szCs w:val="21"/>
                <w:highlight w:val="none"/>
              </w:rPr>
              <w:t>”第3.7.4项的规定，</w:t>
            </w:r>
            <w:r>
              <w:rPr>
                <w:rFonts w:hint="eastAsia" w:ascii="宋体" w:hAnsi="宋体"/>
                <w:color w:val="auto"/>
                <w:kern w:val="0"/>
                <w:szCs w:val="21"/>
                <w:highlight w:val="none"/>
              </w:rPr>
              <w:t>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-13联合体参与投标的应提交联合体协议书，并明确联合体牵头人。在联合体协议书第5条联合体各成员单位内部的职责分工中填写的联合体所有成员单位名称应与其营业执照、资质证书、安全生产许可证一致，依法变更名称的应提交相应证明材料，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A-14只能有一个有效报价。在招标文件没有规定的情况下，不得提交选择性报价，否则由评标委员会作否决投标处理。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tcPr>
          <w:p>
            <w:pPr>
              <w:autoSpaceDE w:val="0"/>
              <w:autoSpaceDN w:val="0"/>
              <w:adjustRightInd w:val="0"/>
              <w:snapToGrid w:val="0"/>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A-15</w:t>
            </w:r>
            <w:r>
              <w:rPr>
                <w:rFonts w:hint="eastAsia" w:ascii="宋体" w:hAnsi="宋体" w:cs="宋体"/>
                <w:color w:val="auto"/>
                <w:kern w:val="0"/>
                <w:highlight w:val="none"/>
              </w:rPr>
              <w:t>第八章 投标文件格式要求法定代表人或其委托代理人签名（或盖章）的须齐全。</w:t>
            </w:r>
            <w:r>
              <w:rPr>
                <w:rFonts w:hint="eastAsia" w:ascii="宋体" w:hAnsi="宋体" w:cs="宋体"/>
                <w:snapToGrid w:val="0"/>
                <w:color w:val="auto"/>
                <w:kern w:val="0"/>
                <w:szCs w:val="21"/>
                <w:highlight w:val="none"/>
              </w:rPr>
              <w:t>若投标单位为联合体，则联合体协议书中各联合体各成员单位签名（或盖章）须齐全，联合体协议书以外的</w:t>
            </w:r>
            <w:r>
              <w:rPr>
                <w:rFonts w:hint="eastAsia" w:ascii="宋体" w:hAnsi="宋体" w:cs="宋体"/>
                <w:color w:val="auto"/>
                <w:kern w:val="0"/>
                <w:highlight w:val="none"/>
              </w:rPr>
              <w:t>投标文件格式中，要求</w:t>
            </w:r>
            <w:r>
              <w:rPr>
                <w:rFonts w:hint="eastAsia" w:ascii="宋体" w:hAnsi="宋体" w:cs="宋体"/>
                <w:snapToGrid w:val="0"/>
                <w:color w:val="auto"/>
                <w:kern w:val="0"/>
                <w:szCs w:val="21"/>
                <w:highlight w:val="none"/>
              </w:rPr>
              <w:t>联合体牵头人</w:t>
            </w:r>
            <w:r>
              <w:rPr>
                <w:rFonts w:hint="eastAsia" w:ascii="宋体" w:hAnsi="宋体" w:cs="宋体"/>
                <w:color w:val="auto"/>
                <w:kern w:val="0"/>
                <w:highlight w:val="none"/>
              </w:rPr>
              <w:t>法定代表人或其委托代理人签名（或盖章）的须齐全</w:t>
            </w:r>
            <w:r>
              <w:rPr>
                <w:rFonts w:hint="eastAsia" w:ascii="宋体" w:hAnsi="宋体"/>
                <w:color w:val="auto"/>
                <w:szCs w:val="21"/>
                <w:highlight w:val="none"/>
              </w:rPr>
              <w:t>，否则由评标委员会作否决投标处理。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A-16</w:t>
            </w:r>
            <w:r>
              <w:rPr>
                <w:rFonts w:hint="eastAsia" w:ascii="宋体" w:hAnsi="宋体"/>
                <w:color w:val="auto"/>
                <w:szCs w:val="21"/>
                <w:highlight w:val="none"/>
                <w:lang w:eastAsia="zh-CN"/>
              </w:rPr>
              <w:t>竞选人</w:t>
            </w:r>
            <w:r>
              <w:rPr>
                <w:rFonts w:hint="eastAsia" w:ascii="宋体" w:hAnsi="宋体"/>
                <w:color w:val="auto"/>
                <w:szCs w:val="21"/>
                <w:highlight w:val="none"/>
              </w:rPr>
              <w:t>法定代表人的委托代理人有法定代表人签署的授权委托书和</w:t>
            </w:r>
            <w:r>
              <w:rPr>
                <w:rFonts w:hint="eastAsia" w:ascii="宋体" w:hAnsi="宋体"/>
                <w:color w:val="auto"/>
                <w:szCs w:val="21"/>
                <w:highlight w:val="none"/>
                <w:lang w:eastAsia="zh-CN"/>
              </w:rPr>
              <w:t>竞选人</w:t>
            </w:r>
            <w:r>
              <w:rPr>
                <w:rFonts w:hint="eastAsia" w:ascii="宋体" w:hAnsi="宋体"/>
                <w:color w:val="auto"/>
                <w:szCs w:val="21"/>
                <w:highlight w:val="none"/>
              </w:rPr>
              <w:t>为其缴纳的养老保险证明材料，否则由评标委员会作否决投标处理。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restart"/>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响应性评审</w:t>
            </w: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A-17</w:t>
            </w:r>
            <w:r>
              <w:rPr>
                <w:rFonts w:hint="eastAsia" w:ascii="宋体" w:hAnsi="宋体" w:cs="宋体"/>
                <w:color w:val="auto"/>
                <w:szCs w:val="21"/>
                <w:highlight w:val="none"/>
              </w:rPr>
              <w:t>投标总报价必须与已标价工程量清单总报价一致</w:t>
            </w:r>
            <w:r>
              <w:rPr>
                <w:rFonts w:hint="eastAsia" w:ascii="宋体" w:hAnsi="宋体"/>
                <w:color w:val="auto"/>
                <w:szCs w:val="21"/>
                <w:highlight w:val="none"/>
              </w:rPr>
              <w:t>，否则由评标委员会作否决投标处理。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A-18投标总报价不得高于</w:t>
            </w:r>
            <w:r>
              <w:rPr>
                <w:rFonts w:hint="eastAsia" w:ascii="宋体" w:hAnsi="宋体"/>
                <w:color w:val="auto"/>
                <w:szCs w:val="21"/>
                <w:highlight w:val="none"/>
                <w:lang w:eastAsia="zh-CN"/>
              </w:rPr>
              <w:t>比选人</w:t>
            </w:r>
            <w:r>
              <w:rPr>
                <w:rFonts w:hint="eastAsia" w:ascii="宋体" w:hAnsi="宋体"/>
                <w:color w:val="auto"/>
                <w:szCs w:val="21"/>
                <w:highlight w:val="none"/>
              </w:rPr>
              <w:t>公布的投标总报价最高限价，否则由评标委员会作否决投标处理。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A-19投标总报价低于最高限价85%的，</w:t>
            </w:r>
            <w:r>
              <w:rPr>
                <w:rFonts w:hint="eastAsia" w:ascii="宋体" w:hAnsi="宋体"/>
                <w:color w:val="auto"/>
                <w:szCs w:val="21"/>
                <w:highlight w:val="none"/>
                <w:lang w:eastAsia="zh-CN"/>
              </w:rPr>
              <w:t>竞选人</w:t>
            </w:r>
            <w:r>
              <w:rPr>
                <w:rFonts w:hint="eastAsia" w:ascii="宋体" w:hAnsi="宋体"/>
                <w:color w:val="auto"/>
                <w:szCs w:val="21"/>
                <w:highlight w:val="none"/>
              </w:rPr>
              <w:t>应在编制投标文件时，在投标函部分中递交低价风险担保提交承诺书。承诺书格式详见第八章投标文件格式，否则由评标委员会作否决投标处理。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A-20暂列金额、暂估价、安全文明施工费等暂定金额必须按照招标文件给定的金额填报，否则由评标委员会作否决投标处理。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A-21投标内容符合第二章“</w:t>
            </w:r>
            <w:r>
              <w:rPr>
                <w:rFonts w:hint="eastAsia" w:ascii="宋体" w:hAnsi="宋体"/>
                <w:color w:val="auto"/>
                <w:szCs w:val="21"/>
                <w:highlight w:val="none"/>
                <w:lang w:eastAsia="zh-CN"/>
              </w:rPr>
              <w:t>竞选人须知</w:t>
            </w:r>
            <w:r>
              <w:rPr>
                <w:rFonts w:hint="eastAsia" w:ascii="宋体" w:hAnsi="宋体"/>
                <w:color w:val="auto"/>
                <w:szCs w:val="21"/>
                <w:highlight w:val="none"/>
              </w:rPr>
              <w:t>”第1.3.1项规定，否则由评标委员会作否决投标处理。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A-22工期符合第二章“</w:t>
            </w:r>
            <w:r>
              <w:rPr>
                <w:rFonts w:hint="eastAsia" w:ascii="宋体" w:hAnsi="宋体"/>
                <w:color w:val="auto"/>
                <w:szCs w:val="21"/>
                <w:highlight w:val="none"/>
                <w:lang w:eastAsia="zh-CN"/>
              </w:rPr>
              <w:t>竞选人须知</w:t>
            </w:r>
            <w:r>
              <w:rPr>
                <w:rFonts w:hint="eastAsia" w:ascii="宋体" w:hAnsi="宋体"/>
                <w:color w:val="auto"/>
                <w:szCs w:val="21"/>
                <w:highlight w:val="none"/>
              </w:rPr>
              <w:t>”第1.3.2项规定，否则由评标委员会作否决投标处理。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A-23工程质量符合第二章“</w:t>
            </w:r>
            <w:r>
              <w:rPr>
                <w:rFonts w:hint="eastAsia" w:ascii="宋体" w:hAnsi="宋体"/>
                <w:color w:val="auto"/>
                <w:szCs w:val="21"/>
                <w:highlight w:val="none"/>
                <w:lang w:eastAsia="zh-CN"/>
              </w:rPr>
              <w:t>竞选人须知</w:t>
            </w:r>
            <w:r>
              <w:rPr>
                <w:rFonts w:hint="eastAsia" w:ascii="宋体" w:hAnsi="宋体"/>
                <w:color w:val="auto"/>
                <w:szCs w:val="21"/>
                <w:highlight w:val="none"/>
              </w:rPr>
              <w:t>”第1.3.3项规定，否则由评标委员会作否决投标处理。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A-24投标有效期符合第二章“</w:t>
            </w:r>
            <w:r>
              <w:rPr>
                <w:rFonts w:hint="eastAsia" w:ascii="宋体" w:hAnsi="宋体"/>
                <w:color w:val="auto"/>
                <w:szCs w:val="21"/>
                <w:highlight w:val="none"/>
                <w:lang w:eastAsia="zh-CN"/>
              </w:rPr>
              <w:t>竞选人须知</w:t>
            </w:r>
            <w:r>
              <w:rPr>
                <w:rFonts w:hint="eastAsia" w:ascii="宋体" w:hAnsi="宋体"/>
                <w:color w:val="auto"/>
                <w:szCs w:val="21"/>
                <w:highlight w:val="none"/>
              </w:rPr>
              <w:t>”第3.3.1项规定，否则由评标委员会作否决投标处理。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A-25</w:t>
            </w:r>
            <w:r>
              <w:rPr>
                <w:rFonts w:hint="eastAsia" w:ascii="宋体" w:hAnsi="宋体"/>
                <w:color w:val="auto"/>
                <w:szCs w:val="21"/>
                <w:highlight w:val="none"/>
                <w:lang w:eastAsia="zh-CN"/>
              </w:rPr>
              <w:t>竞选人</w:t>
            </w:r>
            <w:r>
              <w:rPr>
                <w:rFonts w:ascii="宋体" w:hAnsi="宋体"/>
                <w:color w:val="auto"/>
                <w:szCs w:val="21"/>
                <w:highlight w:val="none"/>
              </w:rPr>
              <w:t>应按</w:t>
            </w:r>
            <w:r>
              <w:rPr>
                <w:rFonts w:hint="eastAsia" w:ascii="宋体" w:hAnsi="宋体"/>
                <w:color w:val="auto"/>
                <w:szCs w:val="21"/>
                <w:highlight w:val="none"/>
                <w:lang w:eastAsia="zh-CN"/>
              </w:rPr>
              <w:t>竞选人须知前附表</w:t>
            </w:r>
            <w:r>
              <w:rPr>
                <w:rFonts w:hint="eastAsia" w:ascii="宋体" w:hAnsi="宋体"/>
                <w:color w:val="auto"/>
                <w:szCs w:val="21"/>
                <w:highlight w:val="none"/>
              </w:rPr>
              <w:t>第3.4款的</w:t>
            </w:r>
            <w:r>
              <w:rPr>
                <w:rFonts w:ascii="宋体" w:hAnsi="宋体"/>
                <w:color w:val="auto"/>
                <w:szCs w:val="21"/>
                <w:highlight w:val="none"/>
              </w:rPr>
              <w:t>规定递交投标保证金，并作为其投标文件的组成部分</w:t>
            </w:r>
            <w:r>
              <w:rPr>
                <w:rFonts w:hint="eastAsia" w:ascii="宋体" w:hAnsi="宋体"/>
                <w:color w:val="auto"/>
                <w:szCs w:val="21"/>
                <w:highlight w:val="none"/>
              </w:rPr>
              <w:t>，</w:t>
            </w:r>
            <w:r>
              <w:rPr>
                <w:rFonts w:ascii="宋体" w:hAnsi="宋体"/>
                <w:color w:val="auto"/>
                <w:szCs w:val="21"/>
                <w:highlight w:val="none"/>
              </w:rPr>
              <w:t>否则</w:t>
            </w:r>
            <w:r>
              <w:rPr>
                <w:rFonts w:hint="eastAsia" w:ascii="宋体" w:hAnsi="宋体"/>
                <w:color w:val="auto"/>
                <w:szCs w:val="21"/>
                <w:highlight w:val="none"/>
              </w:rPr>
              <w:t>由评标委员会</w:t>
            </w:r>
            <w:r>
              <w:rPr>
                <w:rFonts w:ascii="宋体" w:hAnsi="宋体"/>
                <w:color w:val="auto"/>
                <w:szCs w:val="21"/>
                <w:highlight w:val="none"/>
              </w:rPr>
              <w:t>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A-26符合第四章“合同条款及格式”规定，投标文件不应附有</w:t>
            </w:r>
            <w:r>
              <w:rPr>
                <w:rFonts w:hint="eastAsia" w:ascii="宋体" w:hAnsi="宋体"/>
                <w:color w:val="auto"/>
                <w:szCs w:val="21"/>
                <w:highlight w:val="none"/>
                <w:lang w:eastAsia="zh-CN"/>
              </w:rPr>
              <w:t>比选人</w:t>
            </w:r>
            <w:r>
              <w:rPr>
                <w:rFonts w:hint="eastAsia" w:ascii="宋体" w:hAnsi="宋体"/>
                <w:color w:val="auto"/>
                <w:szCs w:val="21"/>
                <w:highlight w:val="none"/>
              </w:rPr>
              <w:t>不能接受的条件，否则由评标委员会作否决投标处理。（由</w:t>
            </w:r>
            <w:r>
              <w:rPr>
                <w:rFonts w:hint="eastAsia" w:ascii="宋体" w:hAnsi="宋体"/>
                <w:color w:val="auto"/>
                <w:szCs w:val="21"/>
                <w:highlight w:val="none"/>
                <w:lang w:eastAsia="zh-CN"/>
              </w:rPr>
              <w:t>竞选人</w:t>
            </w:r>
            <w:r>
              <w:rPr>
                <w:rFonts w:hint="eastAsia" w:ascii="宋体" w:hAnsi="宋体"/>
                <w:color w:val="auto"/>
                <w:szCs w:val="21"/>
                <w:highlight w:val="none"/>
              </w:rPr>
              <w:t>承诺，承诺书格式详见第八章投标文件格式。）</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A-27符合第七章“技术标准和要求”规定。否则由评标委员会作否决投标处理（如有）。（由</w:t>
            </w:r>
            <w:r>
              <w:rPr>
                <w:rFonts w:hint="eastAsia" w:ascii="宋体" w:hAnsi="宋体"/>
                <w:color w:val="auto"/>
                <w:szCs w:val="21"/>
                <w:highlight w:val="none"/>
                <w:lang w:eastAsia="zh-CN"/>
              </w:rPr>
              <w:t>竞选人</w:t>
            </w:r>
            <w:r>
              <w:rPr>
                <w:rFonts w:hint="eastAsia" w:ascii="宋体" w:hAnsi="宋体"/>
                <w:color w:val="auto"/>
                <w:szCs w:val="21"/>
                <w:highlight w:val="none"/>
              </w:rPr>
              <w:t>承诺，承诺书格式详见第八章投标文件格式。）</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A-28</w:t>
            </w:r>
            <w:r>
              <w:rPr>
                <w:rFonts w:hint="eastAsia" w:ascii="宋体" w:hAnsi="宋体"/>
                <w:color w:val="auto"/>
                <w:szCs w:val="21"/>
                <w:highlight w:val="none"/>
                <w:lang w:eastAsia="zh-CN"/>
              </w:rPr>
              <w:t>竞选人</w:t>
            </w:r>
            <w:r>
              <w:rPr>
                <w:rFonts w:hint="eastAsia" w:ascii="宋体" w:hAnsi="宋体"/>
                <w:color w:val="auto"/>
                <w:szCs w:val="21"/>
                <w:highlight w:val="none"/>
              </w:rPr>
              <w:t>提供的关于已标价工程量清单的承诺符合招标文件的要求，</w:t>
            </w:r>
            <w:r>
              <w:rPr>
                <w:rFonts w:ascii="宋体" w:hAnsi="宋体"/>
                <w:color w:val="auto"/>
                <w:szCs w:val="21"/>
                <w:highlight w:val="none"/>
              </w:rPr>
              <w:t>否则</w:t>
            </w:r>
            <w:r>
              <w:rPr>
                <w:rFonts w:hint="eastAsia" w:ascii="宋体" w:hAnsi="宋体"/>
                <w:color w:val="auto"/>
                <w:szCs w:val="21"/>
                <w:highlight w:val="none"/>
              </w:rPr>
              <w:t>由评标委员会</w:t>
            </w:r>
            <w:r>
              <w:rPr>
                <w:rFonts w:ascii="宋体" w:hAnsi="宋体"/>
                <w:color w:val="auto"/>
                <w:szCs w:val="21"/>
                <w:highlight w:val="none"/>
              </w:rPr>
              <w:t>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A-29投标报价有算术错误的，按照第三章“评标办法”第3.2.3项规定执行，否则由评标委员会作否决投标处理。</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Merge w:val="continue"/>
            <w:vAlign w:val="center"/>
          </w:tcPr>
          <w:p>
            <w:pPr>
              <w:spacing w:line="400" w:lineRule="exact"/>
              <w:jc w:val="center"/>
              <w:rPr>
                <w:rFonts w:ascii="宋体" w:hAnsi="宋体"/>
                <w:color w:val="auto"/>
                <w:szCs w:val="21"/>
                <w:highlight w:val="none"/>
              </w:rPr>
            </w:pPr>
          </w:p>
        </w:tc>
        <w:tc>
          <w:tcPr>
            <w:tcW w:w="1899" w:type="dxa"/>
            <w:vMerge w:val="continue"/>
            <w:vAlign w:val="center"/>
          </w:tcPr>
          <w:p>
            <w:pPr>
              <w:spacing w:line="400" w:lineRule="exact"/>
              <w:jc w:val="center"/>
              <w:rPr>
                <w:rFonts w:ascii="宋体" w:hAnsi="宋体"/>
                <w:color w:val="auto"/>
                <w:szCs w:val="21"/>
                <w:highlight w:val="none"/>
              </w:rPr>
            </w:pPr>
          </w:p>
        </w:tc>
        <w:tc>
          <w:tcPr>
            <w:tcW w:w="6333" w:type="dxa"/>
            <w:vAlign w:val="center"/>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A-30</w:t>
            </w:r>
            <w:r>
              <w:rPr>
                <w:rFonts w:hint="eastAsia" w:ascii="宋体" w:hAnsi="宋体"/>
                <w:color w:val="auto"/>
                <w:szCs w:val="21"/>
                <w:highlight w:val="none"/>
                <w:lang w:eastAsia="zh-CN"/>
              </w:rPr>
              <w:t>竞选人</w:t>
            </w:r>
            <w:r>
              <w:rPr>
                <w:rFonts w:hint="eastAsia" w:ascii="宋体" w:hAnsi="宋体"/>
                <w:color w:val="auto"/>
                <w:szCs w:val="21"/>
                <w:highlight w:val="none"/>
              </w:rPr>
              <w:t>有以下情形之一的，其投标文件由评标委员会</w:t>
            </w:r>
            <w:r>
              <w:rPr>
                <w:rFonts w:ascii="宋体" w:hAnsi="宋体"/>
                <w:color w:val="auto"/>
                <w:szCs w:val="21"/>
                <w:highlight w:val="none"/>
              </w:rPr>
              <w:t>作否决投标处理</w:t>
            </w:r>
            <w:r>
              <w:rPr>
                <w:rFonts w:hint="eastAsia" w:ascii="宋体" w:hAnsi="宋体"/>
                <w:color w:val="auto"/>
                <w:szCs w:val="21"/>
                <w:highlight w:val="none"/>
              </w:rPr>
              <w:t>：</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1.第二章“</w:t>
            </w:r>
            <w:r>
              <w:rPr>
                <w:rFonts w:hint="eastAsia" w:ascii="宋体" w:hAnsi="宋体"/>
                <w:color w:val="auto"/>
                <w:szCs w:val="21"/>
                <w:highlight w:val="none"/>
                <w:lang w:eastAsia="zh-CN"/>
              </w:rPr>
              <w:t>竞选人须知</w:t>
            </w:r>
            <w:r>
              <w:rPr>
                <w:rFonts w:hint="eastAsia" w:ascii="宋体" w:hAnsi="宋体"/>
                <w:color w:val="auto"/>
                <w:szCs w:val="21"/>
                <w:highlight w:val="none"/>
              </w:rPr>
              <w:t>”第1.4.3项规定的任何一种情形的；</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2.本次投标有串通投标、弄虚作假等违反招投标相关法律、法规的行为的；</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3.拒绝按评标委员会要求澄清、说明或补正的。</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jc w:val="center"/>
        </w:trPr>
        <w:tc>
          <w:tcPr>
            <w:tcW w:w="1237" w:type="dxa"/>
            <w:vAlign w:val="center"/>
          </w:tcPr>
          <w:p>
            <w:pPr>
              <w:spacing w:line="400" w:lineRule="exact"/>
              <w:jc w:val="center"/>
              <w:rPr>
                <w:rFonts w:ascii="宋体" w:hAnsi="宋体"/>
                <w:color w:val="auto"/>
                <w:szCs w:val="21"/>
                <w:highlight w:val="none"/>
              </w:rPr>
            </w:pPr>
            <w:r>
              <w:rPr>
                <w:rFonts w:ascii="宋体" w:hAnsi="宋体"/>
                <w:color w:val="auto"/>
                <w:szCs w:val="21"/>
                <w:highlight w:val="none"/>
              </w:rPr>
              <w:t>其他</w:t>
            </w:r>
          </w:p>
        </w:tc>
        <w:tc>
          <w:tcPr>
            <w:tcW w:w="1899" w:type="dxa"/>
            <w:vAlign w:val="center"/>
          </w:tcPr>
          <w:p>
            <w:pPr>
              <w:spacing w:line="400" w:lineRule="exact"/>
              <w:jc w:val="center"/>
              <w:rPr>
                <w:rFonts w:ascii="宋体" w:hAnsi="宋体"/>
                <w:color w:val="auto"/>
                <w:szCs w:val="21"/>
                <w:highlight w:val="none"/>
              </w:rPr>
            </w:pPr>
          </w:p>
        </w:tc>
        <w:tc>
          <w:tcPr>
            <w:tcW w:w="6333" w:type="dxa"/>
          </w:tcPr>
          <w:p>
            <w:pPr>
              <w:spacing w:line="400" w:lineRule="exact"/>
              <w:ind w:firstLine="420" w:firstLineChars="200"/>
              <w:rPr>
                <w:rFonts w:ascii="宋体" w:hAnsi="宋体"/>
                <w:i/>
                <w:color w:val="auto"/>
                <w:szCs w:val="21"/>
                <w:highlight w:val="none"/>
              </w:rPr>
            </w:pPr>
            <w:r>
              <w:rPr>
                <w:rFonts w:hint="eastAsia" w:ascii="宋体" w:hAnsi="宋体"/>
                <w:i/>
                <w:color w:val="auto"/>
                <w:szCs w:val="21"/>
                <w:highlight w:val="none"/>
              </w:rPr>
              <w:t>[提示：</w:t>
            </w:r>
            <w:r>
              <w:rPr>
                <w:rFonts w:hint="eastAsia" w:ascii="宋体" w:hAnsi="宋体"/>
                <w:i/>
                <w:color w:val="auto"/>
                <w:szCs w:val="21"/>
                <w:highlight w:val="none"/>
                <w:lang w:eastAsia="zh-CN"/>
              </w:rPr>
              <w:t>比选人</w:t>
            </w:r>
            <w:r>
              <w:rPr>
                <w:rFonts w:hint="eastAsia" w:ascii="宋体" w:hAnsi="宋体"/>
                <w:i/>
                <w:color w:val="auto"/>
                <w:szCs w:val="21"/>
                <w:highlight w:val="none"/>
              </w:rPr>
              <w:t>必须将所有否决投标条款集中罗列于此表，若无其他否决投标条款则在该条写无。]</w:t>
            </w:r>
          </w:p>
        </w:tc>
      </w:tr>
    </w:tbl>
    <w:p>
      <w:pPr>
        <w:spacing w:line="480" w:lineRule="auto"/>
        <w:jc w:val="left"/>
        <w:rPr>
          <w:rFonts w:ascii="宋体" w:hAnsi="宋体"/>
          <w:color w:val="auto"/>
          <w:kern w:val="0"/>
          <w:sz w:val="24"/>
          <w:highlight w:val="none"/>
        </w:rPr>
      </w:pPr>
    </w:p>
    <w:p>
      <w:pPr>
        <w:spacing w:line="200" w:lineRule="exact"/>
        <w:rPr>
          <w:rFonts w:ascii="宋体" w:hAnsi="宋体"/>
          <w:color w:val="auto"/>
          <w:kern w:val="0"/>
          <w:highlight w:val="none"/>
        </w:rPr>
      </w:pPr>
      <w:r>
        <w:rPr>
          <w:rFonts w:ascii="宋体" w:hAnsi="宋体"/>
          <w:snapToGrid w:val="0"/>
          <w:color w:val="auto"/>
          <w:kern w:val="0"/>
          <w:highlight w:val="none"/>
        </w:rPr>
        <w:br w:type="page"/>
      </w:r>
      <w:bookmarkStart w:id="345" w:name="招标文件03章02评标办法综合评估法"/>
      <w:bookmarkEnd w:id="345"/>
      <w:bookmarkStart w:id="346" w:name="招标文件03章02评标办法综合评估法00"/>
      <w:bookmarkEnd w:id="346"/>
    </w:p>
    <w:bookmarkEnd w:id="295"/>
    <w:bookmarkEnd w:id="296"/>
    <w:bookmarkEnd w:id="297"/>
    <w:bookmarkEnd w:id="298"/>
    <w:bookmarkEnd w:id="299"/>
    <w:bookmarkEnd w:id="300"/>
    <w:bookmarkEnd w:id="301"/>
    <w:bookmarkEnd w:id="302"/>
    <w:p>
      <w:pPr>
        <w:pStyle w:val="3"/>
        <w:spacing w:line="360" w:lineRule="auto"/>
        <w:jc w:val="center"/>
        <w:rPr>
          <w:rFonts w:ascii="宋体" w:hAnsi="宋体"/>
          <w:color w:val="auto"/>
          <w:kern w:val="0"/>
          <w:highlight w:val="none"/>
        </w:rPr>
      </w:pPr>
      <w:bookmarkStart w:id="347" w:name="_Toc430530509"/>
      <w:bookmarkStart w:id="348" w:name="_Toc509218785"/>
      <w:bookmarkStart w:id="349" w:name="_Toc8427"/>
      <w:bookmarkStart w:id="350" w:name="_Toc27954"/>
      <w:r>
        <w:rPr>
          <w:rFonts w:hint="eastAsia" w:ascii="宋体" w:hAnsi="宋体"/>
          <w:color w:val="auto"/>
          <w:kern w:val="0"/>
          <w:highlight w:val="none"/>
        </w:rPr>
        <w:t>第四章  合同条款及格式</w:t>
      </w:r>
      <w:bookmarkEnd w:id="347"/>
      <w:bookmarkEnd w:id="348"/>
      <w:bookmarkEnd w:id="349"/>
      <w:bookmarkEnd w:id="350"/>
    </w:p>
    <w:p>
      <w:pPr>
        <w:rPr>
          <w:rFonts w:ascii="宋体" w:hAnsi="宋体"/>
          <w:color w:val="auto"/>
          <w:sz w:val="44"/>
          <w:szCs w:val="44"/>
          <w:highlight w:val="none"/>
        </w:rPr>
      </w:pPr>
      <w:r>
        <w:rPr>
          <w:rFonts w:ascii="宋体" w:hAnsi="宋体"/>
          <w:color w:val="auto"/>
          <w:highlight w:val="none"/>
        </w:rPr>
        <w:br w:type="page"/>
      </w:r>
      <w:bookmarkStart w:id="351" w:name="_Toc296503025"/>
      <w:bookmarkStart w:id="352" w:name="_Toc351203480"/>
      <w:bookmarkStart w:id="353" w:name="_Toc296890982"/>
    </w:p>
    <w:p>
      <w:pPr>
        <w:spacing w:line="360" w:lineRule="auto"/>
        <w:jc w:val="center"/>
        <w:rPr>
          <w:rFonts w:ascii="宋体" w:hAnsi="宋体"/>
          <w:color w:val="auto"/>
          <w:sz w:val="44"/>
          <w:szCs w:val="44"/>
          <w:highlight w:val="none"/>
        </w:rPr>
      </w:pPr>
      <w:bookmarkStart w:id="354" w:name="_Toc16194"/>
      <w:bookmarkStart w:id="355" w:name="_Toc534185822"/>
      <w:bookmarkStart w:id="356" w:name="_Toc430530513"/>
      <w:bookmarkStart w:id="357" w:name="_Toc287620797"/>
      <w:bookmarkStart w:id="358" w:name="_Toc287607855"/>
      <w:bookmarkStart w:id="359" w:name="_Toc509218843"/>
      <w:r>
        <w:rPr>
          <w:rFonts w:hint="eastAsia" w:ascii="宋体" w:hAnsi="宋体"/>
          <w:color w:val="auto"/>
          <w:sz w:val="44"/>
          <w:szCs w:val="44"/>
          <w:highlight w:val="none"/>
        </w:rPr>
        <w:t>第一部分 合同协议书</w:t>
      </w:r>
    </w:p>
    <w:p>
      <w:pPr>
        <w:pStyle w:val="137"/>
        <w:snapToGrid w:val="0"/>
        <w:spacing w:before="0" w:line="360" w:lineRule="auto"/>
        <w:ind w:firstLine="562" w:firstLineChars="200"/>
        <w:rPr>
          <w:rFonts w:ascii="宋体" w:hAnsi="宋体"/>
          <w:color w:val="auto"/>
          <w:highlight w:val="none"/>
        </w:rPr>
      </w:pPr>
    </w:p>
    <w:p>
      <w:pPr>
        <w:pStyle w:val="137"/>
        <w:snapToGrid w:val="0"/>
        <w:spacing w:before="0" w:line="360" w:lineRule="auto"/>
        <w:ind w:firstLine="480" w:firstLineChars="200"/>
        <w:rPr>
          <w:rFonts w:ascii="宋体" w:hAnsi="宋体"/>
          <w:b w:val="0"/>
          <w:i/>
          <w:color w:val="auto"/>
          <w:sz w:val="24"/>
          <w:szCs w:val="24"/>
          <w:highlight w:val="none"/>
        </w:rPr>
      </w:pPr>
      <w:bookmarkStart w:id="360" w:name="_Toc9255"/>
      <w:bookmarkStart w:id="361" w:name="_Toc28182"/>
      <w:r>
        <w:rPr>
          <w:rFonts w:ascii="宋体" w:hAnsi="宋体"/>
          <w:b w:val="0"/>
          <w:i/>
          <w:color w:val="auto"/>
          <w:sz w:val="24"/>
          <w:szCs w:val="24"/>
          <w:highlight w:val="none"/>
        </w:rPr>
        <w:t>[提示</w:t>
      </w:r>
      <w:r>
        <w:rPr>
          <w:rFonts w:hint="eastAsia" w:ascii="宋体" w:hAnsi="宋体"/>
          <w:b w:val="0"/>
          <w:i/>
          <w:color w:val="auto"/>
          <w:sz w:val="24"/>
          <w:szCs w:val="24"/>
          <w:highlight w:val="none"/>
        </w:rPr>
        <w:t>：</w:t>
      </w:r>
      <w:r>
        <w:rPr>
          <w:rFonts w:ascii="宋体" w:hAnsi="宋体"/>
          <w:b w:val="0"/>
          <w:i/>
          <w:color w:val="auto"/>
          <w:sz w:val="21"/>
          <w:szCs w:val="21"/>
          <w:highlight w:val="none"/>
        </w:rPr>
        <w:t>合同协议书为示范性内容，</w:t>
      </w:r>
      <w:r>
        <w:rPr>
          <w:rFonts w:hint="eastAsia" w:ascii="宋体" w:hAnsi="宋体"/>
          <w:b w:val="0"/>
          <w:i/>
          <w:color w:val="auto"/>
          <w:sz w:val="21"/>
          <w:szCs w:val="21"/>
          <w:highlight w:val="none"/>
          <w:lang w:eastAsia="zh-CN"/>
        </w:rPr>
        <w:t>比选人</w:t>
      </w:r>
      <w:r>
        <w:rPr>
          <w:rFonts w:ascii="宋体" w:hAnsi="宋体"/>
          <w:b w:val="0"/>
          <w:i/>
          <w:color w:val="auto"/>
          <w:sz w:val="21"/>
          <w:szCs w:val="21"/>
          <w:highlight w:val="none"/>
        </w:rPr>
        <w:t>在编制招标文件时不必填写，供中标后签订合同时填写。</w:t>
      </w:r>
      <w:bookmarkEnd w:id="360"/>
      <w:bookmarkEnd w:id="361"/>
      <w:r>
        <w:rPr>
          <w:rFonts w:ascii="宋体" w:hAnsi="宋体"/>
          <w:b w:val="0"/>
          <w:i/>
          <w:color w:val="auto"/>
          <w:sz w:val="24"/>
          <w:szCs w:val="24"/>
          <w:highlight w:val="none"/>
        </w:rPr>
        <w:t>]</w:t>
      </w:r>
    </w:p>
    <w:p>
      <w:pPr>
        <w:rPr>
          <w:rFonts w:ascii="宋体" w:hAnsi="宋体"/>
          <w:b/>
          <w:color w:val="auto"/>
          <w:highlight w:val="none"/>
        </w:rPr>
      </w:pPr>
      <w:r>
        <w:rPr>
          <w:rFonts w:ascii="宋体" w:hAnsi="宋体"/>
          <w:color w:val="auto"/>
          <w:highlight w:val="none"/>
        </w:rPr>
        <w:br w:type="page"/>
      </w:r>
    </w:p>
    <w:p>
      <w:pPr>
        <w:pStyle w:val="5"/>
        <w:jc w:val="center"/>
        <w:rPr>
          <w:rFonts w:ascii="宋体" w:hAnsi="宋体"/>
          <w:b w:val="0"/>
          <w:color w:val="auto"/>
          <w:sz w:val="44"/>
          <w:szCs w:val="44"/>
          <w:highlight w:val="none"/>
        </w:rPr>
      </w:pPr>
      <w:bookmarkStart w:id="362" w:name="_Toc13825"/>
      <w:bookmarkStart w:id="363" w:name="_Toc57820637"/>
      <w:bookmarkStart w:id="364" w:name="_Toc12845"/>
      <w:bookmarkStart w:id="365" w:name="_Toc534185765"/>
      <w:bookmarkStart w:id="366" w:name="_Toc509218786"/>
      <w:bookmarkStart w:id="367" w:name="_Toc351203494"/>
      <w:r>
        <w:rPr>
          <w:rFonts w:ascii="宋体" w:hAnsi="宋体"/>
          <w:color w:val="auto"/>
          <w:sz w:val="44"/>
          <w:szCs w:val="44"/>
          <w:highlight w:val="none"/>
        </w:rPr>
        <w:t>第一部分 合同协议书</w:t>
      </w:r>
      <w:bookmarkEnd w:id="362"/>
      <w:bookmarkEnd w:id="363"/>
    </w:p>
    <w:p>
      <w:pPr>
        <w:snapToGrid w:val="0"/>
        <w:spacing w:line="600" w:lineRule="exact"/>
        <w:ind w:firstLine="480" w:firstLineChars="200"/>
        <w:rPr>
          <w:rFonts w:ascii="宋体" w:hAnsi="宋体"/>
          <w:color w:val="auto"/>
          <w:sz w:val="24"/>
          <w:highlight w:val="none"/>
        </w:rPr>
      </w:pPr>
    </w:p>
    <w:p>
      <w:pPr>
        <w:snapToGrid w:val="0"/>
        <w:spacing w:line="360" w:lineRule="auto"/>
        <w:ind w:firstLine="422" w:firstLineChars="200"/>
        <w:rPr>
          <w:rFonts w:hint="eastAsia" w:ascii="宋体" w:hAnsi="宋体" w:eastAsia="宋体"/>
          <w:b/>
          <w:color w:val="auto"/>
          <w:szCs w:val="21"/>
          <w:highlight w:val="none"/>
          <w:u w:val="single"/>
          <w:lang w:eastAsia="zh-CN"/>
        </w:rPr>
      </w:pPr>
      <w:r>
        <w:rPr>
          <w:rFonts w:hint="eastAsia" w:ascii="宋体" w:hAnsi="宋体"/>
          <w:b/>
          <w:color w:val="auto"/>
          <w:szCs w:val="21"/>
          <w:highlight w:val="none"/>
        </w:rPr>
        <w:t>发包人（全称）：</w:t>
      </w:r>
      <w:r>
        <w:rPr>
          <w:rFonts w:hint="eastAsia" w:ascii="宋体" w:hAnsi="宋体"/>
          <w:color w:val="auto"/>
          <w:szCs w:val="21"/>
          <w:highlight w:val="none"/>
          <w:u w:val="single"/>
        </w:rPr>
        <w:t></w:t>
      </w:r>
      <w:r>
        <w:rPr>
          <w:rFonts w:hint="eastAsia" w:ascii="宋体" w:hAnsi="宋体"/>
          <w:color w:val="auto"/>
          <w:szCs w:val="21"/>
          <w:highlight w:val="none"/>
          <w:u w:val="single"/>
          <w:lang w:val="en-US" w:eastAsia="zh-CN"/>
        </w:rPr>
        <w:t xml:space="preserve">                      </w:t>
      </w:r>
    </w:p>
    <w:p>
      <w:pPr>
        <w:snapToGrid w:val="0"/>
        <w:spacing w:line="360" w:lineRule="auto"/>
        <w:ind w:firstLine="422" w:firstLineChars="200"/>
        <w:rPr>
          <w:rFonts w:ascii="宋体" w:hAnsi="宋体"/>
          <w:b/>
          <w:color w:val="auto"/>
          <w:szCs w:val="21"/>
          <w:highlight w:val="none"/>
          <w:u w:val="single"/>
        </w:rPr>
      </w:pPr>
      <w:r>
        <w:rPr>
          <w:rFonts w:hint="eastAsia" w:ascii="宋体" w:hAnsi="宋体"/>
          <w:b/>
          <w:color w:val="auto"/>
          <w:szCs w:val="21"/>
          <w:highlight w:val="none"/>
        </w:rPr>
        <w:t>承包人（全称）：</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p>
    <w:p>
      <w:pPr>
        <w:spacing w:line="360" w:lineRule="auto"/>
        <w:ind w:firstLine="420" w:firstLineChars="200"/>
        <w:rPr>
          <w:rFonts w:ascii="宋体" w:hAnsi="宋体"/>
          <w:b/>
          <w:color w:val="auto"/>
          <w:szCs w:val="21"/>
          <w:highlight w:val="none"/>
          <w:u w:val="single"/>
        </w:rPr>
      </w:pPr>
      <w:r>
        <w:rPr>
          <w:rFonts w:hint="eastAsia" w:ascii="宋体" w:hAnsi="宋体"/>
          <w:color w:val="auto"/>
          <w:szCs w:val="21"/>
          <w:highlight w:val="none"/>
        </w:rPr>
        <w:t>根据《中华人民共和国民法典》、《中华人民共和国建筑法》及有关法律、法规规定，遵循平等、自愿、公平和诚实信用的原则，双方就</w:t>
      </w:r>
      <w:r>
        <w:rPr>
          <w:rFonts w:hint="eastAsia" w:ascii="宋体" w:hAnsi="宋体"/>
          <w:color w:val="auto"/>
          <w:szCs w:val="21"/>
          <w:highlight w:val="none"/>
          <w:u w:val="single"/>
        </w:rPr>
        <w:t xml:space="preserve">       </w:t>
      </w:r>
      <w:r>
        <w:rPr>
          <w:rFonts w:hint="eastAsia" w:ascii="宋体" w:hAnsi="宋体"/>
          <w:color w:val="auto"/>
          <w:szCs w:val="21"/>
          <w:highlight w:val="none"/>
        </w:rPr>
        <w:t>工程施工及有关事项协商一致，共同达成如下协议：</w:t>
      </w:r>
    </w:p>
    <w:p>
      <w:pPr>
        <w:pStyle w:val="6"/>
        <w:keepNext/>
        <w:keepLines/>
        <w:spacing w:before="120" w:after="120" w:line="360" w:lineRule="auto"/>
        <w:ind w:firstLine="422" w:firstLineChars="200"/>
        <w:jc w:val="both"/>
        <w:rPr>
          <w:color w:val="auto"/>
          <w:kern w:val="2"/>
          <w:sz w:val="21"/>
          <w:szCs w:val="21"/>
          <w:highlight w:val="none"/>
        </w:rPr>
      </w:pPr>
      <w:r>
        <w:rPr>
          <w:rFonts w:hint="eastAsia"/>
          <w:color w:val="auto"/>
          <w:kern w:val="2"/>
          <w:sz w:val="21"/>
          <w:szCs w:val="21"/>
          <w:highlight w:val="none"/>
        </w:rPr>
        <w:t>一、工程概况</w:t>
      </w:r>
    </w:p>
    <w:p>
      <w:pPr>
        <w:snapToGrid w:val="0"/>
        <w:spacing w:line="360" w:lineRule="auto"/>
        <w:ind w:firstLine="420" w:firstLineChars="200"/>
        <w:rPr>
          <w:rFonts w:ascii="宋体" w:hAnsi="宋体"/>
          <w:color w:val="auto"/>
          <w:szCs w:val="21"/>
          <w:highlight w:val="none"/>
          <w:u w:val="single"/>
        </w:rPr>
      </w:pPr>
      <w:r>
        <w:rPr>
          <w:rFonts w:hint="eastAsia" w:ascii="宋体" w:hAnsi="宋体"/>
          <w:bCs/>
          <w:color w:val="auto"/>
          <w:szCs w:val="21"/>
          <w:highlight w:val="none"/>
        </w:rPr>
        <w:t>1.工程名称</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napToGrid w:val="0"/>
        <w:spacing w:line="360" w:lineRule="auto"/>
        <w:ind w:firstLine="420" w:firstLineChars="200"/>
        <w:rPr>
          <w:rFonts w:ascii="宋体" w:hAnsi="宋体"/>
          <w:bCs/>
          <w:color w:val="auto"/>
          <w:szCs w:val="21"/>
          <w:highlight w:val="none"/>
        </w:rPr>
      </w:pPr>
      <w:r>
        <w:rPr>
          <w:rFonts w:hint="eastAsia" w:ascii="宋体" w:hAnsi="宋体"/>
          <w:bCs/>
          <w:color w:val="auto"/>
          <w:szCs w:val="21"/>
          <w:highlight w:val="none"/>
        </w:rPr>
        <w:t>2.工程地点：</w:t>
      </w:r>
      <w:r>
        <w:rPr>
          <w:rFonts w:hint="eastAsia" w:ascii="宋体" w:hAnsi="宋体"/>
          <w:color w:val="auto"/>
          <w:szCs w:val="21"/>
          <w:highlight w:val="none"/>
          <w:u w:val="single"/>
        </w:rPr>
        <w:t xml:space="preserve"> </w:t>
      </w:r>
      <w:r>
        <w:rPr>
          <w:rFonts w:hint="eastAsia" w:ascii="宋体" w:hAnsi="宋体"/>
          <w:color w:val="auto"/>
          <w:highlight w:val="none"/>
          <w:u w:val="single"/>
          <w:lang w:val="en-US" w:eastAsia="zh-CN"/>
        </w:rPr>
        <w:t xml:space="preserve">                                </w:t>
      </w:r>
      <w:r>
        <w:rPr>
          <w:rFonts w:ascii="宋体" w:hAnsi="宋体"/>
          <w:color w:val="auto"/>
          <w:highlight w:val="none"/>
          <w:u w:val="single"/>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napToGrid w:val="0"/>
        <w:spacing w:line="360" w:lineRule="auto"/>
        <w:ind w:firstLine="420" w:firstLineChars="200"/>
        <w:rPr>
          <w:rFonts w:ascii="宋体" w:hAnsi="宋体"/>
          <w:bCs/>
          <w:color w:val="auto"/>
          <w:szCs w:val="21"/>
          <w:highlight w:val="none"/>
        </w:rPr>
      </w:pPr>
      <w:r>
        <w:rPr>
          <w:rFonts w:hint="eastAsia" w:ascii="宋体" w:hAnsi="宋体"/>
          <w:bCs/>
          <w:color w:val="auto"/>
          <w:szCs w:val="21"/>
          <w:highlight w:val="none"/>
        </w:rPr>
        <w:t>3.工程立项批准文号：</w:t>
      </w:r>
      <w:r>
        <w:rPr>
          <w:rFonts w:hint="eastAsia" w:ascii="宋体" w:hAnsi="宋体"/>
          <w:color w:val="auto"/>
          <w:szCs w:val="21"/>
          <w:highlight w:val="none"/>
          <w:u w:val="single"/>
        </w:rPr>
        <w:t xml:space="preserve"> </w:t>
      </w:r>
      <w:r>
        <w:rPr>
          <w:rFonts w:hint="eastAsia" w:ascii="宋体" w:hAnsi="宋体"/>
          <w:bCs/>
          <w:color w:val="auto"/>
          <w:highlight w:val="none"/>
          <w:u w:val="single"/>
          <w:lang w:val="en-US" w:eastAsia="zh-CN"/>
        </w:rPr>
        <w:t xml:space="preserve">                            </w:t>
      </w:r>
      <w:r>
        <w:rPr>
          <w:rFonts w:ascii="宋体" w:hAnsi="宋体"/>
          <w:color w:val="auto"/>
          <w:highlight w:val="none"/>
          <w:u w:val="single"/>
        </w:rPr>
        <w:t xml:space="preserve">      </w:t>
      </w:r>
      <w:r>
        <w:rPr>
          <w:rFonts w:hint="eastAsia" w:ascii="宋体" w:hAnsi="宋体"/>
          <w:color w:val="auto"/>
          <w:szCs w:val="21"/>
          <w:highlight w:val="none"/>
          <w:u w:val="single"/>
        </w:rPr>
        <w:t xml:space="preserve">  </w:t>
      </w:r>
      <w:r>
        <w:rPr>
          <w:rFonts w:hint="eastAsia" w:ascii="宋体" w:hAnsi="宋体"/>
          <w:bCs/>
          <w:color w:val="auto"/>
          <w:szCs w:val="21"/>
          <w:highlight w:val="none"/>
        </w:rPr>
        <w:t>。</w:t>
      </w:r>
    </w:p>
    <w:p>
      <w:pPr>
        <w:snapToGrid w:val="0"/>
        <w:spacing w:line="360" w:lineRule="auto"/>
        <w:ind w:firstLine="420" w:firstLineChars="200"/>
        <w:rPr>
          <w:rFonts w:ascii="宋体" w:hAnsi="宋体"/>
          <w:bCs/>
          <w:color w:val="auto"/>
          <w:szCs w:val="21"/>
          <w:highlight w:val="none"/>
        </w:rPr>
      </w:pPr>
      <w:r>
        <w:rPr>
          <w:rFonts w:hint="eastAsia" w:ascii="宋体" w:hAnsi="宋体"/>
          <w:bCs/>
          <w:color w:val="auto"/>
          <w:szCs w:val="21"/>
          <w:highlight w:val="none"/>
        </w:rPr>
        <w:t>4.资金来源：</w:t>
      </w:r>
      <w:r>
        <w:rPr>
          <w:rFonts w:hint="eastAsia" w:ascii="宋体" w:hAnsi="宋体"/>
          <w:color w:val="auto"/>
          <w:szCs w:val="21"/>
          <w:highlight w:val="none"/>
          <w:u w:val="single"/>
        </w:rPr>
        <w:t xml:space="preserve">   </w:t>
      </w:r>
      <w:r>
        <w:rPr>
          <w:rFonts w:hint="eastAsia" w:ascii="宋体" w:hAnsi="宋体"/>
          <w:snapToGrid w:val="0"/>
          <w:color w:val="auto"/>
          <w:kern w:val="0"/>
          <w:szCs w:val="21"/>
          <w:highlight w:val="none"/>
          <w:u w:val="single"/>
          <w:lang w:val="en-US" w:eastAsia="zh-CN"/>
        </w:rPr>
        <w:t>业主自筹</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napToGrid w:val="0"/>
        <w:spacing w:line="360" w:lineRule="auto"/>
        <w:ind w:firstLine="420" w:firstLineChars="200"/>
        <w:rPr>
          <w:rFonts w:ascii="宋体" w:hAnsi="宋体"/>
          <w:bCs/>
          <w:color w:val="auto"/>
          <w:szCs w:val="21"/>
          <w:highlight w:val="none"/>
        </w:rPr>
      </w:pPr>
      <w:r>
        <w:rPr>
          <w:rFonts w:hint="eastAsia" w:ascii="宋体" w:hAnsi="宋体"/>
          <w:bCs/>
          <w:color w:val="auto"/>
          <w:szCs w:val="21"/>
          <w:highlight w:val="none"/>
        </w:rPr>
        <w:t>5.工程内容：</w:t>
      </w:r>
      <w:r>
        <w:rPr>
          <w:rFonts w:hint="eastAsia" w:ascii="宋体" w:hAnsi="宋体"/>
          <w:color w:val="auto"/>
          <w:szCs w:val="21"/>
          <w:highlight w:val="none"/>
          <w:u w:val="single"/>
        </w:rPr>
        <w:t xml:space="preserve"> </w:t>
      </w:r>
      <w:r>
        <w:rPr>
          <w:rFonts w:hint="eastAsia" w:ascii="宋体" w:hAnsi="宋体"/>
          <w:bCs/>
          <w:color w:val="auto"/>
          <w:highlight w:val="none"/>
          <w:u w:val="single"/>
          <w:lang w:val="en-US" w:eastAsia="zh-CN"/>
        </w:rPr>
        <w:t xml:space="preserve">                              </w:t>
      </w:r>
      <w:r>
        <w:rPr>
          <w:snapToGrid w:val="0"/>
          <w:color w:val="auto"/>
          <w:kern w:val="0"/>
          <w:highlight w:val="none"/>
          <w:u w:val="single"/>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napToGrid w:val="0"/>
        <w:spacing w:line="360" w:lineRule="auto"/>
        <w:ind w:firstLine="420" w:firstLineChars="200"/>
        <w:jc w:val="left"/>
        <w:rPr>
          <w:rFonts w:ascii="宋体" w:hAnsi="宋体"/>
          <w:bCs/>
          <w:color w:val="auto"/>
          <w:szCs w:val="21"/>
          <w:highlight w:val="none"/>
        </w:rPr>
      </w:pPr>
      <w:r>
        <w:rPr>
          <w:rFonts w:hint="eastAsia" w:ascii="宋体" w:hAnsi="宋体"/>
          <w:bCs/>
          <w:color w:val="auto"/>
          <w:szCs w:val="21"/>
          <w:highlight w:val="none"/>
        </w:rPr>
        <w:t>6.工程承包范围：</w:t>
      </w:r>
      <w:r>
        <w:rPr>
          <w:rFonts w:hint="eastAsia" w:ascii="宋体" w:hAnsi="宋体"/>
          <w:color w:val="auto"/>
          <w:szCs w:val="21"/>
          <w:highlight w:val="none"/>
          <w:u w:val="single"/>
        </w:rPr>
        <w:t></w:t>
      </w:r>
      <w:r>
        <w:rPr>
          <w:rFonts w:hint="eastAsia" w:ascii="宋体" w:hAnsi="宋体"/>
          <w:snapToGrid w:val="0"/>
          <w:color w:val="auto"/>
          <w:kern w:val="0"/>
          <w:szCs w:val="21"/>
          <w:highlight w:val="none"/>
          <w:u w:val="single"/>
          <w:lang w:val="en-US" w:eastAsia="zh-CN"/>
        </w:rPr>
        <w:t xml:space="preserve">                  </w:t>
      </w:r>
      <w:r>
        <w:rPr>
          <w:rFonts w:ascii="宋体" w:hAnsi="宋体"/>
          <w:color w:val="auto"/>
          <w:highlight w:val="none"/>
          <w:u w:val="single"/>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pStyle w:val="6"/>
        <w:keepNext/>
        <w:keepLines/>
        <w:spacing w:before="120" w:after="120" w:line="360" w:lineRule="auto"/>
        <w:ind w:firstLine="422" w:firstLineChars="200"/>
        <w:jc w:val="both"/>
        <w:rPr>
          <w:color w:val="auto"/>
          <w:kern w:val="2"/>
          <w:sz w:val="21"/>
          <w:szCs w:val="21"/>
          <w:highlight w:val="none"/>
        </w:rPr>
      </w:pPr>
      <w:r>
        <w:rPr>
          <w:rFonts w:hint="eastAsia"/>
          <w:color w:val="auto"/>
          <w:kern w:val="2"/>
          <w:sz w:val="21"/>
          <w:szCs w:val="21"/>
          <w:highlight w:val="none"/>
        </w:rPr>
        <w:t>二、合同工期</w:t>
      </w:r>
    </w:p>
    <w:p>
      <w:pPr>
        <w:spacing w:line="360" w:lineRule="auto"/>
        <w:ind w:firstLine="420" w:firstLineChars="200"/>
        <w:rPr>
          <w:rFonts w:ascii="宋体" w:hAnsi="宋体"/>
          <w:bCs/>
          <w:color w:val="auto"/>
          <w:szCs w:val="21"/>
          <w:highlight w:val="none"/>
        </w:rPr>
      </w:pPr>
      <w:r>
        <w:rPr>
          <w:rFonts w:hint="eastAsia" w:ascii="宋体" w:hAnsi="宋体"/>
          <w:bCs/>
          <w:color w:val="auto"/>
          <w:szCs w:val="21"/>
          <w:highlight w:val="none"/>
        </w:rPr>
        <w:t>承包人投标函中承诺的工期：</w:t>
      </w:r>
      <w:r>
        <w:rPr>
          <w:rFonts w:ascii="宋体" w:hAnsi="宋体"/>
          <w:bCs/>
          <w:color w:val="auto"/>
          <w:highlight w:val="none"/>
          <w:u w:val="single"/>
        </w:rPr>
        <w:t xml:space="preserve">   </w:t>
      </w:r>
      <w:r>
        <w:rPr>
          <w:rFonts w:hint="eastAsia" w:ascii="宋体" w:hAnsi="宋体"/>
          <w:bCs/>
          <w:color w:val="auto"/>
          <w:highlight w:val="none"/>
          <w:u w:val="single"/>
          <w:lang w:val="en-US" w:eastAsia="zh-CN"/>
        </w:rPr>
        <w:t>6</w:t>
      </w:r>
      <w:r>
        <w:rPr>
          <w:rFonts w:hint="eastAsia" w:ascii="宋体" w:hAnsi="宋体"/>
          <w:bCs/>
          <w:color w:val="auto"/>
          <w:highlight w:val="none"/>
          <w:u w:val="single"/>
        </w:rPr>
        <w:t>0</w:t>
      </w:r>
      <w:r>
        <w:rPr>
          <w:rFonts w:ascii="宋体" w:hAnsi="宋体"/>
          <w:bCs/>
          <w:color w:val="auto"/>
          <w:highlight w:val="none"/>
          <w:u w:val="single"/>
        </w:rPr>
        <w:t xml:space="preserve">  日历天</w:t>
      </w:r>
      <w:r>
        <w:rPr>
          <w:rFonts w:ascii="宋体" w:hAnsi="宋体"/>
          <w:bCs/>
          <w:color w:val="auto"/>
          <w:highlight w:val="none"/>
        </w:rPr>
        <w:t>。（从中标通知书发出之日起算）实际竣工日期以工程竣工验收合格之日为准。</w:t>
      </w:r>
    </w:p>
    <w:p>
      <w:pPr>
        <w:spacing w:line="360" w:lineRule="auto"/>
        <w:ind w:firstLine="420" w:firstLineChars="200"/>
        <w:rPr>
          <w:rFonts w:ascii="宋体" w:hAnsi="宋体"/>
          <w:bCs/>
          <w:color w:val="auto"/>
          <w:highlight w:val="none"/>
        </w:rPr>
      </w:pPr>
      <w:r>
        <w:rPr>
          <w:rFonts w:ascii="宋体" w:hAnsi="宋体"/>
          <w:bCs/>
          <w:color w:val="auto"/>
          <w:highlight w:val="none"/>
        </w:rPr>
        <w:t>缺陷责任期:约定为 24 个月，从竣工验收</w:t>
      </w:r>
      <w:r>
        <w:rPr>
          <w:rFonts w:hint="eastAsia" w:ascii="宋体" w:hAnsi="宋体"/>
          <w:bCs/>
          <w:color w:val="auto"/>
          <w:highlight w:val="none"/>
        </w:rPr>
        <w:t>合格</w:t>
      </w:r>
      <w:r>
        <w:rPr>
          <w:rFonts w:ascii="宋体" w:hAnsi="宋体"/>
          <w:bCs/>
          <w:color w:val="auto"/>
          <w:highlight w:val="none"/>
        </w:rPr>
        <w:t>之日起计算。</w:t>
      </w:r>
    </w:p>
    <w:p>
      <w:pPr>
        <w:pStyle w:val="6"/>
        <w:keepNext/>
        <w:keepLines/>
        <w:spacing w:before="120" w:after="120" w:line="360" w:lineRule="auto"/>
        <w:ind w:firstLine="422" w:firstLineChars="200"/>
        <w:jc w:val="both"/>
        <w:rPr>
          <w:color w:val="auto"/>
          <w:kern w:val="2"/>
          <w:sz w:val="21"/>
          <w:szCs w:val="21"/>
          <w:highlight w:val="none"/>
        </w:rPr>
      </w:pPr>
      <w:r>
        <w:rPr>
          <w:rFonts w:hint="eastAsia"/>
          <w:color w:val="auto"/>
          <w:kern w:val="2"/>
          <w:sz w:val="21"/>
          <w:szCs w:val="21"/>
          <w:highlight w:val="none"/>
        </w:rPr>
        <w:t>三、质量标准</w:t>
      </w:r>
    </w:p>
    <w:p>
      <w:pPr>
        <w:snapToGrid w:val="0"/>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工程质量符合强制性质量标准，</w:t>
      </w:r>
      <w:r>
        <w:rPr>
          <w:rFonts w:hint="eastAsia" w:ascii="宋体" w:hAnsi="宋体"/>
          <w:color w:val="auto"/>
          <w:szCs w:val="21"/>
          <w:highlight w:val="none"/>
          <w:u w:val="single"/>
        </w:rPr>
        <w:t>符合国家</w:t>
      </w:r>
      <w:r>
        <w:rPr>
          <w:rFonts w:ascii="宋体" w:hAnsi="宋体"/>
          <w:color w:val="auto"/>
          <w:szCs w:val="21"/>
          <w:highlight w:val="none"/>
          <w:u w:val="single"/>
        </w:rPr>
        <w:t>和重庆市现行</w:t>
      </w:r>
      <w:r>
        <w:rPr>
          <w:rFonts w:hint="eastAsia" w:ascii="宋体" w:hAnsi="宋体"/>
          <w:color w:val="auto"/>
          <w:szCs w:val="21"/>
          <w:highlight w:val="none"/>
          <w:u w:val="single"/>
        </w:rPr>
        <w:t>有关施工质量验收规范要求，并达到合格</w:t>
      </w:r>
      <w:r>
        <w:rPr>
          <w:rFonts w:hint="eastAsia" w:ascii="宋体" w:hAnsi="宋体"/>
          <w:color w:val="auto"/>
          <w:szCs w:val="21"/>
          <w:highlight w:val="none"/>
        </w:rPr>
        <w:t>标准。</w:t>
      </w:r>
    </w:p>
    <w:p>
      <w:pPr>
        <w:pStyle w:val="6"/>
        <w:keepNext/>
        <w:keepLines/>
        <w:spacing w:before="120" w:after="120" w:line="360" w:lineRule="auto"/>
        <w:ind w:firstLine="422" w:firstLineChars="200"/>
        <w:jc w:val="both"/>
        <w:rPr>
          <w:color w:val="auto"/>
          <w:kern w:val="2"/>
          <w:sz w:val="21"/>
          <w:szCs w:val="21"/>
          <w:highlight w:val="none"/>
        </w:rPr>
      </w:pPr>
      <w:r>
        <w:rPr>
          <w:rFonts w:hint="eastAsia"/>
          <w:color w:val="auto"/>
          <w:kern w:val="2"/>
          <w:sz w:val="21"/>
          <w:szCs w:val="21"/>
          <w:highlight w:val="none"/>
        </w:rPr>
        <w:t>四、签约合同价与合同价格形式</w:t>
      </w:r>
      <w:r>
        <w:rPr>
          <w:rFonts w:hint="eastAsia"/>
          <w:color w:val="auto"/>
          <w:kern w:val="2"/>
          <w:sz w:val="21"/>
          <w:szCs w:val="21"/>
          <w:highlight w:val="none"/>
        </w:rPr>
        <w:tab/>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1.承包人投标函中承诺的中标价为：</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人民币（大写）</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rPr>
        <w:t>元）；</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2.签约合同价为：</w:t>
      </w:r>
    </w:p>
    <w:p>
      <w:pPr>
        <w:snapToGrid w:val="0"/>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人民币（大写）</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rPr>
        <w:t>元</w:t>
      </w:r>
      <w:r>
        <w:rPr>
          <w:rFonts w:ascii="宋体" w:hAnsi="宋体"/>
          <w:color w:val="auto"/>
          <w:szCs w:val="21"/>
          <w:highlight w:val="none"/>
        </w:rPr>
        <w:t>）</w:t>
      </w:r>
      <w:r>
        <w:rPr>
          <w:rFonts w:hint="eastAsia" w:ascii="宋体" w:hAnsi="宋体"/>
          <w:color w:val="auto"/>
          <w:szCs w:val="21"/>
          <w:highlight w:val="none"/>
        </w:rPr>
        <w:t>；</w:t>
      </w:r>
    </w:p>
    <w:p>
      <w:pPr>
        <w:snapToGrid w:val="0"/>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其中：</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（1）安全文明施工费：</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人民币（大写）</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ascii="宋体" w:hAnsi="宋体"/>
          <w:color w:val="auto"/>
          <w:szCs w:val="21"/>
          <w:highlight w:val="none"/>
        </w:rPr>
        <w:t>（¥</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ascii="宋体" w:hAnsi="宋体"/>
          <w:color w:val="auto"/>
          <w:szCs w:val="21"/>
          <w:highlight w:val="none"/>
        </w:rPr>
        <w:t>元）</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（2）材料和工程设备暂估价金额：</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人民币（大写）</w:t>
      </w:r>
      <w:r>
        <w:rPr>
          <w:rFonts w:ascii="宋体" w:hAnsi="宋体"/>
          <w:color w:val="auto"/>
          <w:szCs w:val="21"/>
          <w:highlight w:val="none"/>
          <w:u w:val="single"/>
        </w:rPr>
        <w:t xml:space="preserve">       </w:t>
      </w:r>
      <w:r>
        <w:rPr>
          <w:rFonts w:hint="eastAsia" w:ascii="宋体" w:hAnsi="宋体"/>
          <w:color w:val="auto"/>
          <w:szCs w:val="21"/>
          <w:highlight w:val="none"/>
          <w:u w:val="single"/>
        </w:rPr>
        <w:t>\</w:t>
      </w:r>
      <w:r>
        <w:rPr>
          <w:rFonts w:ascii="宋体" w:hAnsi="宋体"/>
          <w:color w:val="auto"/>
          <w:szCs w:val="21"/>
          <w:highlight w:val="none"/>
          <w:u w:val="single"/>
        </w:rPr>
        <w:t xml:space="preserve">       </w:t>
      </w:r>
      <w:r>
        <w:rPr>
          <w:rFonts w:hint="eastAsia" w:ascii="宋体" w:hAnsi="宋体"/>
          <w:color w:val="auto"/>
          <w:szCs w:val="21"/>
          <w:highlight w:val="none"/>
          <w:u w:val="single"/>
        </w:rPr>
        <w:t xml:space="preserve"> </w:t>
      </w:r>
      <w:r>
        <w:rPr>
          <w:rFonts w:ascii="宋体" w:hAnsi="宋体"/>
          <w:color w:val="auto"/>
          <w:szCs w:val="21"/>
          <w:highlight w:val="none"/>
          <w:u w:val="single"/>
        </w:rPr>
        <w:t xml:space="preserve">  </w:t>
      </w:r>
      <w:r>
        <w:rPr>
          <w:rFonts w:ascii="宋体" w:hAnsi="宋体"/>
          <w:color w:val="auto"/>
          <w:szCs w:val="21"/>
          <w:highlight w:val="none"/>
        </w:rPr>
        <w:t>（¥</w:t>
      </w:r>
      <w:r>
        <w:rPr>
          <w:rFonts w:ascii="宋体" w:hAnsi="宋体"/>
          <w:color w:val="auto"/>
          <w:szCs w:val="21"/>
          <w:highlight w:val="none"/>
          <w:u w:val="single"/>
        </w:rPr>
        <w:t xml:space="preserve">     </w:t>
      </w:r>
      <w:r>
        <w:rPr>
          <w:rFonts w:hint="eastAsia" w:ascii="宋体" w:hAnsi="宋体"/>
          <w:color w:val="auto"/>
          <w:szCs w:val="21"/>
          <w:highlight w:val="none"/>
          <w:u w:val="single"/>
        </w:rPr>
        <w:t>\</w:t>
      </w:r>
      <w:r>
        <w:rPr>
          <w:rFonts w:ascii="宋体" w:hAnsi="宋体"/>
          <w:color w:val="auto"/>
          <w:szCs w:val="21"/>
          <w:highlight w:val="none"/>
          <w:u w:val="single"/>
        </w:rPr>
        <w:t xml:space="preserve">    </w:t>
      </w:r>
      <w:r>
        <w:rPr>
          <w:rFonts w:ascii="宋体" w:hAnsi="宋体"/>
          <w:color w:val="auto"/>
          <w:szCs w:val="21"/>
          <w:highlight w:val="none"/>
        </w:rPr>
        <w:t>元）</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（3）专业工程暂估价金额：</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人民币（大写）</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ascii="宋体" w:hAnsi="宋体"/>
          <w:color w:val="auto"/>
          <w:szCs w:val="21"/>
          <w:highlight w:val="none"/>
        </w:rPr>
        <w:t>（¥</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元</w:t>
      </w:r>
      <w:r>
        <w:rPr>
          <w:rFonts w:ascii="宋体" w:hAnsi="宋体"/>
          <w:color w:val="auto"/>
          <w:szCs w:val="21"/>
          <w:highlight w:val="none"/>
        </w:rPr>
        <w:t>）</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（4）暂列金额：</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人民币（大写）</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ascii="宋体" w:hAnsi="宋体"/>
          <w:color w:val="auto"/>
          <w:szCs w:val="21"/>
          <w:highlight w:val="none"/>
        </w:rPr>
        <w:t>（¥</w:t>
      </w:r>
      <w:r>
        <w:rPr>
          <w:rFonts w:ascii="宋体" w:hAnsi="宋体"/>
          <w:color w:val="auto"/>
          <w:szCs w:val="21"/>
          <w:highlight w:val="none"/>
          <w:u w:val="single"/>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元</w:t>
      </w:r>
      <w:r>
        <w:rPr>
          <w:rFonts w:ascii="宋体" w:hAnsi="宋体"/>
          <w:color w:val="auto"/>
          <w:szCs w:val="21"/>
          <w:highlight w:val="none"/>
        </w:rPr>
        <w:t>）</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（5）人工费（工资款）</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该项目实行人工费（工资款）与其他工程款分账管理，发包人将应付工程款中的人工费（工资款），以不低于已完成合同价款的</w:t>
      </w:r>
      <w:r>
        <w:rPr>
          <w:rFonts w:hint="eastAsia" w:ascii="宋体" w:hAnsi="宋体"/>
          <w:color w:val="auto"/>
          <w:szCs w:val="21"/>
          <w:highlight w:val="none"/>
          <w:u w:val="single"/>
        </w:rPr>
        <w:t xml:space="preserve">  25%  </w:t>
      </w:r>
      <w:r>
        <w:rPr>
          <w:rFonts w:hint="eastAsia" w:ascii="宋体" w:hAnsi="宋体"/>
          <w:color w:val="auto"/>
          <w:szCs w:val="21"/>
          <w:highlight w:val="none"/>
        </w:rPr>
        <w:t>（不低于25%，以设备采购为主的工程项目不受此限制），农民工工资单独支付至承包人设立的农民工工资专用账户。</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3.合同价格形式：</w:t>
      </w:r>
      <w:r>
        <w:rPr>
          <w:rFonts w:hint="eastAsia" w:ascii="宋体" w:hAnsi="宋体"/>
          <w:color w:val="auto"/>
          <w:szCs w:val="21"/>
          <w:highlight w:val="none"/>
          <w:u w:val="single"/>
        </w:rPr>
        <w:t xml:space="preserve">单价合同 </w:t>
      </w:r>
      <w:r>
        <w:rPr>
          <w:rFonts w:hint="eastAsia" w:ascii="宋体" w:hAnsi="宋体"/>
          <w:color w:val="auto"/>
          <w:szCs w:val="21"/>
          <w:highlight w:val="none"/>
        </w:rPr>
        <w:t xml:space="preserve"> 。</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w:t>
      </w:r>
      <w:r>
        <w:rPr>
          <w:rFonts w:hint="eastAsia" w:ascii="宋体" w:hAnsi="宋体"/>
          <w:color w:val="auto"/>
          <w:szCs w:val="21"/>
          <w:highlight w:val="none"/>
          <w:u w:val="single"/>
        </w:rPr>
        <w:t>结算总价＝各分部分项工程量清单结算价+措施项目费（除安全文明施工费外）+安全文明施工费+规费+税金+变更部分结算价款±合同约定的其它费用-违约处理金，并以发包人或集团审定金额为准</w:t>
      </w:r>
      <w:r>
        <w:rPr>
          <w:rFonts w:hint="eastAsia" w:ascii="宋体" w:hAnsi="宋体"/>
          <w:color w:val="auto"/>
          <w:szCs w:val="21"/>
          <w:highlight w:val="none"/>
        </w:rPr>
        <w:t>。</w:t>
      </w:r>
    </w:p>
    <w:p>
      <w:pPr>
        <w:pStyle w:val="6"/>
        <w:keepNext/>
        <w:keepLines/>
        <w:spacing w:before="120" w:after="120" w:line="360" w:lineRule="auto"/>
        <w:ind w:firstLine="422" w:firstLineChars="200"/>
        <w:jc w:val="both"/>
        <w:rPr>
          <w:color w:val="auto"/>
          <w:kern w:val="2"/>
          <w:sz w:val="21"/>
          <w:szCs w:val="21"/>
          <w:highlight w:val="none"/>
        </w:rPr>
      </w:pPr>
      <w:r>
        <w:rPr>
          <w:rFonts w:hint="eastAsia"/>
          <w:color w:val="auto"/>
          <w:kern w:val="2"/>
          <w:sz w:val="21"/>
          <w:szCs w:val="21"/>
          <w:highlight w:val="none"/>
        </w:rPr>
        <w:t>五、项目经理及技术负责人</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承包人投标文件中承诺的项目经理：</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姓名：</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hint="eastAsia" w:ascii="宋体" w:hAnsi="宋体"/>
          <w:color w:val="auto"/>
          <w:szCs w:val="21"/>
          <w:highlight w:val="none"/>
          <w:u w:val="single"/>
        </w:rPr>
        <w:t xml:space="preserve">              </w:t>
      </w:r>
      <w:r>
        <w:rPr>
          <w:rFonts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身份证号码：</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r>
        <w:rPr>
          <w:rFonts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建造师</w:t>
      </w:r>
      <w:r>
        <w:rPr>
          <w:rFonts w:ascii="宋体" w:hAnsi="宋体"/>
          <w:color w:val="auto"/>
          <w:szCs w:val="21"/>
          <w:highlight w:val="none"/>
        </w:rPr>
        <w:t>注册证书号</w:t>
      </w:r>
      <w:r>
        <w:rPr>
          <w:rFonts w:hint="eastAsia" w:ascii="宋体" w:hAnsi="宋体"/>
          <w:color w:val="auto"/>
          <w:szCs w:val="21"/>
          <w:highlight w:val="none"/>
        </w:rPr>
        <w:t>：</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r>
        <w:rPr>
          <w:rFonts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承包人投标文件中承诺的技术负责人：</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姓名：</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hint="eastAsia" w:ascii="宋体" w:hAnsi="宋体"/>
          <w:color w:val="auto"/>
          <w:szCs w:val="21"/>
          <w:highlight w:val="none"/>
          <w:u w:val="single"/>
        </w:rPr>
        <w:t xml:space="preserve">             </w:t>
      </w:r>
      <w:r>
        <w:rPr>
          <w:rFonts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身份证号码：</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r>
        <w:rPr>
          <w:rFonts w:ascii="宋体" w:hAnsi="宋体"/>
          <w:color w:val="auto"/>
          <w:szCs w:val="21"/>
          <w:highlight w:val="none"/>
          <w:u w:val="single"/>
        </w:rPr>
        <w:t xml:space="preserve"> </w:t>
      </w:r>
      <w:r>
        <w:rPr>
          <w:rFonts w:hint="eastAsia" w:ascii="宋体" w:hAnsi="宋体"/>
          <w:color w:val="auto"/>
          <w:szCs w:val="21"/>
          <w:highlight w:val="none"/>
        </w:rPr>
        <w:t>。</w:t>
      </w:r>
    </w:p>
    <w:p>
      <w:pPr>
        <w:pStyle w:val="2"/>
        <w:spacing w:line="360" w:lineRule="auto"/>
        <w:rPr>
          <w:rFonts w:ascii="宋体" w:hAnsi="宋体"/>
          <w:color w:val="auto"/>
          <w:szCs w:val="21"/>
          <w:highlight w:val="none"/>
        </w:rPr>
      </w:pPr>
      <w:r>
        <w:rPr>
          <w:rFonts w:hint="eastAsia" w:ascii="宋体" w:hAnsi="宋体"/>
          <w:color w:val="auto"/>
          <w:szCs w:val="21"/>
          <w:highlight w:val="none"/>
        </w:rPr>
        <w:t xml:space="preserve">    证书名称</w:t>
      </w:r>
      <w:r>
        <w:rPr>
          <w:rFonts w:ascii="宋体" w:hAnsi="宋体"/>
          <w:color w:val="auto"/>
          <w:szCs w:val="21"/>
          <w:highlight w:val="none"/>
        </w:rPr>
        <w:t>及号码：</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pStyle w:val="6"/>
        <w:keepNext/>
        <w:keepLines/>
        <w:spacing w:before="120" w:after="120" w:line="360" w:lineRule="auto"/>
        <w:ind w:firstLine="422" w:firstLineChars="200"/>
        <w:jc w:val="both"/>
        <w:rPr>
          <w:color w:val="auto"/>
          <w:kern w:val="2"/>
          <w:sz w:val="21"/>
          <w:szCs w:val="21"/>
          <w:highlight w:val="none"/>
        </w:rPr>
      </w:pPr>
      <w:r>
        <w:rPr>
          <w:rFonts w:hint="eastAsia"/>
          <w:color w:val="auto"/>
          <w:kern w:val="2"/>
          <w:sz w:val="21"/>
          <w:szCs w:val="21"/>
          <w:highlight w:val="none"/>
        </w:rPr>
        <w:t>六、合同文件构成</w:t>
      </w:r>
    </w:p>
    <w:p>
      <w:pPr>
        <w:spacing w:line="360" w:lineRule="auto"/>
        <w:ind w:firstLine="420" w:firstLineChars="200"/>
        <w:rPr>
          <w:rFonts w:ascii="宋体" w:hAnsi="宋体"/>
          <w:bCs/>
          <w:color w:val="auto"/>
          <w:szCs w:val="21"/>
          <w:highlight w:val="none"/>
        </w:rPr>
      </w:pPr>
      <w:r>
        <w:rPr>
          <w:rFonts w:hint="eastAsia" w:ascii="宋体" w:hAnsi="宋体"/>
          <w:bCs/>
          <w:color w:val="auto"/>
          <w:szCs w:val="21"/>
          <w:highlight w:val="none"/>
        </w:rPr>
        <w:t>合同由以下文件构成：</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（1）合同协议书；</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（2）中标通知书；</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（3）投标函及投标函附录；</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（4）专用合同条款及其附件；</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（5）通用合同条款；</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（6）招标文件及修改文件；</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（7）投标文件（投标函及投标函附录除外）；</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（8）技术标准和要求；</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（9）图纸；</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（10）其他合同文件。</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在合同订立、履行过程中形成的与合同有关的书面形式的文件均构成合同文件组成部分。</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上述各项合同文件包括合同当事人就该项合同文件所作出的补充和修改，属于同一类内容的文件，应以最新签署的为准。专用合同条款及其附件须经合同当事人签名或盖章。</w:t>
      </w:r>
    </w:p>
    <w:p>
      <w:pPr>
        <w:pStyle w:val="6"/>
        <w:keepNext/>
        <w:keepLines/>
        <w:spacing w:before="120" w:after="120" w:line="360" w:lineRule="auto"/>
        <w:ind w:firstLine="422" w:firstLineChars="200"/>
        <w:jc w:val="both"/>
        <w:rPr>
          <w:color w:val="auto"/>
          <w:kern w:val="2"/>
          <w:sz w:val="21"/>
          <w:szCs w:val="21"/>
          <w:highlight w:val="none"/>
        </w:rPr>
      </w:pPr>
      <w:r>
        <w:rPr>
          <w:rFonts w:hint="eastAsia"/>
          <w:color w:val="auto"/>
          <w:kern w:val="2"/>
          <w:sz w:val="21"/>
          <w:szCs w:val="21"/>
          <w:highlight w:val="none"/>
        </w:rPr>
        <w:t>七、承诺</w:t>
      </w:r>
    </w:p>
    <w:p>
      <w:pPr>
        <w:spacing w:line="360" w:lineRule="auto"/>
        <w:ind w:firstLine="420" w:firstLineChars="200"/>
        <w:rPr>
          <w:rFonts w:ascii="宋体" w:hAnsi="宋体"/>
          <w:bCs/>
          <w:color w:val="auto"/>
          <w:szCs w:val="21"/>
          <w:highlight w:val="none"/>
        </w:rPr>
      </w:pPr>
      <w:r>
        <w:rPr>
          <w:rFonts w:hint="eastAsia" w:ascii="宋体" w:hAnsi="宋体"/>
          <w:bCs/>
          <w:color w:val="auto"/>
          <w:szCs w:val="21"/>
          <w:highlight w:val="none"/>
        </w:rPr>
        <w:t>1.发包人承诺按照法律规定履行项目审批手续、筹集工程建设资金并按照合同约定的期限和方式支付合同价款。</w:t>
      </w:r>
    </w:p>
    <w:p>
      <w:pPr>
        <w:spacing w:line="360" w:lineRule="auto"/>
        <w:ind w:firstLine="420" w:firstLineChars="200"/>
        <w:rPr>
          <w:rFonts w:ascii="宋体" w:hAnsi="宋体"/>
          <w:bCs/>
          <w:color w:val="auto"/>
          <w:szCs w:val="21"/>
          <w:highlight w:val="none"/>
        </w:rPr>
      </w:pPr>
      <w:r>
        <w:rPr>
          <w:rFonts w:hint="eastAsia" w:ascii="宋体" w:hAnsi="宋体"/>
          <w:bCs/>
          <w:color w:val="auto"/>
          <w:szCs w:val="21"/>
          <w:highlight w:val="none"/>
        </w:rPr>
        <w:t>2.</w:t>
      </w:r>
      <w:r>
        <w:rPr>
          <w:rFonts w:hint="eastAsia" w:ascii="宋体" w:hAnsi="宋体"/>
          <w:color w:val="auto"/>
          <w:szCs w:val="21"/>
          <w:highlight w:val="none"/>
        </w:rPr>
        <w:t>承包人承诺按照法律规定及合同约定组织完成工程施工，确保工程质量和安全，不进行转包及违法分包，并在缺陷责任期及保修期内承担相应的工程维修责任</w:t>
      </w:r>
      <w:r>
        <w:rPr>
          <w:rFonts w:hint="eastAsia" w:ascii="宋体" w:hAnsi="宋体"/>
          <w:bCs/>
          <w:color w:val="auto"/>
          <w:szCs w:val="21"/>
          <w:highlight w:val="none"/>
        </w:rPr>
        <w:t>。</w:t>
      </w:r>
    </w:p>
    <w:p>
      <w:pPr>
        <w:spacing w:line="360" w:lineRule="auto"/>
        <w:ind w:firstLine="420" w:firstLineChars="200"/>
        <w:rPr>
          <w:rFonts w:ascii="宋体" w:hAnsi="宋体"/>
          <w:bCs/>
          <w:color w:val="auto"/>
          <w:szCs w:val="21"/>
          <w:highlight w:val="none"/>
        </w:rPr>
      </w:pPr>
      <w:r>
        <w:rPr>
          <w:rFonts w:hint="eastAsia" w:ascii="宋体" w:hAnsi="宋体"/>
          <w:bCs/>
          <w:color w:val="auto"/>
          <w:szCs w:val="21"/>
          <w:highlight w:val="none"/>
        </w:rPr>
        <w:t>3.发包人和承包人通过招投标形式签订合同的，双方理解并承诺不再就同一工程另行签订与合同实质性内容相背离的协议。</w:t>
      </w:r>
    </w:p>
    <w:p>
      <w:pPr>
        <w:pStyle w:val="2"/>
        <w:ind w:firstLine="420" w:firstLineChars="200"/>
        <w:rPr>
          <w:color w:val="auto"/>
          <w:highlight w:val="none"/>
        </w:rPr>
      </w:pPr>
      <w:r>
        <w:rPr>
          <w:rFonts w:ascii="宋体" w:hAnsi="宋体"/>
          <w:color w:val="auto"/>
          <w:highlight w:val="none"/>
        </w:rPr>
        <w:t>4、承包人承诺本项目材料设备的选择与现有设施设备匹配、协调</w:t>
      </w:r>
      <w:r>
        <w:rPr>
          <w:rFonts w:hint="eastAsia" w:ascii="宋体" w:hAnsi="宋体"/>
          <w:color w:val="auto"/>
          <w:highlight w:val="none"/>
        </w:rPr>
        <w:t>，并经发包人审核。</w:t>
      </w:r>
    </w:p>
    <w:p>
      <w:pPr>
        <w:pStyle w:val="6"/>
        <w:keepNext/>
        <w:keepLines/>
        <w:spacing w:before="120" w:after="120" w:line="360" w:lineRule="auto"/>
        <w:ind w:firstLine="422" w:firstLineChars="200"/>
        <w:jc w:val="both"/>
        <w:rPr>
          <w:color w:val="auto"/>
          <w:kern w:val="2"/>
          <w:sz w:val="21"/>
          <w:szCs w:val="21"/>
          <w:highlight w:val="none"/>
        </w:rPr>
      </w:pPr>
      <w:r>
        <w:rPr>
          <w:rFonts w:hint="eastAsia"/>
          <w:color w:val="auto"/>
          <w:kern w:val="2"/>
          <w:sz w:val="21"/>
          <w:szCs w:val="21"/>
          <w:highlight w:val="none"/>
        </w:rPr>
        <w:t>八、词语含义</w:t>
      </w:r>
    </w:p>
    <w:p>
      <w:pPr>
        <w:spacing w:line="360" w:lineRule="auto"/>
        <w:ind w:firstLine="420" w:firstLineChars="200"/>
        <w:rPr>
          <w:rFonts w:ascii="宋体" w:hAnsi="宋体"/>
          <w:bCs/>
          <w:color w:val="auto"/>
          <w:szCs w:val="21"/>
          <w:highlight w:val="none"/>
        </w:rPr>
      </w:pPr>
      <w:r>
        <w:rPr>
          <w:rFonts w:hint="eastAsia" w:ascii="宋体" w:hAnsi="宋体"/>
          <w:bCs/>
          <w:color w:val="auto"/>
          <w:szCs w:val="21"/>
          <w:highlight w:val="none"/>
        </w:rPr>
        <w:t>本协议书中词语含义与专用合同条款及通用合同条款中赋予的含义相同。</w:t>
      </w:r>
    </w:p>
    <w:p>
      <w:pPr>
        <w:pStyle w:val="6"/>
        <w:keepNext/>
        <w:keepLines/>
        <w:spacing w:before="120" w:after="120" w:line="360" w:lineRule="auto"/>
        <w:ind w:firstLine="422" w:firstLineChars="200"/>
        <w:jc w:val="both"/>
        <w:rPr>
          <w:color w:val="auto"/>
          <w:kern w:val="2"/>
          <w:sz w:val="21"/>
          <w:szCs w:val="21"/>
          <w:highlight w:val="none"/>
        </w:rPr>
      </w:pPr>
      <w:r>
        <w:rPr>
          <w:rFonts w:hint="eastAsia"/>
          <w:color w:val="auto"/>
          <w:kern w:val="2"/>
          <w:sz w:val="21"/>
          <w:szCs w:val="21"/>
          <w:highlight w:val="none"/>
        </w:rPr>
        <w:t>九、签订时间</w:t>
      </w:r>
    </w:p>
    <w:p>
      <w:pPr>
        <w:spacing w:line="360" w:lineRule="auto"/>
        <w:ind w:firstLine="420" w:firstLineChars="200"/>
        <w:rPr>
          <w:rFonts w:ascii="宋体" w:hAnsi="宋体"/>
          <w:color w:val="auto"/>
          <w:szCs w:val="21"/>
          <w:highlight w:val="none"/>
        </w:rPr>
      </w:pPr>
      <w:r>
        <w:rPr>
          <w:rFonts w:hint="eastAsia" w:ascii="宋体" w:hAnsi="宋体"/>
          <w:bCs/>
          <w:color w:val="auto"/>
          <w:szCs w:val="21"/>
          <w:highlight w:val="none"/>
        </w:rPr>
        <w:t>合同于</w:t>
      </w:r>
      <w:r>
        <w:rPr>
          <w:rFonts w:hint="eastAsia" w:ascii="宋体" w:hAnsi="宋体"/>
          <w:bCs/>
          <w:color w:val="auto"/>
          <w:szCs w:val="21"/>
          <w:highlight w:val="none"/>
          <w:u w:val="single"/>
        </w:rPr>
        <w:t xml:space="preserve">    </w:t>
      </w:r>
      <w:r>
        <w:rPr>
          <w:rFonts w:hint="eastAsia" w:ascii="宋体" w:hAnsi="宋体"/>
          <w:bCs/>
          <w:color w:val="auto"/>
          <w:szCs w:val="21"/>
          <w:highlight w:val="none"/>
        </w:rPr>
        <w:t>年</w:t>
      </w:r>
      <w:r>
        <w:rPr>
          <w:rFonts w:hint="eastAsia" w:ascii="宋体" w:hAnsi="宋体"/>
          <w:bCs/>
          <w:color w:val="auto"/>
          <w:szCs w:val="21"/>
          <w:highlight w:val="none"/>
          <w:u w:val="single"/>
        </w:rPr>
        <w:t xml:space="preserve">    </w:t>
      </w:r>
      <w:r>
        <w:rPr>
          <w:rFonts w:hint="eastAsia" w:ascii="宋体" w:hAnsi="宋体"/>
          <w:bCs/>
          <w:color w:val="auto"/>
          <w:szCs w:val="21"/>
          <w:highlight w:val="none"/>
        </w:rPr>
        <w:t>月</w:t>
      </w:r>
      <w:r>
        <w:rPr>
          <w:rFonts w:hint="eastAsia" w:ascii="宋体" w:hAnsi="宋体"/>
          <w:bCs/>
          <w:color w:val="auto"/>
          <w:szCs w:val="21"/>
          <w:highlight w:val="none"/>
          <w:u w:val="single"/>
        </w:rPr>
        <w:t xml:space="preserve">    </w:t>
      </w:r>
      <w:r>
        <w:rPr>
          <w:rFonts w:hint="eastAsia" w:ascii="宋体" w:hAnsi="宋体"/>
          <w:bCs/>
          <w:color w:val="auto"/>
          <w:szCs w:val="21"/>
          <w:highlight w:val="none"/>
        </w:rPr>
        <w:t>日签订</w:t>
      </w:r>
    </w:p>
    <w:p>
      <w:pPr>
        <w:pStyle w:val="6"/>
        <w:keepNext/>
        <w:keepLines/>
        <w:spacing w:before="120" w:after="120" w:line="360" w:lineRule="auto"/>
        <w:ind w:firstLine="422" w:firstLineChars="200"/>
        <w:jc w:val="both"/>
        <w:rPr>
          <w:color w:val="auto"/>
          <w:kern w:val="2"/>
          <w:sz w:val="21"/>
          <w:szCs w:val="21"/>
          <w:highlight w:val="none"/>
        </w:rPr>
      </w:pPr>
      <w:r>
        <w:rPr>
          <w:rFonts w:hint="eastAsia"/>
          <w:color w:val="auto"/>
          <w:kern w:val="2"/>
          <w:sz w:val="21"/>
          <w:szCs w:val="21"/>
          <w:highlight w:val="none"/>
        </w:rPr>
        <w:t>十、签订地点</w:t>
      </w:r>
    </w:p>
    <w:p>
      <w:pPr>
        <w:spacing w:line="360" w:lineRule="auto"/>
        <w:ind w:firstLine="420" w:firstLineChars="200"/>
        <w:rPr>
          <w:rFonts w:ascii="宋体" w:hAnsi="宋体"/>
          <w:bCs/>
          <w:color w:val="auto"/>
          <w:szCs w:val="21"/>
          <w:highlight w:val="none"/>
        </w:rPr>
      </w:pPr>
      <w:r>
        <w:rPr>
          <w:rFonts w:hint="eastAsia" w:ascii="宋体" w:hAnsi="宋体"/>
          <w:bCs/>
          <w:color w:val="auto"/>
          <w:szCs w:val="21"/>
          <w:highlight w:val="none"/>
        </w:rPr>
        <w:t>合同在</w:t>
      </w:r>
      <w:r>
        <w:rPr>
          <w:rFonts w:hint="eastAsia" w:ascii="宋体" w:hAnsi="宋体"/>
          <w:bCs/>
          <w:color w:val="auto"/>
          <w:szCs w:val="21"/>
          <w:highlight w:val="none"/>
          <w:u w:val="single"/>
        </w:rPr>
        <w:t xml:space="preserve">            </w:t>
      </w:r>
      <w:r>
        <w:rPr>
          <w:rFonts w:hint="eastAsia" w:ascii="宋体" w:hAnsi="宋体"/>
          <w:bCs/>
          <w:color w:val="auto"/>
          <w:szCs w:val="21"/>
          <w:highlight w:val="none"/>
        </w:rPr>
        <w:t>签订。</w:t>
      </w:r>
    </w:p>
    <w:p>
      <w:pPr>
        <w:pStyle w:val="6"/>
        <w:keepNext/>
        <w:keepLines/>
        <w:spacing w:before="120" w:after="120" w:line="360" w:lineRule="auto"/>
        <w:ind w:firstLine="422" w:firstLineChars="200"/>
        <w:jc w:val="both"/>
        <w:rPr>
          <w:color w:val="auto"/>
          <w:kern w:val="2"/>
          <w:sz w:val="21"/>
          <w:szCs w:val="21"/>
          <w:highlight w:val="none"/>
        </w:rPr>
      </w:pPr>
      <w:r>
        <w:rPr>
          <w:rFonts w:hint="eastAsia"/>
          <w:color w:val="auto"/>
          <w:kern w:val="2"/>
          <w:sz w:val="21"/>
          <w:szCs w:val="21"/>
          <w:highlight w:val="none"/>
        </w:rPr>
        <w:t>十一、补充协议</w:t>
      </w:r>
    </w:p>
    <w:p>
      <w:pPr>
        <w:spacing w:line="360" w:lineRule="auto"/>
        <w:ind w:firstLine="420" w:firstLineChars="200"/>
        <w:rPr>
          <w:rFonts w:ascii="宋体" w:hAnsi="宋体"/>
          <w:b/>
          <w:bCs/>
          <w:color w:val="auto"/>
          <w:szCs w:val="21"/>
          <w:highlight w:val="none"/>
        </w:rPr>
      </w:pPr>
      <w:r>
        <w:rPr>
          <w:rFonts w:hint="eastAsia" w:ascii="宋体" w:hAnsi="宋体"/>
          <w:bCs/>
          <w:color w:val="auto"/>
          <w:szCs w:val="21"/>
          <w:highlight w:val="none"/>
        </w:rPr>
        <w:t>合同未尽事宜，合同当事人另行签订补充协议，补充协议是合同的组成部分</w:t>
      </w:r>
      <w:r>
        <w:rPr>
          <w:rFonts w:ascii="宋体" w:hAnsi="宋体"/>
          <w:bCs/>
          <w:color w:val="auto"/>
          <w:szCs w:val="21"/>
          <w:highlight w:val="none"/>
        </w:rPr>
        <w:t>，</w:t>
      </w:r>
      <w:r>
        <w:rPr>
          <w:rFonts w:hint="eastAsia" w:ascii="宋体" w:hAnsi="宋体"/>
          <w:bCs/>
          <w:color w:val="auto"/>
          <w:szCs w:val="21"/>
          <w:highlight w:val="none"/>
        </w:rPr>
        <w:t>具备同等法律效力。</w:t>
      </w:r>
    </w:p>
    <w:p>
      <w:pPr>
        <w:pStyle w:val="6"/>
        <w:keepNext/>
        <w:keepLines/>
        <w:spacing w:before="120" w:after="120" w:line="360" w:lineRule="auto"/>
        <w:ind w:firstLine="422" w:firstLineChars="200"/>
        <w:jc w:val="both"/>
        <w:rPr>
          <w:color w:val="auto"/>
          <w:kern w:val="2"/>
          <w:sz w:val="21"/>
          <w:szCs w:val="21"/>
          <w:highlight w:val="none"/>
        </w:rPr>
      </w:pPr>
      <w:r>
        <w:rPr>
          <w:rFonts w:hint="eastAsia"/>
          <w:color w:val="auto"/>
          <w:kern w:val="2"/>
          <w:sz w:val="21"/>
          <w:szCs w:val="21"/>
          <w:highlight w:val="none"/>
        </w:rPr>
        <w:t>十二、合同生效</w:t>
      </w:r>
    </w:p>
    <w:p>
      <w:pPr>
        <w:spacing w:line="360" w:lineRule="auto"/>
        <w:ind w:firstLine="420" w:firstLineChars="200"/>
        <w:rPr>
          <w:rFonts w:ascii="宋体" w:hAnsi="宋体"/>
          <w:bCs/>
          <w:color w:val="auto"/>
          <w:szCs w:val="21"/>
          <w:highlight w:val="none"/>
        </w:rPr>
      </w:pPr>
      <w:r>
        <w:rPr>
          <w:rFonts w:hint="eastAsia" w:ascii="宋体" w:hAnsi="宋体"/>
          <w:bCs/>
          <w:color w:val="auto"/>
          <w:szCs w:val="21"/>
          <w:highlight w:val="none"/>
        </w:rPr>
        <w:t>合同在以下条件全部满足之后生效：</w:t>
      </w:r>
    </w:p>
    <w:p>
      <w:pPr>
        <w:spacing w:line="360" w:lineRule="auto"/>
        <w:ind w:firstLine="420" w:firstLineChars="200"/>
        <w:rPr>
          <w:rFonts w:ascii="宋体" w:hAnsi="宋体"/>
          <w:color w:val="auto"/>
          <w:szCs w:val="21"/>
          <w:highlight w:val="none"/>
        </w:rPr>
      </w:pPr>
      <w:r>
        <w:rPr>
          <w:rFonts w:hint="eastAsia" w:ascii="宋体" w:hAnsi="宋体"/>
          <w:bCs/>
          <w:color w:val="auto"/>
          <w:szCs w:val="21"/>
          <w:highlight w:val="none"/>
        </w:rPr>
        <w:t>1.合同</w:t>
      </w:r>
      <w:r>
        <w:rPr>
          <w:rFonts w:hint="eastAsia" w:ascii="宋体" w:hAnsi="宋体"/>
          <w:color w:val="auto"/>
          <w:szCs w:val="21"/>
          <w:highlight w:val="none"/>
        </w:rPr>
        <w:t>经双方法定代表人或其委托代理人签名并加盖</w:t>
      </w:r>
      <w:r>
        <w:rPr>
          <w:rFonts w:hint="eastAsia" w:ascii="宋体" w:hAnsi="宋体"/>
          <w:snapToGrid w:val="0"/>
          <w:color w:val="auto"/>
          <w:kern w:val="0"/>
          <w:szCs w:val="21"/>
          <w:highlight w:val="none"/>
        </w:rPr>
        <w:t>公章或合同专用章</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2.采用保函形式递交履约担保的，承包人按合同约定向发包人提交履约担保后；</w:t>
      </w:r>
    </w:p>
    <w:p>
      <w:pPr>
        <w:spacing w:line="360" w:lineRule="auto"/>
        <w:ind w:firstLine="420" w:firstLineChars="200"/>
        <w:rPr>
          <w:rFonts w:ascii="宋体" w:hAnsi="宋体"/>
          <w:bCs/>
          <w:color w:val="auto"/>
          <w:szCs w:val="21"/>
          <w:highlight w:val="none"/>
        </w:rPr>
      </w:pPr>
      <w:r>
        <w:rPr>
          <w:rFonts w:hint="eastAsia" w:ascii="宋体" w:hAnsi="宋体"/>
          <w:bCs/>
          <w:color w:val="auto"/>
          <w:szCs w:val="21"/>
          <w:highlight w:val="none"/>
        </w:rPr>
        <w:t>3.</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pStyle w:val="6"/>
        <w:keepNext/>
        <w:keepLines/>
        <w:spacing w:before="120" w:after="120" w:line="360" w:lineRule="auto"/>
        <w:ind w:firstLine="422" w:firstLineChars="200"/>
        <w:jc w:val="both"/>
        <w:rPr>
          <w:color w:val="auto"/>
          <w:kern w:val="2"/>
          <w:sz w:val="21"/>
          <w:szCs w:val="21"/>
          <w:highlight w:val="none"/>
        </w:rPr>
      </w:pPr>
      <w:r>
        <w:rPr>
          <w:rFonts w:hint="eastAsia"/>
          <w:color w:val="auto"/>
          <w:kern w:val="2"/>
          <w:sz w:val="21"/>
          <w:szCs w:val="21"/>
          <w:highlight w:val="none"/>
        </w:rPr>
        <w:t>十三、合同份数</w:t>
      </w:r>
    </w:p>
    <w:p>
      <w:pPr>
        <w:spacing w:line="360" w:lineRule="auto"/>
        <w:ind w:firstLine="420" w:firstLineChars="200"/>
        <w:rPr>
          <w:rFonts w:ascii="宋体" w:hAnsi="宋体" w:cs="Microsoft Sans Serif"/>
          <w:bCs/>
          <w:color w:val="auto"/>
          <w:highlight w:val="none"/>
        </w:rPr>
      </w:pPr>
      <w:r>
        <w:rPr>
          <w:rFonts w:ascii="宋体" w:hAnsi="宋体" w:cs="Microsoft Sans Serif"/>
          <w:bCs/>
          <w:color w:val="auto"/>
          <w:highlight w:val="none"/>
        </w:rPr>
        <w:t>合同一式</w:t>
      </w:r>
      <w:r>
        <w:rPr>
          <w:rFonts w:hint="eastAsia" w:ascii="宋体" w:hAnsi="宋体" w:cs="Microsoft Sans Serif"/>
          <w:bCs/>
          <w:color w:val="auto"/>
          <w:highlight w:val="none"/>
          <w:u w:val="single"/>
        </w:rPr>
        <w:t>8</w:t>
      </w:r>
      <w:r>
        <w:rPr>
          <w:rFonts w:ascii="宋体" w:hAnsi="宋体" w:cs="Microsoft Sans Serif"/>
          <w:bCs/>
          <w:color w:val="auto"/>
          <w:highlight w:val="none"/>
        </w:rPr>
        <w:t>份，发包人持</w:t>
      </w:r>
      <w:r>
        <w:rPr>
          <w:rFonts w:ascii="宋体" w:hAnsi="宋体" w:cs="Microsoft Sans Serif"/>
          <w:bCs/>
          <w:color w:val="auto"/>
          <w:highlight w:val="none"/>
          <w:u w:val="single"/>
        </w:rPr>
        <w:t>4</w:t>
      </w:r>
      <w:r>
        <w:rPr>
          <w:rFonts w:ascii="宋体" w:hAnsi="宋体" w:cs="Microsoft Sans Serif"/>
          <w:bCs/>
          <w:color w:val="auto"/>
          <w:highlight w:val="none"/>
        </w:rPr>
        <w:t>份，承包人持</w:t>
      </w:r>
      <w:r>
        <w:rPr>
          <w:rFonts w:hint="eastAsia" w:ascii="宋体" w:hAnsi="宋体" w:cs="Microsoft Sans Serif"/>
          <w:bCs/>
          <w:color w:val="auto"/>
          <w:highlight w:val="none"/>
          <w:u w:val="single"/>
        </w:rPr>
        <w:t>4</w:t>
      </w:r>
      <w:r>
        <w:rPr>
          <w:rFonts w:ascii="宋体" w:hAnsi="宋体" w:cs="Microsoft Sans Serif"/>
          <w:bCs/>
          <w:color w:val="auto"/>
          <w:highlight w:val="none"/>
        </w:rPr>
        <w:t>份。</w:t>
      </w:r>
    </w:p>
    <w:p>
      <w:pPr>
        <w:pStyle w:val="2"/>
        <w:rPr>
          <w:rFonts w:ascii="宋体" w:hAnsi="宋体" w:cs="Microsoft Sans Serif"/>
          <w:bCs/>
          <w:color w:val="auto"/>
          <w:highlight w:val="none"/>
        </w:rPr>
      </w:pPr>
    </w:p>
    <w:p>
      <w:pPr>
        <w:spacing w:line="360" w:lineRule="auto"/>
        <w:ind w:firstLine="422" w:firstLineChars="200"/>
        <w:rPr>
          <w:rFonts w:ascii="宋体" w:hAnsi="宋体"/>
          <w:b/>
          <w:bCs/>
          <w:color w:val="auto"/>
          <w:szCs w:val="21"/>
          <w:highlight w:val="none"/>
        </w:rPr>
      </w:pPr>
      <w:r>
        <w:rPr>
          <w:rFonts w:hint="eastAsia" w:ascii="宋体" w:hAnsi="宋体"/>
          <w:b/>
          <w:bCs/>
          <w:color w:val="auto"/>
          <w:szCs w:val="21"/>
          <w:highlight w:val="none"/>
        </w:rPr>
        <w:t>十四、通知与送达</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本合同项下任何一方向对方发出的通知、信件、数据电文等，应当发送至本协议尾部约定的地址、联系人或通信终端。一方当事人变更名称、地址、联系人或通信终端的，应当在变更后2日内及时书面通知对方当事人，否则，如发生任一方按本合同之联系方式或变更后之联系方式给对方邮寄文件、发送电子邮件、传真时，被拒收、退件、查无此人、查无此地址、无人收取、电子邮件被退回等情况，则所发送文件及通知自邮寄之日、传真发送之日及电子邮件被发出之日视为已送达，由此产生之所有法律后果由收件合同方承担。</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任何一方当事人向对方所发出的信件或书面通知等，如用快递服务或中国邮政特快专递递交的信件发出，信件送交快递服务公司或邮政后次日应视为送达；如用传真、短信、微信或电子邮件方式发出的，自前述电子文件内容在发送方正确填写地址且未被系统退回的情况下，视为进入对方数据电文接收系统即视为送达。</w:t>
      </w:r>
    </w:p>
    <w:p>
      <w:pPr>
        <w:spacing w:line="360" w:lineRule="auto"/>
        <w:ind w:firstLine="420" w:firstLineChars="200"/>
        <w:rPr>
          <w:color w:val="auto"/>
          <w:highlight w:val="none"/>
        </w:rPr>
      </w:pPr>
      <w:r>
        <w:rPr>
          <w:rFonts w:hint="eastAsia" w:ascii="宋体" w:hAnsi="宋体"/>
          <w:color w:val="auto"/>
          <w:szCs w:val="21"/>
          <w:highlight w:val="none"/>
        </w:rPr>
        <w:t>3.本协议尾部约定的地址、联系人及电子邮箱为双方工作联系往来、法律文书及争议解决时人民法院或仲裁机构的法律文书送达地址，人民法院或仲裁机构的诉讼文书向任何合同一方的当事人上述地址送达的，视为有效送达。</w:t>
      </w:r>
    </w:p>
    <w:p>
      <w:pPr>
        <w:pStyle w:val="2"/>
        <w:spacing w:line="360" w:lineRule="auto"/>
        <w:ind w:firstLine="0" w:firstLineChars="0"/>
        <w:rPr>
          <w:rFonts w:ascii="宋体" w:hAnsi="宋体"/>
          <w:color w:val="auto"/>
          <w:szCs w:val="21"/>
          <w:highlight w:val="none"/>
        </w:rPr>
      </w:pPr>
      <w:r>
        <w:rPr>
          <w:rFonts w:hint="eastAsia" w:ascii="宋体" w:hAnsi="宋体"/>
          <w:bCs/>
          <w:color w:val="auto"/>
          <w:szCs w:val="21"/>
          <w:highlight w:val="none"/>
        </w:rPr>
        <w:t>（以下为签名盖章页）。</w:t>
      </w:r>
    </w:p>
    <w:p>
      <w:pPr>
        <w:adjustRightInd w:val="0"/>
        <w:spacing w:line="360" w:lineRule="auto"/>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发包人：</w:t>
      </w:r>
      <w:r>
        <w:rPr>
          <w:rFonts w:ascii="宋体" w:hAnsi="宋体"/>
          <w:snapToGrid w:val="0"/>
          <w:color w:val="auto"/>
          <w:kern w:val="0"/>
          <w:szCs w:val="21"/>
          <w:highlight w:val="none"/>
          <w:u w:val="single"/>
        </w:rPr>
        <w:t xml:space="preserve">        </w:t>
      </w:r>
      <w:r>
        <w:rPr>
          <w:rFonts w:ascii="宋体" w:hAnsi="宋体"/>
          <w:snapToGrid w:val="0"/>
          <w:color w:val="auto"/>
          <w:kern w:val="0"/>
          <w:szCs w:val="21"/>
          <w:highlight w:val="none"/>
        </w:rPr>
        <w:t>（公章</w:t>
      </w:r>
      <w:r>
        <w:rPr>
          <w:rFonts w:hint="eastAsia" w:ascii="宋体" w:hAnsi="宋体"/>
          <w:snapToGrid w:val="0"/>
          <w:color w:val="auto"/>
          <w:kern w:val="0"/>
          <w:szCs w:val="21"/>
          <w:highlight w:val="none"/>
        </w:rPr>
        <w:t>或合同专用章</w:t>
      </w:r>
      <w:r>
        <w:rPr>
          <w:rFonts w:ascii="宋体" w:hAnsi="宋体"/>
          <w:snapToGrid w:val="0"/>
          <w:color w:val="auto"/>
          <w:kern w:val="0"/>
          <w:szCs w:val="21"/>
          <w:highlight w:val="none"/>
        </w:rPr>
        <w:t>）</w:t>
      </w:r>
    </w:p>
    <w:p>
      <w:pPr>
        <w:spacing w:line="360" w:lineRule="auto"/>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法定代表人或其委托代理人：</w:t>
      </w:r>
      <w:r>
        <w:rPr>
          <w:rFonts w:ascii="宋体" w:hAnsi="宋体"/>
          <w:snapToGrid w:val="0"/>
          <w:color w:val="auto"/>
          <w:w w:val="200"/>
          <w:kern w:val="0"/>
          <w:szCs w:val="21"/>
          <w:highlight w:val="none"/>
          <w:u w:val="single"/>
        </w:rPr>
        <w:t xml:space="preserve"> </w:t>
      </w:r>
      <w:r>
        <w:rPr>
          <w:rFonts w:ascii="宋体" w:hAnsi="宋体"/>
          <w:snapToGrid w:val="0"/>
          <w:color w:val="auto"/>
          <w:kern w:val="0"/>
          <w:szCs w:val="21"/>
          <w:highlight w:val="none"/>
          <w:u w:val="single"/>
        </w:rPr>
        <w:t xml:space="preserve">                  </w:t>
      </w:r>
      <w:r>
        <w:rPr>
          <w:rFonts w:ascii="宋体" w:hAnsi="宋体"/>
          <w:snapToGrid w:val="0"/>
          <w:color w:val="auto"/>
          <w:kern w:val="0"/>
          <w:szCs w:val="21"/>
          <w:highlight w:val="none"/>
        </w:rPr>
        <w:t>（</w:t>
      </w:r>
      <w:r>
        <w:rPr>
          <w:rFonts w:hint="eastAsia" w:ascii="宋体" w:hAnsi="宋体"/>
          <w:snapToGrid w:val="0"/>
          <w:color w:val="auto"/>
          <w:kern w:val="0"/>
          <w:szCs w:val="21"/>
          <w:highlight w:val="none"/>
        </w:rPr>
        <w:t>签名</w:t>
      </w:r>
      <w:r>
        <w:rPr>
          <w:rFonts w:ascii="宋体" w:hAnsi="宋体"/>
          <w:snapToGrid w:val="0"/>
          <w:color w:val="auto"/>
          <w:kern w:val="0"/>
          <w:szCs w:val="21"/>
          <w:highlight w:val="none"/>
        </w:rPr>
        <w:t>）</w:t>
      </w:r>
    </w:p>
    <w:p>
      <w:pPr>
        <w:spacing w:line="360" w:lineRule="auto"/>
        <w:ind w:firstLine="420" w:firstLineChars="200"/>
        <w:rPr>
          <w:rFonts w:hint="eastAsia" w:ascii="宋体" w:hAnsi="宋体"/>
          <w:snapToGrid w:val="0"/>
          <w:color w:val="auto"/>
          <w:kern w:val="0"/>
          <w:szCs w:val="21"/>
          <w:highlight w:val="none"/>
          <w:u w:val="single"/>
        </w:rPr>
      </w:pPr>
      <w:r>
        <w:rPr>
          <w:rFonts w:hint="eastAsia" w:ascii="宋体" w:hAnsi="宋体"/>
          <w:snapToGrid w:val="0"/>
          <w:color w:val="auto"/>
          <w:kern w:val="0"/>
          <w:szCs w:val="21"/>
          <w:highlight w:val="none"/>
        </w:rPr>
        <w:t>统一社会信用代码：</w:t>
      </w:r>
      <w:r>
        <w:rPr>
          <w:rFonts w:ascii="宋体" w:hAnsi="宋体"/>
          <w:snapToGrid w:val="0"/>
          <w:color w:val="auto"/>
          <w:w w:val="200"/>
          <w:kern w:val="0"/>
          <w:szCs w:val="21"/>
          <w:highlight w:val="none"/>
          <w:u w:val="single"/>
        </w:rPr>
        <w:t xml:space="preserve"> </w:t>
      </w:r>
      <w:r>
        <w:rPr>
          <w:rFonts w:hint="eastAsia" w:ascii="宋体" w:hAnsi="宋体"/>
          <w:snapToGrid w:val="0"/>
          <w:color w:val="auto"/>
          <w:w w:val="100"/>
          <w:kern w:val="0"/>
          <w:szCs w:val="21"/>
          <w:highlight w:val="none"/>
          <w:u w:val="single"/>
          <w:lang w:val="en-US" w:eastAsia="zh-CN"/>
        </w:rPr>
        <w:t xml:space="preserve">               </w:t>
      </w:r>
      <w:r>
        <w:rPr>
          <w:rFonts w:ascii="宋体" w:hAnsi="宋体"/>
          <w:snapToGrid w:val="0"/>
          <w:color w:val="auto"/>
          <w:kern w:val="0"/>
          <w:szCs w:val="21"/>
          <w:highlight w:val="none"/>
          <w:u w:val="single"/>
        </w:rPr>
        <w:t xml:space="preserve">     </w:t>
      </w:r>
    </w:p>
    <w:p>
      <w:pPr>
        <w:spacing w:line="360" w:lineRule="auto"/>
        <w:ind w:firstLine="420" w:firstLineChars="200"/>
        <w:rPr>
          <w:rFonts w:ascii="宋体" w:hAnsi="宋体"/>
          <w:snapToGrid w:val="0"/>
          <w:color w:val="auto"/>
          <w:kern w:val="0"/>
          <w:szCs w:val="21"/>
          <w:highlight w:val="none"/>
          <w:u w:val="single"/>
        </w:rPr>
      </w:pPr>
      <w:r>
        <w:rPr>
          <w:rFonts w:hint="eastAsia" w:ascii="宋体" w:hAnsi="宋体"/>
          <w:snapToGrid w:val="0"/>
          <w:color w:val="auto"/>
          <w:kern w:val="0"/>
          <w:szCs w:val="21"/>
          <w:highlight w:val="none"/>
        </w:rPr>
        <w:t>纳税人识别号：</w:t>
      </w:r>
      <w:r>
        <w:rPr>
          <w:rFonts w:ascii="宋体" w:hAnsi="宋体"/>
          <w:snapToGrid w:val="0"/>
          <w:color w:val="auto"/>
          <w:w w:val="200"/>
          <w:kern w:val="0"/>
          <w:szCs w:val="21"/>
          <w:highlight w:val="none"/>
          <w:u w:val="single"/>
        </w:rPr>
        <w:t xml:space="preserve"> </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 xml:space="preserve">              </w:t>
      </w:r>
      <w:r>
        <w:rPr>
          <w:rFonts w:ascii="宋体" w:hAnsi="宋体"/>
          <w:snapToGrid w:val="0"/>
          <w:color w:val="auto"/>
          <w:kern w:val="0"/>
          <w:szCs w:val="21"/>
          <w:highlight w:val="none"/>
          <w:u w:val="single"/>
        </w:rPr>
        <w:t xml:space="preserve">        </w:t>
      </w:r>
    </w:p>
    <w:p>
      <w:pPr>
        <w:spacing w:line="360" w:lineRule="auto"/>
        <w:ind w:firstLine="420" w:firstLineChars="200"/>
        <w:rPr>
          <w:rFonts w:ascii="宋体" w:hAnsi="宋体"/>
          <w:snapToGrid w:val="0"/>
          <w:color w:val="auto"/>
          <w:kern w:val="0"/>
          <w:szCs w:val="21"/>
          <w:highlight w:val="none"/>
          <w:u w:val="single"/>
        </w:rPr>
      </w:pPr>
      <w:r>
        <w:rPr>
          <w:rFonts w:hint="eastAsia" w:ascii="宋体" w:hAnsi="宋体"/>
          <w:snapToGrid w:val="0"/>
          <w:color w:val="auto"/>
          <w:kern w:val="0"/>
          <w:szCs w:val="21"/>
          <w:highlight w:val="none"/>
        </w:rPr>
        <w:t>地</w:t>
      </w:r>
      <w:r>
        <w:rPr>
          <w:rFonts w:ascii="宋体" w:hAnsi="宋体"/>
          <w:snapToGrid w:val="0"/>
          <w:color w:val="auto"/>
          <w:kern w:val="0"/>
          <w:szCs w:val="21"/>
          <w:highlight w:val="none"/>
        </w:rPr>
        <w:t xml:space="preserve">    </w:t>
      </w:r>
      <w:r>
        <w:rPr>
          <w:rFonts w:hint="eastAsia" w:ascii="宋体" w:hAnsi="宋体"/>
          <w:snapToGrid w:val="0"/>
          <w:color w:val="auto"/>
          <w:kern w:val="0"/>
          <w:szCs w:val="21"/>
          <w:highlight w:val="none"/>
        </w:rPr>
        <w:t>址：</w:t>
      </w:r>
      <w:r>
        <w:rPr>
          <w:rFonts w:hint="eastAsia" w:ascii="宋体" w:hAnsi="宋体"/>
          <w:snapToGrid w:val="0"/>
          <w:color w:val="auto"/>
          <w:kern w:val="0"/>
          <w:szCs w:val="21"/>
          <w:highlight w:val="none"/>
          <w:u w:val="single"/>
          <w:lang w:val="en-US" w:eastAsia="zh-CN"/>
        </w:rPr>
        <w:t xml:space="preserve">                         </w:t>
      </w:r>
      <w:r>
        <w:rPr>
          <w:rFonts w:ascii="宋体" w:hAnsi="宋体"/>
          <w:snapToGrid w:val="0"/>
          <w:color w:val="auto"/>
          <w:kern w:val="0"/>
          <w:szCs w:val="21"/>
          <w:highlight w:val="none"/>
          <w:u w:val="single"/>
        </w:rPr>
        <w:t xml:space="preserve">   </w:t>
      </w:r>
    </w:p>
    <w:p>
      <w:pPr>
        <w:spacing w:line="360" w:lineRule="auto"/>
        <w:ind w:firstLine="420" w:firstLineChars="200"/>
        <w:rPr>
          <w:rFonts w:ascii="宋体" w:hAnsi="宋体"/>
          <w:snapToGrid w:val="0"/>
          <w:color w:val="auto"/>
          <w:kern w:val="0"/>
          <w:szCs w:val="21"/>
          <w:highlight w:val="none"/>
          <w:u w:val="single"/>
        </w:rPr>
      </w:pPr>
      <w:r>
        <w:rPr>
          <w:rFonts w:hint="eastAsia" w:ascii="宋体" w:hAnsi="宋体"/>
          <w:snapToGrid w:val="0"/>
          <w:color w:val="auto"/>
          <w:kern w:val="0"/>
          <w:szCs w:val="21"/>
          <w:highlight w:val="none"/>
        </w:rPr>
        <w:t>电</w:t>
      </w:r>
      <w:r>
        <w:rPr>
          <w:rFonts w:ascii="宋体" w:hAnsi="宋体"/>
          <w:snapToGrid w:val="0"/>
          <w:color w:val="auto"/>
          <w:kern w:val="0"/>
          <w:szCs w:val="21"/>
          <w:highlight w:val="none"/>
        </w:rPr>
        <w:t xml:space="preserve">    </w:t>
      </w:r>
      <w:r>
        <w:rPr>
          <w:rFonts w:hint="eastAsia" w:ascii="宋体" w:hAnsi="宋体"/>
          <w:snapToGrid w:val="0"/>
          <w:color w:val="auto"/>
          <w:kern w:val="0"/>
          <w:szCs w:val="21"/>
          <w:highlight w:val="none"/>
        </w:rPr>
        <w:t>话：</w:t>
      </w:r>
      <w:r>
        <w:rPr>
          <w:rFonts w:ascii="宋体" w:hAnsi="宋体"/>
          <w:snapToGrid w:val="0"/>
          <w:color w:val="auto"/>
          <w:w w:val="200"/>
          <w:kern w:val="0"/>
          <w:szCs w:val="21"/>
          <w:highlight w:val="none"/>
          <w:u w:val="single"/>
        </w:rPr>
        <w:t xml:space="preserve"> </w:t>
      </w:r>
      <w:r>
        <w:rPr>
          <w:rFonts w:hint="eastAsia" w:ascii="宋体" w:hAnsi="宋体"/>
          <w:snapToGrid w:val="0"/>
          <w:color w:val="auto"/>
          <w:kern w:val="0"/>
          <w:szCs w:val="21"/>
          <w:highlight w:val="none"/>
          <w:u w:val="single"/>
          <w:lang w:val="en-US" w:eastAsia="zh-CN"/>
        </w:rPr>
        <w:t xml:space="preserve">                   </w:t>
      </w:r>
      <w:r>
        <w:rPr>
          <w:rFonts w:ascii="宋体" w:hAnsi="宋体"/>
          <w:snapToGrid w:val="0"/>
          <w:color w:val="auto"/>
          <w:kern w:val="0"/>
          <w:szCs w:val="21"/>
          <w:highlight w:val="none"/>
          <w:u w:val="single"/>
        </w:rPr>
        <w:t xml:space="preserve">             </w:t>
      </w:r>
    </w:p>
    <w:p>
      <w:pPr>
        <w:spacing w:line="360" w:lineRule="auto"/>
        <w:ind w:firstLine="420" w:firstLineChars="200"/>
        <w:rPr>
          <w:rFonts w:ascii="宋体" w:hAnsi="宋体"/>
          <w:snapToGrid w:val="0"/>
          <w:color w:val="auto"/>
          <w:kern w:val="0"/>
          <w:szCs w:val="21"/>
          <w:highlight w:val="none"/>
          <w:u w:val="single"/>
        </w:rPr>
      </w:pPr>
      <w:r>
        <w:rPr>
          <w:rFonts w:hint="eastAsia" w:ascii="宋体" w:hAnsi="宋体"/>
          <w:snapToGrid w:val="0"/>
          <w:color w:val="auto"/>
          <w:kern w:val="0"/>
          <w:szCs w:val="21"/>
          <w:highlight w:val="none"/>
        </w:rPr>
        <w:t>开户银行：</w:t>
      </w:r>
      <w:r>
        <w:rPr>
          <w:rFonts w:ascii="宋体" w:hAnsi="宋体"/>
          <w:snapToGrid w:val="0"/>
          <w:color w:val="auto"/>
          <w:w w:val="200"/>
          <w:kern w:val="0"/>
          <w:szCs w:val="21"/>
          <w:highlight w:val="none"/>
          <w:u w:val="single"/>
        </w:rPr>
        <w:t xml:space="preserve"> </w:t>
      </w:r>
      <w:r>
        <w:rPr>
          <w:rFonts w:hint="eastAsia" w:ascii="宋体" w:hAnsi="宋体"/>
          <w:snapToGrid w:val="0"/>
          <w:color w:val="auto"/>
          <w:kern w:val="0"/>
          <w:szCs w:val="21"/>
          <w:highlight w:val="none"/>
          <w:u w:val="single"/>
          <w:lang w:val="en-US" w:eastAsia="zh-CN"/>
        </w:rPr>
        <w:t xml:space="preserve">                      </w:t>
      </w:r>
      <w:r>
        <w:rPr>
          <w:rFonts w:ascii="宋体" w:hAnsi="宋体"/>
          <w:snapToGrid w:val="0"/>
          <w:color w:val="auto"/>
          <w:kern w:val="0"/>
          <w:szCs w:val="21"/>
          <w:highlight w:val="none"/>
          <w:u w:val="single"/>
        </w:rPr>
        <w:t xml:space="preserve">    </w:t>
      </w:r>
    </w:p>
    <w:p>
      <w:pPr>
        <w:spacing w:line="360" w:lineRule="auto"/>
        <w:ind w:firstLine="420" w:firstLineChars="200"/>
        <w:rPr>
          <w:rFonts w:ascii="宋体" w:hAnsi="宋体"/>
          <w:color w:val="auto"/>
          <w:szCs w:val="21"/>
          <w:highlight w:val="none"/>
        </w:rPr>
      </w:pPr>
      <w:r>
        <w:rPr>
          <w:rFonts w:hint="eastAsia" w:ascii="宋体" w:hAnsi="宋体"/>
          <w:snapToGrid w:val="0"/>
          <w:color w:val="auto"/>
          <w:kern w:val="0"/>
          <w:szCs w:val="21"/>
          <w:highlight w:val="none"/>
        </w:rPr>
        <w:t>账</w:t>
      </w:r>
      <w:r>
        <w:rPr>
          <w:rFonts w:ascii="宋体" w:hAnsi="宋体"/>
          <w:snapToGrid w:val="0"/>
          <w:color w:val="auto"/>
          <w:kern w:val="0"/>
          <w:szCs w:val="21"/>
          <w:highlight w:val="none"/>
        </w:rPr>
        <w:t xml:space="preserve">    </w:t>
      </w:r>
      <w:r>
        <w:rPr>
          <w:rFonts w:hint="eastAsia" w:ascii="宋体" w:hAnsi="宋体"/>
          <w:snapToGrid w:val="0"/>
          <w:color w:val="auto"/>
          <w:kern w:val="0"/>
          <w:szCs w:val="21"/>
          <w:highlight w:val="none"/>
        </w:rPr>
        <w:t>号：</w:t>
      </w:r>
      <w:r>
        <w:rPr>
          <w:rFonts w:ascii="宋体" w:hAnsi="宋体"/>
          <w:snapToGrid w:val="0"/>
          <w:color w:val="auto"/>
          <w:w w:val="200"/>
          <w:kern w:val="0"/>
          <w:szCs w:val="21"/>
          <w:highlight w:val="none"/>
          <w:u w:val="single"/>
        </w:rPr>
        <w:t xml:space="preserve"> </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 xml:space="preserve">                       </w:t>
      </w:r>
      <w:r>
        <w:rPr>
          <w:rFonts w:hint="eastAsia" w:ascii="宋体" w:hAnsi="宋体"/>
          <w:snapToGrid w:val="0"/>
          <w:color w:val="auto"/>
          <w:kern w:val="0"/>
          <w:szCs w:val="21"/>
          <w:highlight w:val="none"/>
          <w:u w:val="single"/>
        </w:rPr>
        <w:t xml:space="preserve">     </w:t>
      </w:r>
    </w:p>
    <w:p>
      <w:pPr>
        <w:spacing w:line="360" w:lineRule="auto"/>
        <w:rPr>
          <w:rFonts w:ascii="宋体" w:hAnsi="宋体"/>
          <w:snapToGrid w:val="0"/>
          <w:color w:val="auto"/>
          <w:kern w:val="0"/>
          <w:szCs w:val="21"/>
          <w:highlight w:val="none"/>
        </w:rPr>
      </w:pPr>
    </w:p>
    <w:p>
      <w:pPr>
        <w:spacing w:line="360" w:lineRule="auto"/>
        <w:ind w:firstLine="420" w:firstLineChars="200"/>
        <w:rPr>
          <w:rFonts w:ascii="宋体" w:hAnsi="宋体"/>
          <w:color w:val="auto"/>
          <w:szCs w:val="21"/>
          <w:highlight w:val="none"/>
        </w:rPr>
      </w:pPr>
      <w:r>
        <w:rPr>
          <w:rFonts w:ascii="宋体" w:hAnsi="宋体"/>
          <w:snapToGrid w:val="0"/>
          <w:color w:val="auto"/>
          <w:kern w:val="0"/>
          <w:szCs w:val="21"/>
          <w:highlight w:val="none"/>
        </w:rPr>
        <w:t>承包人：</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（公章</w:t>
      </w:r>
      <w:r>
        <w:rPr>
          <w:rFonts w:hint="eastAsia" w:ascii="宋体" w:hAnsi="宋体"/>
          <w:snapToGrid w:val="0"/>
          <w:color w:val="auto"/>
          <w:kern w:val="0"/>
          <w:szCs w:val="21"/>
          <w:highlight w:val="none"/>
        </w:rPr>
        <w:t>或合同专用章</w:t>
      </w:r>
      <w:r>
        <w:rPr>
          <w:rFonts w:ascii="宋体" w:hAnsi="宋体"/>
          <w:snapToGrid w:val="0"/>
          <w:color w:val="auto"/>
          <w:kern w:val="0"/>
          <w:szCs w:val="21"/>
          <w:highlight w:val="none"/>
        </w:rPr>
        <w:t>）</w:t>
      </w:r>
    </w:p>
    <w:p>
      <w:pPr>
        <w:spacing w:line="360" w:lineRule="auto"/>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法定代表人或其委托代理人：</w:t>
      </w:r>
      <w:r>
        <w:rPr>
          <w:rFonts w:ascii="宋体" w:hAnsi="宋体"/>
          <w:snapToGrid w:val="0"/>
          <w:color w:val="auto"/>
          <w:w w:val="200"/>
          <w:kern w:val="0"/>
          <w:szCs w:val="21"/>
          <w:highlight w:val="none"/>
          <w:u w:val="single"/>
        </w:rPr>
        <w:t xml:space="preserve">         </w:t>
      </w:r>
      <w:r>
        <w:rPr>
          <w:rFonts w:hint="eastAsia" w:ascii="宋体" w:hAnsi="宋体"/>
          <w:snapToGrid w:val="0"/>
          <w:color w:val="auto"/>
          <w:w w:val="200"/>
          <w:kern w:val="0"/>
          <w:szCs w:val="21"/>
          <w:highlight w:val="none"/>
          <w:u w:val="single"/>
        </w:rPr>
        <w:t xml:space="preserve"> </w:t>
      </w:r>
      <w:r>
        <w:rPr>
          <w:rFonts w:ascii="宋体" w:hAnsi="宋体"/>
          <w:snapToGrid w:val="0"/>
          <w:color w:val="auto"/>
          <w:kern w:val="0"/>
          <w:szCs w:val="21"/>
          <w:highlight w:val="none"/>
        </w:rPr>
        <w:t>（</w:t>
      </w:r>
      <w:r>
        <w:rPr>
          <w:rFonts w:hint="eastAsia" w:ascii="宋体" w:hAnsi="宋体"/>
          <w:snapToGrid w:val="0"/>
          <w:color w:val="auto"/>
          <w:kern w:val="0"/>
          <w:szCs w:val="21"/>
          <w:highlight w:val="none"/>
        </w:rPr>
        <w:t>签名</w:t>
      </w:r>
      <w:r>
        <w:rPr>
          <w:rFonts w:ascii="宋体" w:hAnsi="宋体"/>
          <w:snapToGrid w:val="0"/>
          <w:color w:val="auto"/>
          <w:kern w:val="0"/>
          <w:szCs w:val="21"/>
          <w:highlight w:val="none"/>
        </w:rPr>
        <w:t>）</w:t>
      </w:r>
    </w:p>
    <w:p>
      <w:pPr>
        <w:spacing w:line="360" w:lineRule="auto"/>
        <w:ind w:firstLine="420" w:firstLineChars="200"/>
        <w:rPr>
          <w:rFonts w:ascii="宋体" w:hAnsi="宋体"/>
          <w:snapToGrid w:val="0"/>
          <w:color w:val="auto"/>
          <w:kern w:val="0"/>
          <w:szCs w:val="21"/>
          <w:highlight w:val="none"/>
        </w:rPr>
      </w:pPr>
      <w:r>
        <w:rPr>
          <w:rFonts w:hint="eastAsia" w:ascii="宋体" w:hAnsi="宋体"/>
          <w:snapToGrid w:val="0"/>
          <w:color w:val="auto"/>
          <w:kern w:val="0"/>
          <w:szCs w:val="21"/>
          <w:highlight w:val="none"/>
        </w:rPr>
        <w:t>统一社会信用代码：</w:t>
      </w:r>
      <w:r>
        <w:rPr>
          <w:rFonts w:ascii="宋体" w:hAnsi="宋体"/>
          <w:snapToGrid w:val="0"/>
          <w:color w:val="auto"/>
          <w:w w:val="200"/>
          <w:kern w:val="0"/>
          <w:szCs w:val="21"/>
          <w:highlight w:val="none"/>
          <w:u w:val="single"/>
        </w:rPr>
        <w:t xml:space="preserve"> </w:t>
      </w:r>
      <w:r>
        <w:rPr>
          <w:rFonts w:ascii="宋体" w:hAnsi="宋体"/>
          <w:snapToGrid w:val="0"/>
          <w:color w:val="auto"/>
          <w:kern w:val="0"/>
          <w:szCs w:val="21"/>
          <w:highlight w:val="none"/>
          <w:u w:val="single"/>
        </w:rPr>
        <w:t xml:space="preserve"> </w:t>
      </w:r>
      <w:r>
        <w:rPr>
          <w:rFonts w:hint="eastAsia" w:ascii="宋体" w:hAnsi="宋体"/>
          <w:color w:val="auto"/>
          <w:kern w:val="0"/>
          <w:szCs w:val="21"/>
          <w:highlight w:val="none"/>
          <w:u w:val="single"/>
          <w:lang w:val="en-US" w:eastAsia="zh-CN"/>
        </w:rPr>
        <w:t xml:space="preserve">                </w:t>
      </w:r>
      <w:r>
        <w:rPr>
          <w:rFonts w:hint="eastAsia" w:ascii="宋体" w:hAnsi="宋体"/>
          <w:snapToGrid w:val="0"/>
          <w:color w:val="auto"/>
          <w:kern w:val="0"/>
          <w:szCs w:val="21"/>
          <w:highlight w:val="none"/>
          <w:u w:val="single"/>
        </w:rPr>
        <w:t xml:space="preserve">     </w:t>
      </w:r>
    </w:p>
    <w:p>
      <w:pPr>
        <w:spacing w:line="360" w:lineRule="auto"/>
        <w:ind w:firstLine="420" w:firstLineChars="200"/>
        <w:rPr>
          <w:rFonts w:ascii="宋体" w:hAnsi="宋体"/>
          <w:snapToGrid w:val="0"/>
          <w:color w:val="auto"/>
          <w:kern w:val="0"/>
          <w:szCs w:val="21"/>
          <w:highlight w:val="none"/>
          <w:u w:val="single"/>
        </w:rPr>
      </w:pPr>
      <w:r>
        <w:rPr>
          <w:rFonts w:hint="eastAsia" w:ascii="宋体" w:hAnsi="宋体"/>
          <w:snapToGrid w:val="0"/>
          <w:color w:val="auto"/>
          <w:kern w:val="0"/>
          <w:szCs w:val="21"/>
          <w:highlight w:val="none"/>
        </w:rPr>
        <w:t>纳税人识别号：</w:t>
      </w:r>
      <w:r>
        <w:rPr>
          <w:rFonts w:ascii="宋体" w:hAnsi="宋体"/>
          <w:snapToGrid w:val="0"/>
          <w:color w:val="auto"/>
          <w:w w:val="200"/>
          <w:kern w:val="0"/>
          <w:szCs w:val="21"/>
          <w:highlight w:val="none"/>
          <w:u w:val="single"/>
        </w:rPr>
        <w:t xml:space="preserve"> </w:t>
      </w:r>
      <w:r>
        <w:rPr>
          <w:rFonts w:hint="eastAsia" w:ascii="宋体" w:hAnsi="宋体"/>
          <w:color w:val="auto"/>
          <w:kern w:val="0"/>
          <w:szCs w:val="21"/>
          <w:highlight w:val="none"/>
          <w:u w:val="single"/>
          <w:lang w:val="en-US" w:eastAsia="zh-CN"/>
        </w:rPr>
        <w:t xml:space="preserve">               </w:t>
      </w:r>
      <w:r>
        <w:rPr>
          <w:rFonts w:hint="eastAsia" w:ascii="宋体" w:hAnsi="宋体"/>
          <w:snapToGrid w:val="0"/>
          <w:color w:val="auto"/>
          <w:kern w:val="0"/>
          <w:szCs w:val="21"/>
          <w:highlight w:val="none"/>
          <w:u w:val="single"/>
        </w:rPr>
        <w:t xml:space="preserve">   </w:t>
      </w:r>
    </w:p>
    <w:p>
      <w:pPr>
        <w:spacing w:line="360" w:lineRule="auto"/>
        <w:ind w:firstLine="420" w:firstLineChars="200"/>
        <w:rPr>
          <w:rFonts w:ascii="宋体" w:hAnsi="宋体"/>
          <w:snapToGrid w:val="0"/>
          <w:color w:val="auto"/>
          <w:kern w:val="0"/>
          <w:szCs w:val="21"/>
          <w:highlight w:val="none"/>
          <w:u w:val="single"/>
        </w:rPr>
      </w:pPr>
      <w:r>
        <w:rPr>
          <w:rFonts w:hint="eastAsia" w:ascii="宋体" w:hAnsi="宋体"/>
          <w:snapToGrid w:val="0"/>
          <w:color w:val="auto"/>
          <w:kern w:val="0"/>
          <w:szCs w:val="21"/>
          <w:highlight w:val="none"/>
        </w:rPr>
        <w:t>地    址：</w:t>
      </w:r>
      <w:r>
        <w:rPr>
          <w:rFonts w:ascii="宋体" w:hAnsi="宋体"/>
          <w:snapToGrid w:val="0"/>
          <w:color w:val="auto"/>
          <w:w w:val="200"/>
          <w:kern w:val="0"/>
          <w:szCs w:val="21"/>
          <w:highlight w:val="none"/>
          <w:u w:val="single"/>
        </w:rPr>
        <w:t xml:space="preserve"> </w:t>
      </w:r>
      <w:r>
        <w:rPr>
          <w:rFonts w:hint="eastAsia" w:ascii="宋体" w:hAnsi="宋体"/>
          <w:color w:val="auto"/>
          <w:kern w:val="0"/>
          <w:szCs w:val="21"/>
          <w:highlight w:val="none"/>
          <w:u w:val="single"/>
          <w:lang w:val="en-US" w:eastAsia="zh-CN"/>
        </w:rPr>
        <w:t xml:space="preserve">                   </w:t>
      </w:r>
      <w:r>
        <w:rPr>
          <w:rFonts w:hint="eastAsia" w:ascii="宋体" w:hAnsi="宋体"/>
          <w:snapToGrid w:val="0"/>
          <w:color w:val="auto"/>
          <w:kern w:val="0"/>
          <w:szCs w:val="21"/>
          <w:highlight w:val="none"/>
          <w:u w:val="single"/>
        </w:rPr>
        <w:t xml:space="preserve">  </w:t>
      </w:r>
    </w:p>
    <w:p>
      <w:pPr>
        <w:spacing w:line="360" w:lineRule="auto"/>
        <w:ind w:firstLine="420" w:firstLineChars="200"/>
        <w:rPr>
          <w:rFonts w:ascii="宋体" w:hAnsi="宋体"/>
          <w:snapToGrid w:val="0"/>
          <w:color w:val="auto"/>
          <w:kern w:val="0"/>
          <w:szCs w:val="21"/>
          <w:highlight w:val="none"/>
          <w:u w:val="single"/>
        </w:rPr>
      </w:pPr>
      <w:r>
        <w:rPr>
          <w:rFonts w:hint="eastAsia" w:ascii="宋体" w:hAnsi="宋体"/>
          <w:snapToGrid w:val="0"/>
          <w:color w:val="auto"/>
          <w:kern w:val="0"/>
          <w:szCs w:val="21"/>
          <w:highlight w:val="none"/>
        </w:rPr>
        <w:t>电    话：</w:t>
      </w:r>
      <w:r>
        <w:rPr>
          <w:rFonts w:ascii="宋体" w:hAnsi="宋体"/>
          <w:snapToGrid w:val="0"/>
          <w:color w:val="auto"/>
          <w:w w:val="200"/>
          <w:kern w:val="0"/>
          <w:szCs w:val="21"/>
          <w:highlight w:val="none"/>
          <w:u w:val="single"/>
        </w:rPr>
        <w:t xml:space="preserve"> </w:t>
      </w:r>
      <w:r>
        <w:rPr>
          <w:rFonts w:ascii="宋体" w:hAnsi="宋体"/>
          <w:snapToGrid w:val="0"/>
          <w:color w:val="auto"/>
          <w:kern w:val="0"/>
          <w:szCs w:val="21"/>
          <w:highlight w:val="none"/>
          <w:u w:val="single"/>
        </w:rPr>
        <w:t xml:space="preserve"> </w:t>
      </w:r>
      <w:r>
        <w:rPr>
          <w:rFonts w:hint="eastAsia" w:ascii="宋体" w:hAnsi="宋体" w:cs="MingLiU"/>
          <w:color w:val="auto"/>
          <w:kern w:val="0"/>
          <w:szCs w:val="21"/>
          <w:highlight w:val="none"/>
          <w:u w:val="single"/>
          <w:lang w:val="en-US" w:eastAsia="zh-CN"/>
        </w:rPr>
        <w:t xml:space="preserve">                </w:t>
      </w:r>
      <w:r>
        <w:rPr>
          <w:rFonts w:hint="eastAsia" w:ascii="宋体" w:hAnsi="宋体"/>
          <w:snapToGrid w:val="0"/>
          <w:color w:val="auto"/>
          <w:kern w:val="0"/>
          <w:szCs w:val="21"/>
          <w:highlight w:val="none"/>
          <w:u w:val="single"/>
        </w:rPr>
        <w:t xml:space="preserve">  </w:t>
      </w:r>
    </w:p>
    <w:p>
      <w:pPr>
        <w:spacing w:line="360" w:lineRule="auto"/>
        <w:ind w:firstLine="420" w:firstLineChars="200"/>
        <w:rPr>
          <w:rFonts w:ascii="宋体" w:hAnsi="宋体"/>
          <w:snapToGrid w:val="0"/>
          <w:color w:val="auto"/>
          <w:kern w:val="0"/>
          <w:szCs w:val="21"/>
          <w:highlight w:val="none"/>
          <w:u w:val="single"/>
        </w:rPr>
      </w:pPr>
      <w:r>
        <w:rPr>
          <w:rFonts w:hint="eastAsia" w:ascii="宋体" w:hAnsi="宋体"/>
          <w:snapToGrid w:val="0"/>
          <w:color w:val="auto"/>
          <w:kern w:val="0"/>
          <w:szCs w:val="21"/>
          <w:highlight w:val="none"/>
        </w:rPr>
        <w:t>开户银行：</w:t>
      </w:r>
      <w:r>
        <w:rPr>
          <w:rFonts w:ascii="宋体" w:hAnsi="宋体"/>
          <w:snapToGrid w:val="0"/>
          <w:color w:val="auto"/>
          <w:w w:val="200"/>
          <w:kern w:val="0"/>
          <w:szCs w:val="21"/>
          <w:highlight w:val="none"/>
          <w:u w:val="single"/>
        </w:rPr>
        <w:t xml:space="preserve"> </w:t>
      </w:r>
      <w:r>
        <w:rPr>
          <w:rFonts w:ascii="宋体" w:hAnsi="宋体"/>
          <w:snapToGrid w:val="0"/>
          <w:color w:val="auto"/>
          <w:kern w:val="0"/>
          <w:szCs w:val="21"/>
          <w:highlight w:val="none"/>
          <w:u w:val="single"/>
        </w:rPr>
        <w:t xml:space="preserve"> </w:t>
      </w:r>
      <w:r>
        <w:rPr>
          <w:rFonts w:hint="eastAsia" w:ascii="宋体" w:hAnsi="宋体"/>
          <w:color w:val="auto"/>
          <w:kern w:val="0"/>
          <w:szCs w:val="21"/>
          <w:highlight w:val="none"/>
          <w:u w:val="single"/>
          <w:lang w:val="en-US" w:eastAsia="zh-CN"/>
        </w:rPr>
        <w:t xml:space="preserve">                                </w:t>
      </w:r>
      <w:r>
        <w:rPr>
          <w:rFonts w:hint="eastAsia" w:ascii="宋体" w:hAnsi="宋体"/>
          <w:snapToGrid w:val="0"/>
          <w:color w:val="auto"/>
          <w:kern w:val="0"/>
          <w:szCs w:val="21"/>
          <w:highlight w:val="none"/>
          <w:u w:val="single"/>
        </w:rPr>
        <w:t xml:space="preserve">   </w:t>
      </w:r>
    </w:p>
    <w:p>
      <w:pPr>
        <w:spacing w:line="360" w:lineRule="auto"/>
        <w:ind w:firstLine="420" w:firstLineChars="200"/>
        <w:rPr>
          <w:rFonts w:ascii="宋体" w:hAnsi="宋体"/>
          <w:snapToGrid w:val="0"/>
          <w:color w:val="auto"/>
          <w:kern w:val="0"/>
          <w:szCs w:val="21"/>
          <w:highlight w:val="none"/>
          <w:u w:val="single"/>
        </w:rPr>
      </w:pPr>
      <w:r>
        <w:rPr>
          <w:rFonts w:hint="eastAsia" w:ascii="宋体" w:hAnsi="宋体"/>
          <w:snapToGrid w:val="0"/>
          <w:color w:val="auto"/>
          <w:kern w:val="0"/>
          <w:szCs w:val="21"/>
          <w:highlight w:val="none"/>
        </w:rPr>
        <w:t>账    号：</w:t>
      </w:r>
      <w:r>
        <w:rPr>
          <w:rFonts w:ascii="宋体" w:hAnsi="宋体"/>
          <w:snapToGrid w:val="0"/>
          <w:color w:val="auto"/>
          <w:w w:val="200"/>
          <w:kern w:val="0"/>
          <w:szCs w:val="21"/>
          <w:highlight w:val="none"/>
          <w:u w:val="single"/>
        </w:rPr>
        <w:t xml:space="preserve"> </w:t>
      </w:r>
      <w:r>
        <w:rPr>
          <w:rFonts w:ascii="宋体" w:hAnsi="宋体"/>
          <w:snapToGrid w:val="0"/>
          <w:color w:val="auto"/>
          <w:kern w:val="0"/>
          <w:szCs w:val="21"/>
          <w:highlight w:val="none"/>
          <w:u w:val="single"/>
        </w:rPr>
        <w:t xml:space="preserve"> </w:t>
      </w:r>
      <w:r>
        <w:rPr>
          <w:rFonts w:hint="eastAsia" w:ascii="宋体" w:hAnsi="宋体"/>
          <w:color w:val="auto"/>
          <w:kern w:val="0"/>
          <w:szCs w:val="21"/>
          <w:highlight w:val="none"/>
          <w:u w:val="single"/>
          <w:lang w:val="en-US" w:eastAsia="zh-CN"/>
        </w:rPr>
        <w:t xml:space="preserve">                                </w:t>
      </w:r>
      <w:r>
        <w:rPr>
          <w:rFonts w:hint="eastAsia" w:ascii="宋体" w:hAnsi="宋体"/>
          <w:snapToGrid w:val="0"/>
          <w:color w:val="auto"/>
          <w:kern w:val="0"/>
          <w:szCs w:val="21"/>
          <w:highlight w:val="none"/>
          <w:u w:val="single"/>
        </w:rPr>
        <w:t xml:space="preserve">  </w:t>
      </w:r>
    </w:p>
    <w:p>
      <w:pPr>
        <w:spacing w:line="360" w:lineRule="auto"/>
        <w:jc w:val="both"/>
        <w:rPr>
          <w:rFonts w:ascii="宋体" w:hAnsi="宋体"/>
          <w:snapToGrid w:val="0"/>
          <w:color w:val="auto"/>
          <w:kern w:val="0"/>
          <w:szCs w:val="21"/>
          <w:highlight w:val="none"/>
        </w:rPr>
      </w:pPr>
    </w:p>
    <w:p>
      <w:pPr>
        <w:spacing w:line="360" w:lineRule="auto"/>
        <w:jc w:val="right"/>
        <w:rPr>
          <w:rFonts w:ascii="宋体" w:hAnsi="宋体"/>
          <w:snapToGrid w:val="0"/>
          <w:color w:val="auto"/>
          <w:kern w:val="0"/>
          <w:szCs w:val="21"/>
          <w:highlight w:val="none"/>
        </w:rPr>
      </w:pPr>
    </w:p>
    <w:p>
      <w:pPr>
        <w:spacing w:line="360" w:lineRule="auto"/>
        <w:jc w:val="right"/>
        <w:rPr>
          <w:rFonts w:ascii="宋体" w:hAnsi="宋体"/>
          <w:snapToGrid w:val="0"/>
          <w:color w:val="auto"/>
          <w:kern w:val="0"/>
          <w:szCs w:val="21"/>
          <w:highlight w:val="none"/>
        </w:rPr>
      </w:pPr>
      <w:r>
        <w:rPr>
          <w:rFonts w:hint="eastAsia" w:ascii="宋体" w:hAnsi="宋体"/>
          <w:snapToGrid w:val="0"/>
          <w:color w:val="auto"/>
          <w:kern w:val="0"/>
          <w:szCs w:val="21"/>
          <w:highlight w:val="none"/>
        </w:rPr>
        <w:t>签约时间：</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年</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月</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日</w:t>
      </w:r>
    </w:p>
    <w:p>
      <w:pPr>
        <w:pStyle w:val="5"/>
        <w:jc w:val="center"/>
        <w:rPr>
          <w:rFonts w:ascii="宋体" w:hAnsi="宋体"/>
          <w:bCs w:val="0"/>
          <w:color w:val="auto"/>
          <w:sz w:val="21"/>
          <w:szCs w:val="21"/>
          <w:highlight w:val="none"/>
        </w:rPr>
      </w:pPr>
      <w:r>
        <w:rPr>
          <w:rFonts w:hint="eastAsia" w:ascii="宋体" w:hAnsi="宋体"/>
          <w:b w:val="0"/>
          <w:snapToGrid w:val="0"/>
          <w:color w:val="auto"/>
          <w:sz w:val="21"/>
          <w:szCs w:val="21"/>
          <w:highlight w:val="none"/>
          <w:lang w:val="zh-CN"/>
        </w:rPr>
        <w:br w:type="page"/>
      </w:r>
      <w:bookmarkStart w:id="368" w:name="_Toc17507"/>
      <w:bookmarkStart w:id="369" w:name="_Toc57820638"/>
      <w:r>
        <w:rPr>
          <w:rFonts w:hint="eastAsia" w:ascii="宋体" w:hAnsi="宋体"/>
          <w:color w:val="auto"/>
          <w:sz w:val="44"/>
          <w:szCs w:val="44"/>
          <w:highlight w:val="none"/>
        </w:rPr>
        <w:t>第二部分 通用合同条款</w:t>
      </w:r>
      <w:bookmarkEnd w:id="368"/>
      <w:bookmarkEnd w:id="369"/>
    </w:p>
    <w:p>
      <w:pPr>
        <w:pStyle w:val="6"/>
        <w:keepNext/>
        <w:keepLines/>
        <w:spacing w:beforeLines="50" w:beforeAutospacing="0" w:afterLines="50" w:afterAutospacing="0" w:line="360" w:lineRule="auto"/>
        <w:jc w:val="both"/>
        <w:rPr>
          <w:color w:val="auto"/>
          <w:kern w:val="2"/>
          <w:sz w:val="21"/>
          <w:szCs w:val="21"/>
          <w:highlight w:val="none"/>
        </w:rPr>
      </w:pPr>
      <w:r>
        <w:rPr>
          <w:rFonts w:hint="eastAsia"/>
          <w:color w:val="auto"/>
          <w:kern w:val="2"/>
          <w:sz w:val="21"/>
          <w:szCs w:val="21"/>
          <w:highlight w:val="none"/>
        </w:rPr>
        <w:t>1.</w:t>
      </w:r>
      <w:bookmarkStart w:id="370" w:name="_Toc303538976"/>
      <w:bookmarkEnd w:id="370"/>
      <w:bookmarkStart w:id="371" w:name="_Toc303538975"/>
      <w:bookmarkEnd w:id="371"/>
      <w:bookmarkStart w:id="372" w:name="_Toc303538974"/>
      <w:bookmarkEnd w:id="372"/>
      <w:bookmarkStart w:id="373" w:name="_Toc303538972"/>
      <w:bookmarkEnd w:id="373"/>
      <w:bookmarkStart w:id="374" w:name="_Toc303538973"/>
      <w:bookmarkEnd w:id="374"/>
      <w:bookmarkStart w:id="375" w:name="_Toc296503027"/>
      <w:bookmarkStart w:id="376" w:name="_Toc296346528"/>
      <w:r>
        <w:rPr>
          <w:rFonts w:hint="eastAsia"/>
          <w:color w:val="auto"/>
          <w:kern w:val="2"/>
          <w:sz w:val="21"/>
          <w:szCs w:val="21"/>
          <w:highlight w:val="none"/>
        </w:rPr>
        <w:t>一般约定</w:t>
      </w:r>
      <w:bookmarkEnd w:id="375"/>
      <w:bookmarkEnd w:id="376"/>
    </w:p>
    <w:p>
      <w:pPr>
        <w:pStyle w:val="7"/>
        <w:spacing w:before="0" w:beforeAutospacing="0" w:after="0" w:afterAutospacing="0" w:line="360" w:lineRule="auto"/>
        <w:ind w:firstLine="422" w:firstLineChars="200"/>
        <w:rPr>
          <w:color w:val="auto"/>
          <w:sz w:val="21"/>
          <w:szCs w:val="21"/>
          <w:highlight w:val="none"/>
        </w:rPr>
      </w:pPr>
      <w:bookmarkStart w:id="377" w:name="_Toc296503028"/>
      <w:bookmarkStart w:id="378" w:name="_Toc337558728"/>
      <w:bookmarkStart w:id="379" w:name="_Toc296346529"/>
      <w:bookmarkStart w:id="380" w:name="_Toc532377181"/>
      <w:bookmarkStart w:id="381" w:name="_Toc351203496"/>
      <w:r>
        <w:rPr>
          <w:rFonts w:hint="eastAsia"/>
          <w:color w:val="auto"/>
          <w:sz w:val="21"/>
          <w:szCs w:val="21"/>
          <w:highlight w:val="none"/>
        </w:rPr>
        <w:t>1.1词语定义</w:t>
      </w:r>
      <w:bookmarkEnd w:id="377"/>
      <w:bookmarkEnd w:id="378"/>
      <w:bookmarkEnd w:id="379"/>
      <w:r>
        <w:rPr>
          <w:rFonts w:hint="eastAsia"/>
          <w:color w:val="auto"/>
          <w:sz w:val="21"/>
          <w:szCs w:val="21"/>
          <w:highlight w:val="none"/>
        </w:rPr>
        <w:t>与解释</w:t>
      </w:r>
      <w:bookmarkEnd w:id="380"/>
      <w:bookmarkEnd w:id="381"/>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合同协议书、通用合同条款、专用合同条款中的下列词语具有本款所赋予的含义：</w:t>
      </w:r>
    </w:p>
    <w:p>
      <w:pPr>
        <w:pStyle w:val="7"/>
        <w:spacing w:before="0" w:beforeAutospacing="0" w:after="0" w:afterAutospacing="0" w:line="360" w:lineRule="auto"/>
        <w:ind w:firstLine="420" w:firstLineChars="200"/>
        <w:rPr>
          <w:b w:val="0"/>
          <w:bCs w:val="0"/>
          <w:color w:val="auto"/>
          <w:sz w:val="21"/>
          <w:szCs w:val="21"/>
          <w:highlight w:val="none"/>
        </w:rPr>
      </w:pPr>
      <w:bookmarkStart w:id="382" w:name="_Toc532377182"/>
      <w:r>
        <w:rPr>
          <w:rFonts w:hint="eastAsia"/>
          <w:b w:val="0"/>
          <w:bCs w:val="0"/>
          <w:color w:val="auto"/>
          <w:sz w:val="21"/>
          <w:szCs w:val="21"/>
          <w:highlight w:val="none"/>
        </w:rPr>
        <w:t>1.1.1 合同</w:t>
      </w:r>
      <w:bookmarkEnd w:id="382"/>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1.1.1.1 合同：是指根据法律规定和合同当事人约定具有约束力的文件，构成合同的文件包括合同协议书、中标通知书（如有）、投标函及其附录（如有）、专用合同条款</w:t>
      </w:r>
      <w:r>
        <w:rPr>
          <w:rFonts w:hint="eastAsia" w:ascii="宋体" w:hAnsi="宋体"/>
          <w:color w:val="auto"/>
          <w:szCs w:val="21"/>
          <w:highlight w:val="none"/>
        </w:rPr>
        <w:t>及其附件</w:t>
      </w:r>
      <w:r>
        <w:rPr>
          <w:rFonts w:hint="eastAsia" w:ascii="宋体" w:hAnsi="宋体"/>
          <w:color w:val="auto"/>
          <w:kern w:val="0"/>
          <w:szCs w:val="21"/>
          <w:highlight w:val="none"/>
        </w:rPr>
        <w:t>、通用合同条款、技术标准和要求、图纸、已标价工程量清单或预算书以及其他合同文件。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1.1.1.2 合同协议书：是指构成合同的由发包人和承包人共同签署的称为“合同协议书”的书面文件。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1.1.1.3 中标通知书：是指构成合同的由发包人通知承包人中标的书面文件。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1.1.1.4 投标函：是指构成合同的由承包人填写并签署的用于投标的称为“投标函”的文件。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1.1.1.5 投标函附录：是指构成合同的附在投标函后的称为“投标函附录”的文件。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1.1.1.6 技术标准和要求：是指构成合同的施工应当遵守的或指导施工的国家、行业或地方的技术标准和要求，以及合同约定的技术标准和要求。</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1.1.1.7 图纸：是指构成合同的图纸，包括由发包人按照合同约定提供或经发包人批准的设计文件、施工图、鸟瞰图及模型等，以及在合同履行过程中形成的图纸文件。图纸应当按照法律规定审查合格。</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1.1.1.8 已标价工程量清单：是指构成合同的由承包人按照规定的格式和要求填写并标明价格的工程量清单，包括说明和表格。</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1.1.1.9 预算书：是指构成合同的由承包人按照发包人规定的格式和要求编制的工程预算文件。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1.1.1.10 其他合同文件：是指经合同当事人约定的与工程施工有关的具有合同约束力的文件或书面协议。合同当事人可以在专用合同条款中进行约定。</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1.1.2 合同当事人及其他相关方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1.1.2.1 合同当事人：是指发包人和（或）承包人。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1.1.2.2 发包人：是指与承包人签订合同协议书的当事人及取得该当事人资格的合法继承人。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1.1.2.3 承包人：是指与发包人签订合同协议书的，具有相应工程施工承包资质的当事人及取得该当事人资格的合法继承人。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1.1.2.4 监理人：是指在专用合同条款中指明的，受发包人委托按照法律规定进行工程监督管理的法人或其他组织。</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1.1.2.5 设计人：是指在专用合同条款中指明的，受发包人委托负责工程设计并具备相应工程设计资质的法人或其他组织。</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1.1.2.6 分包人：</w:t>
      </w:r>
      <w:bookmarkStart w:id="383" w:name="#go5"/>
      <w:bookmarkEnd w:id="383"/>
      <w:r>
        <w:rPr>
          <w:rFonts w:hint="eastAsia" w:ascii="宋体" w:hAnsi="宋体"/>
          <w:color w:val="auto"/>
          <w:kern w:val="0"/>
          <w:szCs w:val="21"/>
          <w:highlight w:val="none"/>
        </w:rPr>
        <w:t>是指按照法律规定和合同约定，分包部分工程或工作，并与承包人签订分包合同的具有相应资质的法人。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1.1.2.7 发包人代表：是指由发包人任命并派驻施工现场在发包人授权范围内行使发包人权利的人。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1.1.2.8 项目经理：是指由承包人任命并派驻施工现场，在承包人授权范围内负责合同履行，且按照法律规定具有相应资格的项目负责人。</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1.1.2.9 总监理工程师：是指由监理人任命并派驻施工现场进行工程监理的总负责人。</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1.1.3 工程和设备</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1.1.3.1 工程：是指与合同协议书中工程承包范围对应的永久工程和（或）临时工程。</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1.1.3.2 永久工程：是指按合同约定建造并移交给发包人的工程，包括工程设备。</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1.1.3.3 临时工程：是指为完成合同约定的永久工程所修建的各类临时性工程，不包括施工设备。</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1.1.3.4 单位工程：是指在合同协议书中指明的，具备独立施工条件并能形成独立使用功能的永久工程。</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1.1.3.5 工程设备：是指构成永久工程的机电设备、金属结构设备、仪器及其他类似的设备和装置。</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1.1.3.6 施工设备：是指为完成合同约定的各项工作所需的设备、器具和其他物品，但不包括工程设备、临时工程和材料。</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1.1.3.7 施工现场：是指用于工程施工的场所，以及在专用合同条款中指明作为施工场所组成部分的其他场所，包括永久占地和临时占地。</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1.1.3.8临时设施：是指为完成合同约定的各项工作所服务的临时性生产和生活设施。</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1.1.3.9 永久占地：是指专用合同条款中指明为实施工程需永久占用的土地。</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1.1.3.10 临时占地：是指专用合同条款中指明为实施工程需要临时占用的土地。</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1.1.4 日期和期限</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1.1.4.1 开工日期：包括计划开工日期和实际开工日期。计划开工日期是指合同协议书约定的开工日期；实际开工日期是指监理人按照第7.3.2项〔开工通知〕约定发出的符合法律规定的开工通知中载明的开工日期。</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1.1.4.2 竣工日期：包括计划竣工日期和实际竣工日期。计划竣工日期是指合同协议书约定的竣工日期；实际竣工日期按照第13.2.3项〔竣工日期〕的约定确定。 </w:t>
      </w:r>
    </w:p>
    <w:p>
      <w:pPr>
        <w:spacing w:line="360" w:lineRule="auto"/>
        <w:ind w:firstLine="420" w:firstLineChars="200"/>
        <w:jc w:val="left"/>
        <w:rPr>
          <w:rFonts w:ascii="宋体" w:hAnsi="宋体"/>
          <w:color w:val="auto"/>
          <w:szCs w:val="21"/>
          <w:highlight w:val="none"/>
        </w:rPr>
      </w:pPr>
      <w:r>
        <w:rPr>
          <w:rFonts w:hint="eastAsia" w:ascii="宋体" w:hAnsi="宋体"/>
          <w:color w:val="auto"/>
          <w:kern w:val="0"/>
          <w:szCs w:val="21"/>
          <w:highlight w:val="none"/>
        </w:rPr>
        <w:t>1.1.4.3 工期：是指在合同协议书约定的承包人完成工程所需的期限，包括按照合同约定所作的期限变更。</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1.1.4.4 缺陷责任期：是指承包人按照合同约定承担缺陷修复义务，且发包人预留质量保证金（已缴纳履约保证金的除外）的期限，自工程实际竣工日期起计算。</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1.1.4.5 保修期：是指承包人按照合同约定对工程承担保修责任的期限，从工程竣工验收合格之日起计算。</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1.1.4.6 基准日期：招标发包的工程以投标截止日前28天的日期为基准日期，直接发包的工程以合同签订日前28天的日期为基准日期。</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1.1.4.7 天：除特别指明外，均指日历天。合同中按天计算时间的，开始当天不计入，从次日开始计算，期限最后一天的截止时间为当天24：00时。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1.1.5 合同价格和费用</w:t>
      </w:r>
    </w:p>
    <w:p>
      <w:pPr>
        <w:spacing w:line="360" w:lineRule="auto"/>
        <w:ind w:firstLine="420" w:firstLineChars="200"/>
        <w:jc w:val="left"/>
        <w:rPr>
          <w:rFonts w:ascii="宋体" w:hAnsi="宋体"/>
          <w:color w:val="auto"/>
          <w:szCs w:val="21"/>
          <w:highlight w:val="none"/>
        </w:rPr>
      </w:pPr>
      <w:r>
        <w:rPr>
          <w:rFonts w:hint="eastAsia" w:ascii="宋体" w:hAnsi="宋体"/>
          <w:color w:val="auto"/>
          <w:kern w:val="0"/>
          <w:szCs w:val="21"/>
          <w:highlight w:val="none"/>
        </w:rPr>
        <w:t>1.1.5.1 签约合同价：是指</w:t>
      </w:r>
      <w:r>
        <w:rPr>
          <w:rFonts w:hint="eastAsia" w:ascii="宋体" w:hAnsi="宋体"/>
          <w:color w:val="auto"/>
          <w:szCs w:val="21"/>
          <w:highlight w:val="none"/>
        </w:rPr>
        <w:t>发包人和承包人在合同协议书中确定的总金额，包括安全文明施工费、暂估价及暂列金额等。</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1.1.5.2 合同价格：是指发包人用于支付承包人按照合同约定完成承包范围内全部工作的金额，包括合同履行过程中按合同约定发生的价格变化。</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1.1.5.3 费用：是指为履行合同所发生的或将要发生的所有必需的开支，包括管理费和应分摊的其他费用，但不包括利润。</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1.1.5.4 暂估价：是指发包人在工程量清单或预算书中提供的用于支付必然发生但暂时不能确定价格的材料、工程设备的单价、专业工程以及服务工作的金额。</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1.1.5.5 暂列金额：是指发包人在工程量清单或预算书中暂定并包括在合同价格中的一笔款项，用于工程合同签订时尚未确定或者不可预见的所需材料、工程设备、服务的采购，施工中可能发生的工程变更、合同约定调整因素出现时的合同价格调整以及发生的索赔、现场签证确认等的费用。</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1.1.5.6 计日工：是指合同履行过程中，承包人完成发包人提出的零星工作或需要采用计日工计价的变更工作时，按合同中约定的单价计价的一种方式。</w:t>
      </w:r>
    </w:p>
    <w:p>
      <w:pPr>
        <w:spacing w:line="360" w:lineRule="auto"/>
        <w:ind w:firstLine="420" w:firstLineChars="200"/>
        <w:jc w:val="left"/>
        <w:rPr>
          <w:rFonts w:ascii="宋体" w:hAnsi="宋体"/>
          <w:color w:val="auto"/>
          <w:szCs w:val="21"/>
          <w:highlight w:val="none"/>
        </w:rPr>
      </w:pPr>
      <w:r>
        <w:rPr>
          <w:rFonts w:hint="eastAsia" w:ascii="宋体" w:hAnsi="宋体"/>
          <w:color w:val="auto"/>
          <w:kern w:val="0"/>
          <w:szCs w:val="21"/>
          <w:highlight w:val="none"/>
        </w:rPr>
        <w:t>1.1.5.7 质量保证金</w:t>
      </w:r>
      <w:bookmarkStart w:id="384" w:name="#go2"/>
      <w:bookmarkEnd w:id="384"/>
      <w:r>
        <w:rPr>
          <w:rFonts w:hint="eastAsia" w:ascii="宋体" w:hAnsi="宋体"/>
          <w:color w:val="auto"/>
          <w:kern w:val="0"/>
          <w:szCs w:val="21"/>
          <w:highlight w:val="none"/>
        </w:rPr>
        <w:t>：是指按照第15.3款〔质量保证金〕约定承包人用于保证其在缺陷责任期内履行缺陷修补义务的担保</w:t>
      </w:r>
      <w:r>
        <w:rPr>
          <w:rFonts w:hint="eastAsia" w:ascii="宋体" w:hAnsi="宋体"/>
          <w:color w:val="auto"/>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1.1.5.8 总价项目：是指在现行国家、行业以及地方的计量规则中无工程量计算规则，在已标价工程量清单或预算书中以总价或以费率形式计算的项目。</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1.1.6 其他</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1.1.6.1 书面形式：是指合同文件、信函、电报、传真等可以有形地表现所载内容的形式。</w:t>
      </w:r>
    </w:p>
    <w:p>
      <w:pPr>
        <w:pStyle w:val="7"/>
        <w:spacing w:before="0" w:beforeAutospacing="0" w:after="0" w:afterAutospacing="0" w:line="360" w:lineRule="auto"/>
        <w:ind w:firstLine="422" w:firstLineChars="200"/>
        <w:rPr>
          <w:color w:val="auto"/>
          <w:sz w:val="21"/>
          <w:szCs w:val="21"/>
          <w:highlight w:val="none"/>
        </w:rPr>
      </w:pPr>
      <w:bookmarkStart w:id="385" w:name="_Toc532377183"/>
      <w:r>
        <w:rPr>
          <w:rFonts w:hint="eastAsia"/>
          <w:color w:val="auto"/>
          <w:sz w:val="21"/>
          <w:szCs w:val="21"/>
          <w:highlight w:val="none"/>
        </w:rPr>
        <w:t>1.2 语言文字</w:t>
      </w:r>
      <w:bookmarkEnd w:id="385"/>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合同以中国的汉语简体文字编写、解释和说明。合同当事人在专用合同条款中约定使用两种以上语言时，汉语为优先解释和说明合同的语言。</w:t>
      </w:r>
    </w:p>
    <w:p>
      <w:pPr>
        <w:pStyle w:val="7"/>
        <w:spacing w:before="0" w:beforeAutospacing="0" w:after="0" w:afterAutospacing="0" w:line="360" w:lineRule="auto"/>
        <w:ind w:firstLine="422" w:firstLineChars="200"/>
        <w:rPr>
          <w:color w:val="auto"/>
          <w:sz w:val="21"/>
          <w:szCs w:val="21"/>
          <w:highlight w:val="none"/>
        </w:rPr>
      </w:pPr>
      <w:bookmarkStart w:id="386" w:name="_Toc532377184"/>
      <w:bookmarkStart w:id="387" w:name="_Toc296346531"/>
      <w:bookmarkStart w:id="388" w:name="_Toc351203498"/>
      <w:bookmarkStart w:id="389" w:name="_Toc296503030"/>
      <w:bookmarkStart w:id="390" w:name="_Toc337558730"/>
      <w:r>
        <w:rPr>
          <w:rFonts w:hint="eastAsia"/>
          <w:color w:val="auto"/>
          <w:sz w:val="21"/>
          <w:szCs w:val="21"/>
          <w:highlight w:val="none"/>
        </w:rPr>
        <w:t>1.3法律</w:t>
      </w:r>
      <w:bookmarkEnd w:id="386"/>
      <w:bookmarkEnd w:id="387"/>
      <w:bookmarkEnd w:id="388"/>
      <w:bookmarkEnd w:id="389"/>
      <w:bookmarkEnd w:id="390"/>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合同所称法律是指中华人民共和国法律、行政法规、部门规章，以及工程所在地的地方性法规、自治条例、单行条例和地方政府规章等。</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合同当事人可以在专用合同条款中约定合同适用的其他规范性文件。</w:t>
      </w:r>
    </w:p>
    <w:p>
      <w:pPr>
        <w:pStyle w:val="7"/>
        <w:spacing w:before="0" w:beforeAutospacing="0" w:after="0" w:afterAutospacing="0" w:line="360" w:lineRule="auto"/>
        <w:ind w:firstLine="422" w:firstLineChars="200"/>
        <w:rPr>
          <w:color w:val="auto"/>
          <w:sz w:val="21"/>
          <w:szCs w:val="21"/>
          <w:highlight w:val="none"/>
        </w:rPr>
      </w:pPr>
      <w:bookmarkStart w:id="391" w:name="_Toc532377185"/>
      <w:bookmarkStart w:id="392" w:name="_Toc351203499"/>
      <w:r>
        <w:rPr>
          <w:rFonts w:hint="eastAsia"/>
          <w:color w:val="auto"/>
          <w:sz w:val="21"/>
          <w:szCs w:val="21"/>
          <w:highlight w:val="none"/>
        </w:rPr>
        <w:t>1.4 标准和规范</w:t>
      </w:r>
      <w:bookmarkEnd w:id="391"/>
      <w:bookmarkEnd w:id="392"/>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1.4.1 适用于工程的国家标准、行业标准、工程所在地的地方性标准，以及相应的规范、规程等，合同当事人有特别要求的，应在专用合同条款中约定。</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1.4.2 发包人要求使用国外标准、规范的，发包人负责提供原文版本和中文译本，并在专用合同条款中约定提供标准规范的名称、份数和时间。</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1.4.3 发包人对工程的技术标准、功能要求高于或严于现行国家、行业或地方标准的，应当在专用合同条款中予以明确。除专用合同条款另有约定外，应视为承包人在签订合同前已充分预见前述技术标准和功能要求的复杂程度，签约合同价中已包含由此产生的费用。</w:t>
      </w:r>
    </w:p>
    <w:p>
      <w:pPr>
        <w:pStyle w:val="7"/>
        <w:spacing w:before="0" w:beforeAutospacing="0" w:after="0" w:afterAutospacing="0" w:line="360" w:lineRule="auto"/>
        <w:ind w:firstLine="422" w:firstLineChars="200"/>
        <w:rPr>
          <w:color w:val="auto"/>
          <w:sz w:val="21"/>
          <w:szCs w:val="21"/>
          <w:highlight w:val="none"/>
        </w:rPr>
      </w:pPr>
      <w:bookmarkStart w:id="393" w:name="_Toc532377186"/>
      <w:bookmarkStart w:id="394" w:name="_Toc351203500"/>
      <w:r>
        <w:rPr>
          <w:rFonts w:hint="eastAsia"/>
          <w:color w:val="auto"/>
          <w:sz w:val="21"/>
          <w:szCs w:val="21"/>
          <w:highlight w:val="none"/>
        </w:rPr>
        <w:t>1</w:t>
      </w:r>
      <w:bookmarkStart w:id="395" w:name="_Toc296503031"/>
      <w:bookmarkStart w:id="396" w:name="_Toc296346532"/>
      <w:bookmarkStart w:id="397" w:name="_Toc337558731"/>
      <w:r>
        <w:rPr>
          <w:rFonts w:hint="eastAsia"/>
          <w:color w:val="auto"/>
          <w:sz w:val="21"/>
          <w:szCs w:val="21"/>
          <w:highlight w:val="none"/>
        </w:rPr>
        <w:t>.5 合同文件的优先顺序</w:t>
      </w:r>
      <w:bookmarkEnd w:id="393"/>
      <w:bookmarkEnd w:id="394"/>
      <w:bookmarkEnd w:id="395"/>
      <w:bookmarkEnd w:id="396"/>
      <w:bookmarkEnd w:id="397"/>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组成合同的各项文件应互相解释，互为说明。除专用合同条款另有约定外，解释合同文件的优先顺序如下：</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（1）合同协议书；</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（2）中标通知书（如有）；</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（3）投标函及其附录（如有）；</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（4）专用合同条款及其附件；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（5）通用合同条款；</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（6）技术标准和要求；</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（7）图纸；</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（8）已标价工程量清单或预算书；</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（9）其他合同文件。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上述各项合同文件包括合同当事人就该项合同文件所作出的补充和修改，属于同一类内容的文件，应以最新签署的为准。</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在合同订立及履行过程中形成的与合同有关的文件均构成合同文件组成部分，并根据其性质确定优先解释顺序。</w:t>
      </w:r>
    </w:p>
    <w:p>
      <w:pPr>
        <w:pStyle w:val="7"/>
        <w:spacing w:before="0" w:beforeAutospacing="0" w:after="0" w:afterAutospacing="0" w:line="360" w:lineRule="auto"/>
        <w:ind w:firstLine="422" w:firstLineChars="200"/>
        <w:rPr>
          <w:color w:val="auto"/>
          <w:sz w:val="21"/>
          <w:szCs w:val="21"/>
          <w:highlight w:val="none"/>
        </w:rPr>
      </w:pPr>
      <w:bookmarkStart w:id="398" w:name="_Toc532377187"/>
      <w:bookmarkStart w:id="399" w:name="_Toc351203501"/>
      <w:r>
        <w:rPr>
          <w:rFonts w:hint="eastAsia"/>
          <w:color w:val="auto"/>
          <w:sz w:val="21"/>
          <w:szCs w:val="21"/>
          <w:highlight w:val="none"/>
        </w:rPr>
        <w:t>1</w:t>
      </w:r>
      <w:bookmarkStart w:id="400" w:name="_Toc296346533"/>
      <w:bookmarkStart w:id="401" w:name="_Toc337558732"/>
      <w:bookmarkStart w:id="402" w:name="_Toc296503032"/>
      <w:r>
        <w:rPr>
          <w:rFonts w:hint="eastAsia"/>
          <w:color w:val="auto"/>
          <w:sz w:val="21"/>
          <w:szCs w:val="21"/>
          <w:highlight w:val="none"/>
        </w:rPr>
        <w:t>.6图纸和承包人文件</w:t>
      </w:r>
      <w:bookmarkEnd w:id="398"/>
      <w:bookmarkEnd w:id="399"/>
      <w:bookmarkEnd w:id="400"/>
      <w:bookmarkEnd w:id="401"/>
      <w:bookmarkEnd w:id="402"/>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1.6.1 图纸的提供和交底</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按照专用合同条款约定的期限、数量和内容向承包人免费提供图纸，并组织承包人、监理人和设计人进行图纸会审和设计交底。发包人至迟不得晚于第7.3.2项〔开工通知〕载明的开工日期前14天向承包人提供图纸。</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因发包人未按合同约定提供图纸导致承包人费用增加和（或）工期延误的，按照第7.5.1项〔因发包人原因导致工期延误〕约定办理。</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1.6.2 图纸的错误</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在收到发包人提供的图纸后，发现图纸存在差错、遗漏或缺陷的，应及时通知监理人。监理人接到该通知后，应附具相关意见并立即报送发包人，发包人应在收到监理人报送的通知后的合理时间内作出决定。合理时间是指发包人在收到监理人的报送通知后，尽其努力且不懈怠地完成图纸修改补充所需的时间。</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1.6.3 图纸的修改和补充</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图纸需要修改和补充的，应经图纸原设计人及审批部门同意，并由监理人在工程或工程相应部位施工前将修改后的图纸或补充图纸提交给承包人，承包人应按修改或补充后的图纸施工。</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1.6.4 承包人文件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承包人应按照专用合同条款的约定提供应当由其编制的与工程施工有关的文件，并按照专用合同条款约定的期限、数量和形式提交监理人，并由监理人报送发包人。</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监理人应在收到承包人文件后7天内审查完毕，监理人对承包人文件有异议的，承包人应予以修改，并重新报送监理人。监理人的审查并不减轻或免除承包人根据合同约定应当承担的责任。</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1.6.5 图纸和承包人文件的保管</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除专用合同条款另有约定外，承包人应在施工现场另外保存一套完整的图纸和承包人文件，供发包人、监理人及有关人员进行工程检查时使用。</w:t>
      </w:r>
    </w:p>
    <w:p>
      <w:pPr>
        <w:pStyle w:val="7"/>
        <w:spacing w:before="0" w:beforeAutospacing="0" w:after="0" w:afterAutospacing="0" w:line="360" w:lineRule="auto"/>
        <w:ind w:firstLine="422" w:firstLineChars="200"/>
        <w:rPr>
          <w:color w:val="auto"/>
          <w:sz w:val="21"/>
          <w:szCs w:val="21"/>
          <w:highlight w:val="none"/>
        </w:rPr>
      </w:pPr>
      <w:bookmarkStart w:id="403" w:name="_Toc351203502"/>
      <w:bookmarkStart w:id="404" w:name="_Toc532377188"/>
      <w:r>
        <w:rPr>
          <w:rFonts w:hint="eastAsia"/>
          <w:color w:val="auto"/>
          <w:sz w:val="21"/>
          <w:szCs w:val="21"/>
          <w:highlight w:val="none"/>
        </w:rPr>
        <w:t>1</w:t>
      </w:r>
      <w:bookmarkStart w:id="405" w:name="_Toc296346534"/>
      <w:bookmarkStart w:id="406" w:name="_Toc296503033"/>
      <w:bookmarkStart w:id="407" w:name="_Toc337558733"/>
      <w:r>
        <w:rPr>
          <w:rFonts w:hint="eastAsia"/>
          <w:color w:val="auto"/>
          <w:sz w:val="21"/>
          <w:szCs w:val="21"/>
          <w:highlight w:val="none"/>
        </w:rPr>
        <w:t>.7联络</w:t>
      </w:r>
      <w:bookmarkEnd w:id="403"/>
      <w:bookmarkEnd w:id="404"/>
      <w:bookmarkEnd w:id="405"/>
      <w:bookmarkEnd w:id="406"/>
      <w:bookmarkEnd w:id="407"/>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1.7.1 与合同有关的通知、批准、证明、证书、指示、指令、要求、请求、同意、意见、确定和决定等，均应采用书面形式，并应在合同约定的期限内送达接收人和送达地点。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1.7.2 发包人和承包人应在专用合同条款中约定各自的送达接收人和送达地点。任何一方合同当事人指定的接收人或送达地点发生变动的，应提前3天以书面形式通知对方。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1.7.3 发包人和承包人应当及时签收另一方送达至送达地点和指定接收人的来往信函。拒不签收的，由此增加的费用和（或）延误的工期由拒绝接收一方承担。</w:t>
      </w:r>
    </w:p>
    <w:p>
      <w:pPr>
        <w:pStyle w:val="7"/>
        <w:spacing w:before="0" w:beforeAutospacing="0" w:after="0" w:afterAutospacing="0" w:line="360" w:lineRule="auto"/>
        <w:ind w:firstLine="422" w:firstLineChars="200"/>
        <w:rPr>
          <w:color w:val="auto"/>
          <w:sz w:val="21"/>
          <w:szCs w:val="21"/>
          <w:highlight w:val="none"/>
        </w:rPr>
      </w:pPr>
      <w:bookmarkStart w:id="408" w:name="_Toc351203503"/>
      <w:bookmarkStart w:id="409" w:name="_Toc532377189"/>
      <w:r>
        <w:rPr>
          <w:rFonts w:hint="eastAsia"/>
          <w:color w:val="auto"/>
          <w:sz w:val="21"/>
          <w:szCs w:val="21"/>
          <w:highlight w:val="none"/>
        </w:rPr>
        <w:t>1</w:t>
      </w:r>
      <w:bookmarkStart w:id="410" w:name="_Toc296346536"/>
      <w:bookmarkStart w:id="411" w:name="_Toc337558734"/>
      <w:bookmarkStart w:id="412" w:name="_Toc296503035"/>
      <w:r>
        <w:rPr>
          <w:rFonts w:hint="eastAsia"/>
          <w:color w:val="auto"/>
          <w:sz w:val="21"/>
          <w:szCs w:val="21"/>
          <w:highlight w:val="none"/>
        </w:rPr>
        <w:t>.8严禁贿赂</w:t>
      </w:r>
      <w:bookmarkEnd w:id="408"/>
      <w:bookmarkEnd w:id="409"/>
      <w:bookmarkEnd w:id="410"/>
      <w:bookmarkEnd w:id="411"/>
      <w:bookmarkEnd w:id="412"/>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合同当事人不得以贿赂或变相贿赂的方式，谋取非法利益或损害对方权益。因一方合同当事人的贿赂造成对方损失的，应赔偿损失，并承担相应的法律责任。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承包人不得与监理人或发包人聘请的第三方串通损害发包人利益。未经发包人书面同意，承包人不得为监理人提供合同约定以外的通讯设备、交通工具及其他任何形式的利益，不得向监理人支付报酬。</w:t>
      </w:r>
    </w:p>
    <w:p>
      <w:pPr>
        <w:pStyle w:val="7"/>
        <w:spacing w:before="0" w:beforeAutospacing="0" w:after="0" w:afterAutospacing="0" w:line="360" w:lineRule="auto"/>
        <w:ind w:firstLine="422" w:firstLineChars="200"/>
        <w:rPr>
          <w:color w:val="auto"/>
          <w:sz w:val="21"/>
          <w:szCs w:val="21"/>
          <w:highlight w:val="none"/>
        </w:rPr>
      </w:pPr>
      <w:bookmarkStart w:id="413" w:name="_Toc532377190"/>
      <w:bookmarkStart w:id="414" w:name="_Toc351203504"/>
      <w:r>
        <w:rPr>
          <w:rFonts w:hint="eastAsia"/>
          <w:color w:val="auto"/>
          <w:sz w:val="21"/>
          <w:szCs w:val="21"/>
          <w:highlight w:val="none"/>
        </w:rPr>
        <w:t>1</w:t>
      </w:r>
      <w:bookmarkStart w:id="415" w:name="_Toc296503036"/>
      <w:bookmarkStart w:id="416" w:name="_Toc337558735"/>
      <w:bookmarkStart w:id="417" w:name="_Toc296346537"/>
      <w:r>
        <w:rPr>
          <w:rFonts w:hint="eastAsia"/>
          <w:color w:val="auto"/>
          <w:sz w:val="21"/>
          <w:szCs w:val="21"/>
          <w:highlight w:val="none"/>
        </w:rPr>
        <w:t>.9化石、文物</w:t>
      </w:r>
      <w:bookmarkEnd w:id="413"/>
      <w:bookmarkEnd w:id="414"/>
      <w:bookmarkEnd w:id="415"/>
      <w:bookmarkEnd w:id="416"/>
      <w:bookmarkEnd w:id="417"/>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施工现场发掘的所有文物、古迹以及具有地质研究或考古价值的其他遗迹、化石、钱币或物品属于国家所有。一旦发现上述文物，承包人应采取合理有效的保护措施，防止任何人员移动或损坏上述物品，并立即报告有关政府行政管理部门，同时通知监理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发包人、监理人和承包人应按有关政府行政管理部门要求采取妥善的保护措施，由此增加的费用和（或）延误的工期由发包人承担。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承包人发现文物后不及时报告或隐瞒不报，致使文物丢失或损坏的，应赔偿损失，并承担相应的法律责任。</w:t>
      </w:r>
    </w:p>
    <w:p>
      <w:pPr>
        <w:pStyle w:val="7"/>
        <w:spacing w:before="0" w:beforeAutospacing="0" w:after="0" w:afterAutospacing="0" w:line="360" w:lineRule="auto"/>
        <w:ind w:firstLine="422" w:firstLineChars="200"/>
        <w:rPr>
          <w:color w:val="auto"/>
          <w:sz w:val="21"/>
          <w:szCs w:val="21"/>
          <w:highlight w:val="none"/>
        </w:rPr>
      </w:pPr>
      <w:bookmarkStart w:id="418" w:name="_Toc532377191"/>
      <w:bookmarkStart w:id="419" w:name="_Toc351203505"/>
      <w:r>
        <w:rPr>
          <w:rFonts w:hint="eastAsia"/>
          <w:color w:val="auto"/>
          <w:sz w:val="21"/>
          <w:szCs w:val="21"/>
          <w:highlight w:val="none"/>
        </w:rPr>
        <w:t>1</w:t>
      </w:r>
      <w:bookmarkStart w:id="420" w:name="_Toc337558736"/>
      <w:r>
        <w:rPr>
          <w:rFonts w:hint="eastAsia"/>
          <w:color w:val="auto"/>
          <w:sz w:val="21"/>
          <w:szCs w:val="21"/>
          <w:highlight w:val="none"/>
        </w:rPr>
        <w:t>.10交通运输</w:t>
      </w:r>
      <w:bookmarkEnd w:id="418"/>
      <w:bookmarkEnd w:id="419"/>
      <w:bookmarkEnd w:id="420"/>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1.10.1 出入现场的权利</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发包人应根据施工需要，负责取得出入施工现场所需的批准手续和全部权利，以及取得因施工所需修建道路、桥梁以及其他基础设施的权利，并承担相关手续费用和建设费用。承包人应协助发包人办理修建场内外道路、桥梁以及其他基础设施的手续。</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承包人应在订立合同前查勘施工现场，并根据工程规模及技术参数合理预见工程施工所需的进出施工现场的方式、手段、路径等。因承包人未合理预见所增加的费用和（或）延误的工期由承包人承担。</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1.10.2 场外交通</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提供场外交通设施的技术参数和具体条件，承包人应遵守有关交通法规，严格按照道路和桥梁的限制荷载行驶，执行有关道路限速、限行、禁止超载的规定，并配合交通管理部门的监督和检查。场外交通设施无法满足工程施工需要的，由发包人负责完善并承担相关费用。</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1.10.3场内交通</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提供场内交通设施的技术参数和具体条件，并应按照专用合同条款的约定向承包人免费提供满足工程施工所需的场内道路和交通设施。因承包人原因造成上述道路或交通设施损坏的，承包人负责修复并承担由此增加的费用。</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发包人按照合同约定提供的场内道路和交通设施外，承包人负责修建、维修、养护和管理施工所需的其他场内临时道路和交通设施。发包人和监理人可以为实现合同目的使用承包人修建的场内临时道路和交通设施。</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场外交通和场内交通的边界由合同当事人在专用合同条款中约定。</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1.10.4 超大件和超重件的运输</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由承包人负责运输的超大件或超重件，应由承包人负责向交通管理部门办理申请手续，发包人给予协助。运输超大件或超重件所需的道路和桥梁临时加固改造费用和其他有关费用，由承包人承担，但专用合同条款另有约定除外。</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1.10.5 道路和桥梁的损坏责任</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因承包人运输造成施工场地内外公共道路和桥梁损坏的，由承包人承担修复损坏的全部费用和可能引起的赔偿。</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1.10.6 水路和航空运输</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本款前述各项的内容适用于水路运输和航空运输，其中“道路”一词的涵义包括河道、航线、船闸、机场、码头、堤防以及水路或航空运输中其他相似结构物；“车辆”一词的涵义包括船舶和飞机等。</w:t>
      </w:r>
    </w:p>
    <w:p>
      <w:pPr>
        <w:pStyle w:val="7"/>
        <w:spacing w:before="0" w:beforeAutospacing="0" w:after="0" w:afterAutospacing="0" w:line="360" w:lineRule="auto"/>
        <w:ind w:firstLine="422" w:firstLineChars="200"/>
        <w:rPr>
          <w:color w:val="auto"/>
          <w:sz w:val="21"/>
          <w:szCs w:val="21"/>
          <w:highlight w:val="none"/>
        </w:rPr>
      </w:pPr>
      <w:bookmarkStart w:id="421" w:name="_Toc351203506"/>
      <w:bookmarkStart w:id="422" w:name="_Toc532377192"/>
      <w:r>
        <w:rPr>
          <w:rFonts w:hint="eastAsia"/>
          <w:color w:val="auto"/>
          <w:sz w:val="21"/>
          <w:szCs w:val="21"/>
          <w:highlight w:val="none"/>
        </w:rPr>
        <w:t>1</w:t>
      </w:r>
      <w:bookmarkStart w:id="423" w:name="_Toc296503037"/>
      <w:bookmarkStart w:id="424" w:name="_Toc337558737"/>
      <w:bookmarkStart w:id="425" w:name="_Toc296346538"/>
      <w:r>
        <w:rPr>
          <w:rFonts w:hint="eastAsia"/>
          <w:color w:val="auto"/>
          <w:sz w:val="21"/>
          <w:szCs w:val="21"/>
          <w:highlight w:val="none"/>
        </w:rPr>
        <w:t>.11知识产权</w:t>
      </w:r>
      <w:bookmarkEnd w:id="421"/>
      <w:bookmarkEnd w:id="422"/>
      <w:bookmarkEnd w:id="423"/>
      <w:bookmarkEnd w:id="424"/>
      <w:bookmarkEnd w:id="425"/>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1.11.1 除专用合同条款另有约定外，发包人提供给承包人的图纸、发包人为实施工程自行编制或委托编制的技术规范以及反映发包人要求的或其他类似性质的文件的著作权属于发包人，承包人可以为实现合同目的而复制、使用此类文件，但不能用于与合同无关的其他事项。未经发包人书面同意，承包人不得为了合同以外的目的而复制、使用上述文件或将之提供给任何第三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1.11.2 除专用合同条款另有约定外，承包人为实施工程所编制的文件，除署名权以外的著作权属于发包人，承包人可因实施工程的运行、调试、维修、改造等目的而复制、使用此类文件，但不能用于与合同无关的其他事项。未经发包人书面同意，承包人不得为了合同以外的目的而复制、使用上述文件或将之提供给任何第三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1.11.3 合同当事人保证在履行合同过程中不侵犯对方及第三方的知识产权。承包人在使用材料、施工设备、工程设备或采用施工工艺时，因侵犯他人的专利权或其他知识产权所引起的责任，由承包人承担；因发包人提供的材料、施工设备、工程设备或施工工艺导致侵权的，由发包人承担责任。</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1.11.4 除专用合同条款另有约定外，承包人在合同签订前和签订时已确定采用的专利、专有技术、技术秘密的使用费已包含在签约合同价中。</w:t>
      </w:r>
    </w:p>
    <w:p>
      <w:pPr>
        <w:pStyle w:val="7"/>
        <w:spacing w:before="0" w:beforeAutospacing="0" w:after="0" w:afterAutospacing="0" w:line="360" w:lineRule="auto"/>
        <w:ind w:firstLine="422" w:firstLineChars="200"/>
        <w:rPr>
          <w:color w:val="auto"/>
          <w:sz w:val="21"/>
          <w:szCs w:val="21"/>
          <w:highlight w:val="none"/>
        </w:rPr>
      </w:pPr>
      <w:bookmarkStart w:id="426" w:name="_Toc532377193"/>
      <w:bookmarkStart w:id="427" w:name="_Toc351203507"/>
      <w:r>
        <w:rPr>
          <w:rFonts w:hint="eastAsia"/>
          <w:color w:val="auto"/>
          <w:sz w:val="21"/>
          <w:szCs w:val="21"/>
          <w:highlight w:val="none"/>
        </w:rPr>
        <w:t>1</w:t>
      </w:r>
      <w:bookmarkStart w:id="428" w:name="_Toc337558738"/>
      <w:r>
        <w:rPr>
          <w:rFonts w:hint="eastAsia"/>
          <w:color w:val="auto"/>
          <w:sz w:val="21"/>
          <w:szCs w:val="21"/>
          <w:highlight w:val="none"/>
        </w:rPr>
        <w:t>.12保密</w:t>
      </w:r>
      <w:bookmarkEnd w:id="426"/>
      <w:bookmarkEnd w:id="427"/>
      <w:bookmarkEnd w:id="428"/>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除法律规定或合同另有约定外，未经发包人同意，承包人不得将发包人提供的图纸、文件以及声明需要保密的资料信息等商业秘密泄露给第三方。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除法律规定或合同另有约定外，未经承包人同意，发包人不得将承包人提供的技术秘密及声明需要保密的资料信息等商业秘密泄露给第三方。</w:t>
      </w:r>
    </w:p>
    <w:p>
      <w:pPr>
        <w:pStyle w:val="7"/>
        <w:spacing w:before="0" w:beforeAutospacing="0" w:after="0" w:afterAutospacing="0" w:line="360" w:lineRule="auto"/>
        <w:ind w:firstLine="422" w:firstLineChars="200"/>
        <w:rPr>
          <w:color w:val="auto"/>
          <w:sz w:val="21"/>
          <w:szCs w:val="21"/>
          <w:highlight w:val="none"/>
        </w:rPr>
      </w:pPr>
      <w:bookmarkStart w:id="429" w:name="_Toc532377194"/>
      <w:bookmarkStart w:id="430" w:name="_Toc351203508"/>
      <w:r>
        <w:rPr>
          <w:rFonts w:hint="eastAsia"/>
          <w:color w:val="auto"/>
          <w:sz w:val="21"/>
          <w:szCs w:val="21"/>
          <w:highlight w:val="none"/>
        </w:rPr>
        <w:t>1.13工程量清单错误的修正</w:t>
      </w:r>
      <w:bookmarkEnd w:id="429"/>
      <w:bookmarkEnd w:id="430"/>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除专用合同条款另有约定外，发包人提供的工程量清单，应被认为是准确的和完整的。出现下列情形之一时，发包人应予以修正，并相应调整合同价格：</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（1）工程量清单存在缺项、漏项的；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（2）工程量清单偏差超出专用合同条款约定的工程量偏差范围的；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（3）未按照国家现行计量规范强制性规定计量的。</w:t>
      </w:r>
    </w:p>
    <w:p>
      <w:pPr>
        <w:pStyle w:val="6"/>
        <w:keepNext/>
        <w:keepLines/>
        <w:spacing w:beforeLines="50" w:beforeAutospacing="0" w:afterLines="50" w:afterAutospacing="0" w:line="360" w:lineRule="auto"/>
        <w:jc w:val="both"/>
        <w:rPr>
          <w:color w:val="auto"/>
          <w:kern w:val="2"/>
          <w:sz w:val="21"/>
          <w:szCs w:val="21"/>
          <w:highlight w:val="none"/>
        </w:rPr>
      </w:pPr>
      <w:bookmarkStart w:id="431" w:name="_Toc532375588"/>
      <w:bookmarkStart w:id="432" w:name="_Toc532377195"/>
      <w:bookmarkStart w:id="433" w:name="_Toc351203509"/>
      <w:r>
        <w:rPr>
          <w:rFonts w:hint="eastAsia"/>
          <w:color w:val="auto"/>
          <w:kern w:val="2"/>
          <w:sz w:val="21"/>
          <w:szCs w:val="21"/>
          <w:highlight w:val="none"/>
        </w:rPr>
        <w:t>2</w:t>
      </w:r>
      <w:bookmarkStart w:id="434" w:name="_Toc296346539"/>
      <w:bookmarkStart w:id="435" w:name="_Toc296503038"/>
      <w:bookmarkStart w:id="436" w:name="_Toc337558739"/>
      <w:bookmarkStart w:id="437" w:name="OLE_LINK2"/>
      <w:r>
        <w:rPr>
          <w:rFonts w:hint="eastAsia"/>
          <w:color w:val="auto"/>
          <w:kern w:val="2"/>
          <w:sz w:val="21"/>
          <w:szCs w:val="21"/>
          <w:highlight w:val="none"/>
        </w:rPr>
        <w:t>. 发包人</w:t>
      </w:r>
      <w:bookmarkEnd w:id="431"/>
      <w:bookmarkEnd w:id="432"/>
      <w:bookmarkEnd w:id="433"/>
      <w:bookmarkEnd w:id="434"/>
      <w:bookmarkEnd w:id="435"/>
      <w:bookmarkEnd w:id="436"/>
    </w:p>
    <w:p>
      <w:pPr>
        <w:pStyle w:val="7"/>
        <w:spacing w:before="0" w:beforeAutospacing="0" w:after="0" w:afterAutospacing="0" w:line="360" w:lineRule="auto"/>
        <w:ind w:firstLine="422" w:firstLineChars="200"/>
        <w:rPr>
          <w:color w:val="auto"/>
          <w:sz w:val="21"/>
          <w:szCs w:val="21"/>
          <w:highlight w:val="none"/>
        </w:rPr>
      </w:pPr>
      <w:bookmarkStart w:id="438" w:name="_Toc532377196"/>
      <w:bookmarkStart w:id="439" w:name="_Toc351203510"/>
      <w:r>
        <w:rPr>
          <w:rFonts w:hint="eastAsia"/>
          <w:color w:val="auto"/>
          <w:sz w:val="21"/>
          <w:szCs w:val="21"/>
          <w:highlight w:val="none"/>
        </w:rPr>
        <w:t>2</w:t>
      </w:r>
      <w:bookmarkStart w:id="440" w:name="_Toc296503039"/>
      <w:bookmarkStart w:id="441" w:name="_Toc337558740"/>
      <w:bookmarkStart w:id="442" w:name="_Toc296346540"/>
      <w:r>
        <w:rPr>
          <w:rFonts w:hint="eastAsia"/>
          <w:color w:val="auto"/>
          <w:sz w:val="21"/>
          <w:szCs w:val="21"/>
          <w:highlight w:val="none"/>
        </w:rPr>
        <w:t>.1 许可或批准</w:t>
      </w:r>
      <w:bookmarkEnd w:id="438"/>
      <w:bookmarkEnd w:id="439"/>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遵守法律，并办理法律规定由其办理的许可、批准或备案，包括但不限于建设用地规划许可证、建设工程规划许可证、建设工程施工许可证、施工所需临时用水、临时用电、中断道路交通、临时占用土地等许可和批准。发包人应协助承包人办理法律规定的有关施工证件和批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因发包人原因未能及时办理完毕前述许可、批准或备案，由发包人承担由此增加的费用和（或）延误的工期，并支付承包人合理的利润。</w:t>
      </w:r>
    </w:p>
    <w:p>
      <w:pPr>
        <w:pStyle w:val="7"/>
        <w:spacing w:before="0" w:beforeAutospacing="0" w:after="0" w:afterAutospacing="0" w:line="360" w:lineRule="auto"/>
        <w:ind w:firstLine="422" w:firstLineChars="200"/>
        <w:rPr>
          <w:color w:val="auto"/>
          <w:sz w:val="21"/>
          <w:szCs w:val="21"/>
          <w:highlight w:val="none"/>
        </w:rPr>
      </w:pPr>
      <w:bookmarkStart w:id="443" w:name="_Toc351203511"/>
      <w:bookmarkStart w:id="444" w:name="_Toc532377197"/>
      <w:r>
        <w:rPr>
          <w:rFonts w:hint="eastAsia"/>
          <w:color w:val="auto"/>
          <w:sz w:val="21"/>
          <w:szCs w:val="21"/>
          <w:highlight w:val="none"/>
        </w:rPr>
        <w:t>2.2 发包人代表</w:t>
      </w:r>
      <w:bookmarkEnd w:id="443"/>
      <w:bookmarkEnd w:id="444"/>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在专用合同条款中明确其派驻施工现场的发包人代表的姓名、职务、联系方式及授权范围等事项。发包人代表在发包人的授权范围内，负责处理合同履行过程中与发包人有关的具体事宜。发包人代表在授权范围内的行为由发包人承担法律责任。发包人更换发包人代表的，应提前7天书面通知承包人。</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发包人代表不能按照合同约定履行其职责及义务，并导致合同无法继续正常履行的，承包人可以要求发包人撤换发包人代表。</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不属于法定必须监理的工程，监理人的职权可以由发包人代表或发包人指定的其他人员行使。</w:t>
      </w:r>
    </w:p>
    <w:p>
      <w:pPr>
        <w:pStyle w:val="7"/>
        <w:spacing w:before="0" w:beforeAutospacing="0" w:after="0" w:afterAutospacing="0" w:line="360" w:lineRule="auto"/>
        <w:ind w:firstLine="422" w:firstLineChars="200"/>
        <w:rPr>
          <w:color w:val="auto"/>
          <w:sz w:val="21"/>
          <w:szCs w:val="21"/>
          <w:highlight w:val="none"/>
        </w:rPr>
      </w:pPr>
      <w:bookmarkStart w:id="445" w:name="_Toc351203512"/>
      <w:bookmarkStart w:id="446" w:name="_Toc532377198"/>
      <w:r>
        <w:rPr>
          <w:rFonts w:hint="eastAsia"/>
          <w:color w:val="auto"/>
          <w:sz w:val="21"/>
          <w:szCs w:val="21"/>
          <w:highlight w:val="none"/>
        </w:rPr>
        <w:t>2.3 发包人人员</w:t>
      </w:r>
      <w:bookmarkEnd w:id="445"/>
      <w:bookmarkEnd w:id="446"/>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发包人应要求在施工现场的发包人人员遵守法律及有关安全、质量、环境保护、文明施工等规定，并保障承包人免于承受因发包人人员未遵守上述要求给承包人造成的损失和责任。</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发包人人员包括发包人代表及其他由发包人派驻施工现场的人员。</w:t>
      </w:r>
      <w:bookmarkEnd w:id="440"/>
      <w:bookmarkEnd w:id="441"/>
      <w:bookmarkEnd w:id="442"/>
    </w:p>
    <w:p>
      <w:pPr>
        <w:pStyle w:val="7"/>
        <w:spacing w:before="0" w:beforeAutospacing="0" w:after="0" w:afterAutospacing="0" w:line="360" w:lineRule="auto"/>
        <w:ind w:firstLine="422" w:firstLineChars="200"/>
        <w:rPr>
          <w:color w:val="auto"/>
          <w:sz w:val="21"/>
          <w:szCs w:val="21"/>
          <w:highlight w:val="none"/>
        </w:rPr>
      </w:pPr>
      <w:bookmarkStart w:id="447" w:name="_Toc351203513"/>
      <w:bookmarkStart w:id="448" w:name="_Toc532377199"/>
      <w:r>
        <w:rPr>
          <w:rFonts w:hint="eastAsia"/>
          <w:color w:val="auto"/>
          <w:sz w:val="21"/>
          <w:szCs w:val="21"/>
          <w:highlight w:val="none"/>
        </w:rPr>
        <w:t>2</w:t>
      </w:r>
      <w:bookmarkStart w:id="449" w:name="_Toc296346541"/>
      <w:bookmarkStart w:id="450" w:name="_Toc337558741"/>
      <w:bookmarkStart w:id="451" w:name="_Toc296503040"/>
      <w:r>
        <w:rPr>
          <w:rFonts w:hint="eastAsia"/>
          <w:color w:val="auto"/>
          <w:sz w:val="21"/>
          <w:szCs w:val="21"/>
          <w:highlight w:val="none"/>
        </w:rPr>
        <w:t>.4 施工现场、施工条件和基础资料的提供</w:t>
      </w:r>
      <w:bookmarkEnd w:id="447"/>
      <w:bookmarkEnd w:id="448"/>
      <w:bookmarkEnd w:id="449"/>
      <w:bookmarkEnd w:id="450"/>
      <w:bookmarkEnd w:id="451"/>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2.4.1 提供施工现场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w:t>
      </w:r>
      <w:bookmarkEnd w:id="437"/>
      <w:r>
        <w:rPr>
          <w:rFonts w:hint="eastAsia" w:ascii="宋体" w:hAnsi="宋体"/>
          <w:color w:val="auto"/>
          <w:kern w:val="0"/>
          <w:szCs w:val="21"/>
          <w:highlight w:val="none"/>
        </w:rPr>
        <w:t>专用合同条款另有约定外，发包人应最迟于开工日期7天前向承包人移交施工现场。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2.4.2 提供施工条件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除专用合同条款另有约定外，发包人应负责提供施工所需要的条件，包括：</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（1）将施工用水、电力、通讯线路等施工所必需的条件接至施工现场内；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（2）保证向承包人提供正常施工所需要的进入施工现场的交通条件；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（3）协调处理施工现场周围地下管线和邻近建筑物、构筑物、古树名木的保护工作，并承担相关费用；</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（4）按照专用合同条款约定应提供的其他设施和条件。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2.4.3 提供基础资料</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当在移交施工现场前向承包人提供施工现场及工程施工所必需的毗邻区域内供水、排水、供电、供气、供热、通信、广播电视等地下管线资料，气象和水文观测资料，地质勘察资料，相邻建筑物、构筑物和地下工程等有关基础资料，并对所提供资料的真实性、准确性和完整性负责。</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按照法律规定确需在开工后方能提供的基础资料，发包人应尽其努力及时地在相应工程施工前的合理期限内提供，合理期限应以不影响承包人的正常施工为限。</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2.4.4 逾期提供的责任</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因发包人原因未能按合同约定及时向承包人提供施工现场、施工条件、基础资料的，由发包人承担由此增加的费用和（或）延误的工期。</w:t>
      </w:r>
    </w:p>
    <w:p>
      <w:pPr>
        <w:pStyle w:val="7"/>
        <w:spacing w:before="0" w:beforeAutospacing="0" w:after="0" w:afterAutospacing="0" w:line="360" w:lineRule="auto"/>
        <w:ind w:firstLine="422" w:firstLineChars="200"/>
        <w:rPr>
          <w:color w:val="auto"/>
          <w:sz w:val="21"/>
          <w:szCs w:val="21"/>
          <w:highlight w:val="none"/>
        </w:rPr>
      </w:pPr>
      <w:bookmarkStart w:id="452" w:name="_Toc532377200"/>
      <w:bookmarkStart w:id="453" w:name="_Toc351203514"/>
      <w:r>
        <w:rPr>
          <w:rFonts w:hint="eastAsia"/>
          <w:color w:val="auto"/>
          <w:sz w:val="21"/>
          <w:szCs w:val="21"/>
          <w:highlight w:val="none"/>
        </w:rPr>
        <w:t>2</w:t>
      </w:r>
      <w:bookmarkStart w:id="454" w:name="_Toc296346543"/>
      <w:bookmarkStart w:id="455" w:name="_Toc337558745"/>
      <w:bookmarkStart w:id="456" w:name="_Toc296503042"/>
      <w:r>
        <w:rPr>
          <w:rFonts w:hint="eastAsia"/>
          <w:color w:val="auto"/>
          <w:sz w:val="21"/>
          <w:szCs w:val="21"/>
          <w:highlight w:val="none"/>
        </w:rPr>
        <w:t>.5 资</w:t>
      </w:r>
      <w:bookmarkEnd w:id="454"/>
      <w:bookmarkEnd w:id="455"/>
      <w:bookmarkEnd w:id="456"/>
      <w:r>
        <w:rPr>
          <w:rFonts w:hint="eastAsia"/>
          <w:color w:val="auto"/>
          <w:sz w:val="21"/>
          <w:szCs w:val="21"/>
          <w:highlight w:val="none"/>
        </w:rPr>
        <w:t>金来源证明及支付担保</w:t>
      </w:r>
      <w:bookmarkEnd w:id="452"/>
      <w:bookmarkEnd w:id="453"/>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除专用合同条款另有约定外，发包人应在收到承包人要求提供资金来源证明的书面通知后28天内，向承包人提供能够按照合同约定支付合同价款的相应资金来源证明。</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除专用合同条款另有约定外，发包人要求承包人提供履约担保的，发包人应当向承包人提供支付担保。支付担保可以采用银行保函或担保公司担保等形式，具体由合同当事人在专用合同条款中约定。</w:t>
      </w:r>
    </w:p>
    <w:p>
      <w:pPr>
        <w:pStyle w:val="7"/>
        <w:spacing w:before="0" w:beforeAutospacing="0" w:after="0" w:afterAutospacing="0" w:line="360" w:lineRule="auto"/>
        <w:ind w:firstLine="422" w:firstLineChars="200"/>
        <w:rPr>
          <w:color w:val="auto"/>
          <w:sz w:val="21"/>
          <w:szCs w:val="21"/>
          <w:highlight w:val="none"/>
        </w:rPr>
      </w:pPr>
      <w:bookmarkStart w:id="457" w:name="_Toc532377201"/>
      <w:bookmarkStart w:id="458" w:name="_Toc351203515"/>
      <w:r>
        <w:rPr>
          <w:rFonts w:hint="eastAsia"/>
          <w:color w:val="auto"/>
          <w:sz w:val="21"/>
          <w:szCs w:val="21"/>
          <w:highlight w:val="none"/>
        </w:rPr>
        <w:t>2.6 支付合同价款</w:t>
      </w:r>
      <w:bookmarkEnd w:id="457"/>
      <w:bookmarkEnd w:id="458"/>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发包人应按合同约定向承包人及时支付合同价款。</w:t>
      </w:r>
    </w:p>
    <w:p>
      <w:pPr>
        <w:pStyle w:val="7"/>
        <w:spacing w:before="0" w:beforeAutospacing="0" w:after="0" w:afterAutospacing="0" w:line="360" w:lineRule="auto"/>
        <w:ind w:firstLine="422" w:firstLineChars="200"/>
        <w:rPr>
          <w:color w:val="auto"/>
          <w:sz w:val="21"/>
          <w:szCs w:val="21"/>
          <w:highlight w:val="none"/>
        </w:rPr>
      </w:pPr>
      <w:bookmarkStart w:id="459" w:name="_Toc351203516"/>
      <w:bookmarkStart w:id="460" w:name="_Toc532377202"/>
      <w:r>
        <w:rPr>
          <w:rFonts w:hint="eastAsia"/>
          <w:color w:val="auto"/>
          <w:sz w:val="21"/>
          <w:szCs w:val="21"/>
          <w:highlight w:val="none"/>
        </w:rPr>
        <w:t>2.7 组织竣工验收</w:t>
      </w:r>
      <w:bookmarkEnd w:id="459"/>
      <w:bookmarkEnd w:id="460"/>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发包人应按合同约定及时组织竣工验收。</w:t>
      </w:r>
    </w:p>
    <w:p>
      <w:pPr>
        <w:pStyle w:val="7"/>
        <w:spacing w:before="0" w:beforeAutospacing="0" w:after="0" w:afterAutospacing="0" w:line="360" w:lineRule="auto"/>
        <w:ind w:firstLine="422" w:firstLineChars="200"/>
        <w:rPr>
          <w:color w:val="auto"/>
          <w:sz w:val="21"/>
          <w:szCs w:val="21"/>
          <w:highlight w:val="none"/>
        </w:rPr>
      </w:pPr>
      <w:bookmarkStart w:id="461" w:name="_Toc351203517"/>
      <w:bookmarkStart w:id="462" w:name="_Toc532377203"/>
      <w:r>
        <w:rPr>
          <w:rFonts w:hint="eastAsia"/>
          <w:color w:val="auto"/>
          <w:sz w:val="21"/>
          <w:szCs w:val="21"/>
          <w:highlight w:val="none"/>
        </w:rPr>
        <w:t>2.8 现场统一管理协议</w:t>
      </w:r>
      <w:bookmarkEnd w:id="461"/>
      <w:bookmarkEnd w:id="462"/>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发包人应与承包人、由发包人直接发包的专业工程的承包人签订施工现场统一管理协议，明确各方的权利义务。施工现场统一管理协议作为专用合同条款的附件。</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463" w:name="_Toc351203518"/>
      <w:bookmarkStart w:id="464" w:name="_Toc532377204"/>
      <w:bookmarkStart w:id="465" w:name="_Toc532375589"/>
      <w:r>
        <w:rPr>
          <w:rFonts w:hint="eastAsia"/>
          <w:color w:val="auto"/>
          <w:kern w:val="2"/>
          <w:sz w:val="21"/>
          <w:szCs w:val="21"/>
          <w:highlight w:val="none"/>
        </w:rPr>
        <w:t>3</w:t>
      </w:r>
      <w:bookmarkStart w:id="466" w:name="_Toc337558746"/>
      <w:bookmarkStart w:id="467" w:name="_Toc296503045"/>
      <w:bookmarkStart w:id="468" w:name="_Toc296346546"/>
      <w:r>
        <w:rPr>
          <w:rFonts w:hint="eastAsia"/>
          <w:color w:val="auto"/>
          <w:kern w:val="2"/>
          <w:sz w:val="21"/>
          <w:szCs w:val="21"/>
          <w:highlight w:val="none"/>
        </w:rPr>
        <w:t>. 承包人</w:t>
      </w:r>
      <w:bookmarkEnd w:id="463"/>
      <w:bookmarkEnd w:id="464"/>
      <w:bookmarkEnd w:id="465"/>
      <w:bookmarkEnd w:id="466"/>
      <w:bookmarkEnd w:id="467"/>
      <w:bookmarkEnd w:id="468"/>
    </w:p>
    <w:p>
      <w:pPr>
        <w:pStyle w:val="7"/>
        <w:spacing w:before="0" w:beforeAutospacing="0" w:after="0" w:afterAutospacing="0" w:line="360" w:lineRule="auto"/>
        <w:ind w:firstLine="422" w:firstLineChars="200"/>
        <w:rPr>
          <w:color w:val="auto"/>
          <w:sz w:val="21"/>
          <w:szCs w:val="21"/>
          <w:highlight w:val="none"/>
        </w:rPr>
      </w:pPr>
      <w:bookmarkStart w:id="469" w:name="_Toc351203519"/>
      <w:bookmarkStart w:id="470" w:name="_Toc532377205"/>
      <w:r>
        <w:rPr>
          <w:rFonts w:hint="eastAsia"/>
          <w:color w:val="auto"/>
          <w:sz w:val="21"/>
          <w:szCs w:val="21"/>
          <w:highlight w:val="none"/>
        </w:rPr>
        <w:t>3</w:t>
      </w:r>
      <w:bookmarkStart w:id="471" w:name="_Toc296346547"/>
      <w:bookmarkStart w:id="472" w:name="_Toc296503046"/>
      <w:bookmarkStart w:id="473" w:name="_Toc337558747"/>
      <w:r>
        <w:rPr>
          <w:rFonts w:hint="eastAsia"/>
          <w:color w:val="auto"/>
          <w:sz w:val="21"/>
          <w:szCs w:val="21"/>
          <w:highlight w:val="none"/>
        </w:rPr>
        <w:t>.1 承包人的一般义务</w:t>
      </w:r>
      <w:bookmarkEnd w:id="469"/>
      <w:bookmarkEnd w:id="470"/>
      <w:bookmarkEnd w:id="471"/>
      <w:bookmarkEnd w:id="472"/>
      <w:bookmarkEnd w:id="473"/>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承包人在履行合同过程中应遵守法律和工程建设标准规范，并履行以下义务：</w:t>
      </w:r>
    </w:p>
    <w:p>
      <w:pPr>
        <w:numPr>
          <w:ilvl w:val="0"/>
          <w:numId w:val="2"/>
        </w:num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办理法律规定应由承包人办理的许可和批准，并将办理结果书面报送发包人留存；</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（2）按法律规定和合同约定完成工程，并在保修期内承担保修义务；</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（3）按法律规定和合同约定采取施工安全和环境保护措施，办理工伤保险，确保工程及人员、材料、设备和设施的安全；</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（4）按合同约定的工作内容和施工进度要求，编制施工组织设计和施工措施计划，并对所有施工作业和施工方法的完备性和安全可靠性负责；</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在进行合同约定的各项工作时，不得侵害发包人与他人使用公用道路、水源、市政管网等公共设施的权利，避免对邻近的公共设施产生干扰。承包人占用或使用他人的施工场地，影响他人作业或生活的，应承担相应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（6）按照第6.3款〔环境保护〕约定负责施工场地及其周边环境与生态的保护工作；</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（7）按第6.1款〔安全文明施工〕约定采取施工安全措施，确保工程及其人员、材料、设备和设施的安全，防止因工程施工造成的人身伤害和财产损失；</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（8）将发包人按合同约定支付的各项价款专用于合同工程，且应及时支付其雇用人员工资，并及时向分包人支付合同价款；</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（9）按照法律规定和合同约定编制竣工资料，完成竣工资料立卷及归档，并按专用合同条款约定的竣工资料的套数、内容、时间等要求移交发包人；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（10）应履行的其他义务。</w:t>
      </w:r>
    </w:p>
    <w:p>
      <w:pPr>
        <w:pStyle w:val="7"/>
        <w:spacing w:before="0" w:beforeAutospacing="0" w:after="0" w:afterAutospacing="0" w:line="360" w:lineRule="auto"/>
        <w:ind w:firstLine="422" w:firstLineChars="200"/>
        <w:rPr>
          <w:color w:val="auto"/>
          <w:sz w:val="21"/>
          <w:szCs w:val="21"/>
          <w:highlight w:val="none"/>
        </w:rPr>
      </w:pPr>
      <w:bookmarkStart w:id="474" w:name="_Toc351203520"/>
      <w:bookmarkStart w:id="475" w:name="_Toc532377206"/>
      <w:r>
        <w:rPr>
          <w:rFonts w:hint="eastAsia"/>
          <w:color w:val="auto"/>
          <w:sz w:val="21"/>
          <w:szCs w:val="21"/>
          <w:highlight w:val="none"/>
        </w:rPr>
        <w:t>3</w:t>
      </w:r>
      <w:bookmarkStart w:id="476" w:name="_Toc337558748"/>
      <w:bookmarkStart w:id="477" w:name="_Toc296346548"/>
      <w:bookmarkStart w:id="478" w:name="_Toc296503047"/>
      <w:r>
        <w:rPr>
          <w:rFonts w:hint="eastAsia"/>
          <w:color w:val="auto"/>
          <w:sz w:val="21"/>
          <w:szCs w:val="21"/>
          <w:highlight w:val="none"/>
        </w:rPr>
        <w:t xml:space="preserve">.2 </w:t>
      </w:r>
      <w:bookmarkEnd w:id="474"/>
      <w:r>
        <w:rPr>
          <w:rFonts w:hint="eastAsia"/>
          <w:color w:val="auto"/>
          <w:sz w:val="21"/>
          <w:szCs w:val="21"/>
          <w:highlight w:val="none"/>
        </w:rPr>
        <w:t>项目经理</w:t>
      </w:r>
      <w:bookmarkEnd w:id="475"/>
      <w:bookmarkEnd w:id="476"/>
      <w:bookmarkEnd w:id="477"/>
      <w:bookmarkEnd w:id="478"/>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3.2.1 项目经理应为合同当事人所确认的人选，并在专用合同条款中明确项目经理的姓名、职称、注册执业证书编号、联系方式及授权范围等事项，项目经理经承包人授权后代表承包人负责履行合同。项目经理应是承包人正式聘用的员工，承包人应向发包人提交项目经理与承包人之间的劳动合同，以及承包人为项目经理缴纳社会保险的有效证明。承包人不提交上述文件的，项目经理无权履行职责，发包人有权要求更换项目经理，由此增加的费用和（或）延误的工期由承包人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项目经理应常驻施工现场，且每月在施工现场时间不得少于专用合同条款约定的天数。项目经理不得同时担任其他项目的项目经理。项目经理确需离开施工现场时，应事先通知监理人，并取得发包人的书面同意。项目经理的通知中应当载明临时代行其职责的人员的注册执业资格、管理经验等资料，该人员应具备履行相应职责的能力。</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承包人违反上述约定的，应按照专用合同条款的约定，承担违约责任。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3.2.2 项目经理按合同约定组织工程实施。在紧急情况下为确保施工安全和人员安全，在无法与发包人代表和总监理工程师及时取得联系时，项目经理有权采取必要的措施保证与工程有关的人身、财产和工程的安全，但应在48小时内向发包人代表和总监理工程师提交书面报告。</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3.2.3 承包人需要更换项目经理的，应提前14天书面通知发包人和监理人，并征得发包人书面同意。通知中应当载明继任项目经理的注册执业资格、管理经验等资料，继任项目经理继续履行第3.2.1项约定的职责。未经发包人书面同意，承包人不得擅自更换项目经理。承包人擅自更换项目经理的，应按照专用合同条款的约定承担违约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3.2.4 发包人有权书面通知承包人更换其认为不称职的项目经理，通知中应当载明要求更换的理由。承包人应在接到更换通知后14天内向发包人提出书面的改进报告。发包人收到改进报告后仍要求更换的，承包人应在接到第二次更换通知的28天内进行更换，并将新任命的项目经理的注册执业资格、管理经验等资料书面通知发包人。继任项目经理继续履行第3.2.1项约定的职责。承包人无正当理由拒绝更换项目经理的，应按照专用合同条款的约定承担违约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3.2.5 项目经理因特殊情况授权其下属人员履行其某项工作职责的，该下属人员应具备履行相应职责的能力，并应提前7天将上述人员的姓名和授权范围书面通知监理人，并征得发包人书面同意。</w:t>
      </w:r>
    </w:p>
    <w:p>
      <w:pPr>
        <w:pStyle w:val="7"/>
        <w:spacing w:before="0" w:beforeAutospacing="0" w:after="0" w:afterAutospacing="0" w:line="360" w:lineRule="auto"/>
        <w:ind w:firstLine="422" w:firstLineChars="200"/>
        <w:rPr>
          <w:color w:val="auto"/>
          <w:sz w:val="21"/>
          <w:szCs w:val="21"/>
          <w:highlight w:val="none"/>
        </w:rPr>
      </w:pPr>
      <w:bookmarkStart w:id="479" w:name="_Toc351203521"/>
      <w:bookmarkStart w:id="480" w:name="_Toc532377207"/>
      <w:r>
        <w:rPr>
          <w:rFonts w:hint="eastAsia"/>
          <w:color w:val="auto"/>
          <w:sz w:val="21"/>
          <w:szCs w:val="21"/>
          <w:highlight w:val="none"/>
        </w:rPr>
        <w:t>3</w:t>
      </w:r>
      <w:bookmarkStart w:id="481" w:name="_Toc296346549"/>
      <w:bookmarkStart w:id="482" w:name="_Toc296503048"/>
      <w:bookmarkStart w:id="483" w:name="_Toc337558749"/>
      <w:r>
        <w:rPr>
          <w:rFonts w:hint="eastAsia"/>
          <w:color w:val="auto"/>
          <w:sz w:val="21"/>
          <w:szCs w:val="21"/>
          <w:highlight w:val="none"/>
        </w:rPr>
        <w:t xml:space="preserve">.3 </w:t>
      </w:r>
      <w:bookmarkEnd w:id="481"/>
      <w:bookmarkEnd w:id="482"/>
      <w:r>
        <w:rPr>
          <w:rFonts w:hint="eastAsia"/>
          <w:color w:val="auto"/>
          <w:sz w:val="21"/>
          <w:szCs w:val="21"/>
          <w:highlight w:val="none"/>
        </w:rPr>
        <w:t>承包人人员</w:t>
      </w:r>
      <w:bookmarkEnd w:id="479"/>
      <w:bookmarkEnd w:id="480"/>
      <w:bookmarkEnd w:id="483"/>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3.3.1 除专用合同条款另有约定外，承包人应在接到开工通知后7天内，向监理人提交承包人项目管理机构及施工现场人员安排的报告，其内容应包括合同管理、施工、技术、材料、质量、安全、财务等主要施工管理人员名单及其岗位、注册执业资格等，以及各工种技术工人的安排情况，并同时提交主要施工管理人员与承包人之间的劳动关系证明和缴纳社会保险的有效证明。</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3.3.2 承包人派驻到施工现场的主要施工管理人员应相对稳定。施工过程中如有变动，承包人应及时向监理人提交施工现场人员变动情况的报告。承包人更换主要施工管理人员时，应提前7天书面通知监理人，并征得发包人书面同意。通知中应当载明继任人员的注册执业资格、管理经验等资料。</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特殊工种作业人员均应持有相应的资格证明，监理人可以随时检查。</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3.3.3 发包人对于承包人主要施工管理人员的资格或能力有异议的，承包人应提供资料证明被质疑人员有能力完成其岗位工作或不存在发包人所质疑的情形。发包人要求撤换不能按照合同约定履行职责及义务的主要施工管理人员的，承包人应当撤换。承包人无正当理由拒绝撤换的，应按照专用合同条款的约定承担违约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3.3.4 除专用合同条款另有约定外，承包人的主要施工管理人员离开施工现场每月累计不超过5天的，应报监理人同意；离开施工现场每月累计超过5天的，应通知监理人，并征得发包人书面同意。主要施工管理人员离开施工现场前应指定一名有经验的人员临时代行其职责，该人员应具备履行相应职责的资格和能力，且应征得监理人或发包人的同意。</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3.3.5 承包人擅自更换主要施工管理人员，或前述人员未经监理人或发包人同意擅自离开施工现场的，应按照专用合同条款约定承担违约责任。</w:t>
      </w:r>
    </w:p>
    <w:p>
      <w:pPr>
        <w:pStyle w:val="7"/>
        <w:spacing w:before="0" w:beforeAutospacing="0" w:after="0" w:afterAutospacing="0" w:line="360" w:lineRule="auto"/>
        <w:ind w:firstLine="422" w:firstLineChars="200"/>
        <w:rPr>
          <w:color w:val="auto"/>
          <w:sz w:val="21"/>
          <w:szCs w:val="21"/>
          <w:highlight w:val="none"/>
        </w:rPr>
      </w:pPr>
      <w:bookmarkStart w:id="484" w:name="_Toc532377208"/>
      <w:bookmarkStart w:id="485" w:name="_Toc351203522"/>
      <w:r>
        <w:rPr>
          <w:rFonts w:hint="eastAsia"/>
          <w:color w:val="auto"/>
          <w:sz w:val="21"/>
          <w:szCs w:val="21"/>
          <w:highlight w:val="none"/>
        </w:rPr>
        <w:t>3</w:t>
      </w:r>
      <w:bookmarkStart w:id="486" w:name="_Toc296346551"/>
      <w:bookmarkStart w:id="487" w:name="_Toc296503050"/>
      <w:bookmarkStart w:id="488" w:name="_Toc337558750"/>
      <w:r>
        <w:rPr>
          <w:rFonts w:hint="eastAsia"/>
          <w:color w:val="auto"/>
          <w:sz w:val="21"/>
          <w:szCs w:val="21"/>
          <w:highlight w:val="none"/>
        </w:rPr>
        <w:t>.4 承包人现场查勘</w:t>
      </w:r>
      <w:bookmarkEnd w:id="484"/>
      <w:bookmarkEnd w:id="485"/>
      <w:bookmarkEnd w:id="486"/>
      <w:bookmarkEnd w:id="487"/>
      <w:bookmarkEnd w:id="488"/>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承包人应对基于发包人按照第2.4.3项〔提供基础资料〕提交的基础资料所做出的解释和推断负责，但因基础资料存在错误、遗漏导致承包人解释或推断失实的，由发包人承担责任。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对施工现场和施工条件进行查勘，并充分了解工程所在地的气象条件、交通条件、风俗习惯以及其他与完成合同工作有关的其他资料。因承包人未能充分查勘、了解前述情况或未能充分估计前述情况所可能产生后果的，承包人承担由此增加的费用和（或）延误的工期。</w:t>
      </w:r>
    </w:p>
    <w:p>
      <w:pPr>
        <w:pStyle w:val="7"/>
        <w:spacing w:before="0" w:beforeAutospacing="0" w:after="0" w:afterAutospacing="0" w:line="360" w:lineRule="auto"/>
        <w:ind w:firstLine="422" w:firstLineChars="200"/>
        <w:rPr>
          <w:color w:val="auto"/>
          <w:sz w:val="21"/>
          <w:szCs w:val="21"/>
          <w:highlight w:val="none"/>
        </w:rPr>
      </w:pPr>
      <w:bookmarkStart w:id="489" w:name="_Toc351203523"/>
      <w:bookmarkStart w:id="490" w:name="_Toc532377209"/>
      <w:r>
        <w:rPr>
          <w:rFonts w:hint="eastAsia"/>
          <w:color w:val="auto"/>
          <w:sz w:val="21"/>
          <w:szCs w:val="21"/>
          <w:highlight w:val="none"/>
        </w:rPr>
        <w:t>3</w:t>
      </w:r>
      <w:bookmarkStart w:id="491" w:name="_Toc337558751"/>
      <w:bookmarkStart w:id="492" w:name="_Toc296346552"/>
      <w:bookmarkStart w:id="493" w:name="_Toc296503051"/>
      <w:r>
        <w:rPr>
          <w:rFonts w:hint="eastAsia"/>
          <w:color w:val="auto"/>
          <w:sz w:val="21"/>
          <w:szCs w:val="21"/>
          <w:highlight w:val="none"/>
        </w:rPr>
        <w:t>.5 分包</w:t>
      </w:r>
      <w:bookmarkEnd w:id="489"/>
      <w:bookmarkEnd w:id="490"/>
      <w:bookmarkEnd w:id="491"/>
      <w:bookmarkEnd w:id="492"/>
      <w:bookmarkEnd w:id="493"/>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3.5.1 分包的一般约定</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不得将其承包的全部工程转包给第三人，或将其承包的全部工程肢解后以分包的名义转包给第三人。承包人不得将工程主体结构、关键性工作及专用合同条款中禁止分包的专业工程分包给第三人，主体结构、关键性工作的范围由合同当事人按照法律规定在专用合同条款中予以明确。</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承包人不得以劳务分包的名义转包或违法分包工程。</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3.5.2 分包的确定</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按专用合同条款的约定进行分包，确定分包人。已标价工程量清单或预算书中给定暂估价的专业工程，按照第10.7款〔暂估价〕确定分包人。按照合同约定进行分包的，承包人应确保分包人具有相应的资质和能力。工程分包不减轻或免除承包人的责任和义务，承包人和分包人就分包工程向发包人承担连带责任。除合同另有约定外，承包人应在分包合同签订后7天内向发包人和监理人提交分包合同副本。</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3.5.3 分包管理</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承包人应向监理人提交分包人的主要施工管理人员表，并对分包人的施工人员进行实名制管理，包括但不限于进出场管理、登记造册以及各种证照的办理。</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3.5.4 分包合同价款</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（1）除本项第（2）目约定的情况或专用合同条款另有约定外，分包合同价款由承包人与分包人结算，未经承包人同意，发包人不得向分包人支付分包工程价款；</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（2）生效法律文书要求发包人向分包人支付分包合同价款的，发包人有权从应付承包人工程款中扣除该部分款项。</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3.5.5 分包合同权益的转让</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分包人在分包合同项下的义务持续到缺陷责任期届满以后的，发包人有权在缺陷责任期届满前，要求承包人将其在分包合同项下的权益转让给发包人，承包人应当转让。除转让合同另有约定外，转让合同生效后，由分包人向发包人履行义务。</w:t>
      </w:r>
      <w:bookmarkStart w:id="494" w:name="_Toc351203524"/>
    </w:p>
    <w:p>
      <w:pPr>
        <w:pStyle w:val="7"/>
        <w:spacing w:before="0" w:beforeAutospacing="0" w:after="0" w:afterAutospacing="0" w:line="360" w:lineRule="auto"/>
        <w:ind w:firstLine="422" w:firstLineChars="200"/>
        <w:rPr>
          <w:color w:val="auto"/>
          <w:sz w:val="21"/>
          <w:szCs w:val="21"/>
          <w:highlight w:val="none"/>
        </w:rPr>
      </w:pPr>
      <w:bookmarkStart w:id="495" w:name="_Toc532377210"/>
      <w:r>
        <w:rPr>
          <w:rFonts w:hint="eastAsia"/>
          <w:color w:val="auto"/>
          <w:sz w:val="21"/>
          <w:szCs w:val="21"/>
          <w:highlight w:val="none"/>
        </w:rPr>
        <w:t>3.6 工程照管与成品、半成品保护</w:t>
      </w:r>
      <w:bookmarkEnd w:id="494"/>
      <w:bookmarkEnd w:id="495"/>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（1）除专用合同条款另有约定外，自发包人向承包人移交施工现场之日起，承包人应负责照管工程及工程相关的材料、工程设备，直到颁发工程接收证书之日止。</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（2）在承包人负责照管期间，因承包人原因造成工程、材料、工程设备损坏的，由承包人负责修复或更换，并承担由此增加的费用和（或）延误的工期。</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（3）对合同内分期完成的成品和半成品，在工程接收证书颁发前，由承包人承担保护责任。因承包人原因造成成品或半成品损坏的，由承包人负责修复或更换，并承担由此增加的费用和（或）延误的工期。</w:t>
      </w:r>
    </w:p>
    <w:p>
      <w:pPr>
        <w:pStyle w:val="7"/>
        <w:spacing w:before="0" w:beforeAutospacing="0" w:after="0" w:afterAutospacing="0" w:line="360" w:lineRule="auto"/>
        <w:ind w:firstLine="422" w:firstLineChars="200"/>
        <w:rPr>
          <w:color w:val="auto"/>
          <w:sz w:val="21"/>
          <w:szCs w:val="21"/>
          <w:highlight w:val="none"/>
        </w:rPr>
      </w:pPr>
      <w:bookmarkStart w:id="496" w:name="_Toc532377211"/>
      <w:bookmarkStart w:id="497" w:name="_Toc351203525"/>
      <w:r>
        <w:rPr>
          <w:rFonts w:hint="eastAsia"/>
          <w:color w:val="auto"/>
          <w:sz w:val="21"/>
          <w:szCs w:val="21"/>
          <w:highlight w:val="none"/>
        </w:rPr>
        <w:t>3</w:t>
      </w:r>
      <w:bookmarkStart w:id="498" w:name="_Toc337558752"/>
      <w:bookmarkStart w:id="499" w:name="_Toc296503052"/>
      <w:bookmarkStart w:id="500" w:name="_Toc296346553"/>
      <w:r>
        <w:rPr>
          <w:rFonts w:hint="eastAsia"/>
          <w:color w:val="auto"/>
          <w:sz w:val="21"/>
          <w:szCs w:val="21"/>
          <w:highlight w:val="none"/>
        </w:rPr>
        <w:t>.7 履约担保</w:t>
      </w:r>
      <w:bookmarkEnd w:id="496"/>
      <w:bookmarkEnd w:id="497"/>
      <w:bookmarkEnd w:id="498"/>
      <w:bookmarkEnd w:id="499"/>
      <w:bookmarkEnd w:id="500"/>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发包人需要承包人提供履约担保的，由合同当事人在专用合同条款中约定履约担保的方式、金额及期限等。履约担保可以采用银行保函或担保公司担保等形式，具体由合同当事人在专用合同条款中约定。</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因承包人原因导致工期延长的，继续提供履约担保所增加的费用由承包人承担；非因承包人原因导致工期延长的，继续提供履约担保所增加的费用由发包人承担。</w:t>
      </w:r>
    </w:p>
    <w:p>
      <w:pPr>
        <w:pStyle w:val="7"/>
        <w:spacing w:before="0" w:beforeAutospacing="0" w:after="0" w:afterAutospacing="0" w:line="360" w:lineRule="auto"/>
        <w:ind w:firstLine="422" w:firstLineChars="200"/>
        <w:rPr>
          <w:color w:val="auto"/>
          <w:sz w:val="21"/>
          <w:szCs w:val="21"/>
          <w:highlight w:val="none"/>
        </w:rPr>
      </w:pPr>
      <w:bookmarkStart w:id="501" w:name="_Toc532377212"/>
      <w:bookmarkStart w:id="502" w:name="_Toc351203526"/>
      <w:r>
        <w:rPr>
          <w:rFonts w:hint="eastAsia"/>
          <w:color w:val="auto"/>
          <w:sz w:val="21"/>
          <w:szCs w:val="21"/>
          <w:highlight w:val="none"/>
        </w:rPr>
        <w:t>3.8 联合体</w:t>
      </w:r>
      <w:bookmarkEnd w:id="501"/>
      <w:bookmarkEnd w:id="502"/>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3.8.1 联合体各方应共同与发包人签订合同协议书。联合体各方应为履行合同向发包人承担连带责任。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3.8.2 联合体协议经发包人确认后作为合同附件。在履行合同过程中，未经发包人同意，不得修改联合体协议。</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3.8.3 联合体牵头人负责与发包人和监理人联系，并接受指示，负责组织联合体各成员全面履行合同。</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503" w:name="_Toc532377213"/>
      <w:bookmarkStart w:id="504" w:name="_Toc351203527"/>
      <w:bookmarkStart w:id="505" w:name="_Toc532375590"/>
      <w:r>
        <w:rPr>
          <w:rFonts w:hint="eastAsia"/>
          <w:color w:val="auto"/>
          <w:kern w:val="2"/>
          <w:sz w:val="21"/>
          <w:szCs w:val="21"/>
          <w:highlight w:val="none"/>
        </w:rPr>
        <w:t>4</w:t>
      </w:r>
      <w:bookmarkStart w:id="506" w:name="_Toc296346554"/>
      <w:bookmarkStart w:id="507" w:name="_Toc296503053"/>
      <w:bookmarkStart w:id="508" w:name="_Toc337558753"/>
      <w:r>
        <w:rPr>
          <w:rFonts w:hint="eastAsia"/>
          <w:color w:val="auto"/>
          <w:kern w:val="2"/>
          <w:sz w:val="21"/>
          <w:szCs w:val="21"/>
          <w:highlight w:val="none"/>
        </w:rPr>
        <w:t>. 监</w:t>
      </w:r>
      <w:bookmarkEnd w:id="506"/>
      <w:bookmarkEnd w:id="507"/>
      <w:r>
        <w:rPr>
          <w:rFonts w:hint="eastAsia"/>
          <w:color w:val="auto"/>
          <w:kern w:val="2"/>
          <w:sz w:val="21"/>
          <w:szCs w:val="21"/>
          <w:highlight w:val="none"/>
        </w:rPr>
        <w:t>理人</w:t>
      </w:r>
      <w:bookmarkEnd w:id="503"/>
      <w:bookmarkEnd w:id="504"/>
      <w:bookmarkEnd w:id="505"/>
      <w:bookmarkEnd w:id="508"/>
    </w:p>
    <w:p>
      <w:pPr>
        <w:pStyle w:val="7"/>
        <w:spacing w:before="0" w:beforeAutospacing="0" w:after="0" w:afterAutospacing="0" w:line="360" w:lineRule="auto"/>
        <w:ind w:firstLine="422" w:firstLineChars="200"/>
        <w:rPr>
          <w:color w:val="auto"/>
          <w:sz w:val="21"/>
          <w:szCs w:val="21"/>
          <w:highlight w:val="none"/>
        </w:rPr>
      </w:pPr>
      <w:bookmarkStart w:id="509" w:name="_Toc351203528"/>
      <w:bookmarkStart w:id="510" w:name="_Toc532377214"/>
      <w:r>
        <w:rPr>
          <w:rFonts w:hint="eastAsia"/>
          <w:color w:val="auto"/>
          <w:sz w:val="21"/>
          <w:szCs w:val="21"/>
          <w:highlight w:val="none"/>
        </w:rPr>
        <w:t>4</w:t>
      </w:r>
      <w:bookmarkStart w:id="511" w:name="_Toc296346555"/>
      <w:bookmarkStart w:id="512" w:name="_Toc337558754"/>
      <w:bookmarkStart w:id="513" w:name="_Toc296503054"/>
      <w:r>
        <w:rPr>
          <w:rFonts w:hint="eastAsia"/>
          <w:color w:val="auto"/>
          <w:sz w:val="21"/>
          <w:szCs w:val="21"/>
          <w:highlight w:val="none"/>
        </w:rPr>
        <w:t>.1监理人的一般规定</w:t>
      </w:r>
      <w:bookmarkEnd w:id="509"/>
      <w:bookmarkEnd w:id="510"/>
      <w:bookmarkEnd w:id="511"/>
      <w:bookmarkEnd w:id="512"/>
      <w:bookmarkEnd w:id="513"/>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工程实行监理的，发包人和承包人应在专用合同条款中明确监理人的监理内容及监理权限等事项。监理人应当根据发包人授权及法律规定，代表发包人对工程施工相关事项进行检查、查验、审核、验收，并签发相关指示，但监理人无权修改合同，且无权减轻或免除合同约定的承包人的任何责任与义务。</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除专用合同条款另有约定外，监理人在施工现场的办公场所、生活场所由承包人提供，所发生的费用由发包人承担。</w:t>
      </w:r>
    </w:p>
    <w:p>
      <w:pPr>
        <w:pStyle w:val="7"/>
        <w:spacing w:before="0" w:beforeAutospacing="0" w:after="0" w:afterAutospacing="0" w:line="360" w:lineRule="auto"/>
        <w:ind w:firstLine="422" w:firstLineChars="200"/>
        <w:rPr>
          <w:color w:val="auto"/>
          <w:sz w:val="21"/>
          <w:szCs w:val="21"/>
          <w:highlight w:val="none"/>
        </w:rPr>
      </w:pPr>
      <w:bookmarkStart w:id="514" w:name="_Toc532377215"/>
      <w:bookmarkStart w:id="515" w:name="_Toc351203529"/>
      <w:r>
        <w:rPr>
          <w:rFonts w:hint="eastAsia"/>
          <w:color w:val="auto"/>
          <w:sz w:val="21"/>
          <w:szCs w:val="21"/>
          <w:highlight w:val="none"/>
        </w:rPr>
        <w:t>4</w:t>
      </w:r>
      <w:bookmarkStart w:id="516" w:name="_Toc337558755"/>
      <w:r>
        <w:rPr>
          <w:rFonts w:hint="eastAsia"/>
          <w:color w:val="auto"/>
          <w:sz w:val="21"/>
          <w:szCs w:val="21"/>
          <w:highlight w:val="none"/>
        </w:rPr>
        <w:t>.2监理人员</w:t>
      </w:r>
      <w:bookmarkEnd w:id="514"/>
      <w:bookmarkEnd w:id="515"/>
      <w:bookmarkEnd w:id="516"/>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授予监理人对工程实施监理的权利由监理人派驻施工现场的监理人员行使，监理人员包括总监理工程师及监理工程师。监理人应将授权的总监理工程师和监理工程师的姓名及授权范围以书面形式提前通知承包人。更换总监理工程师的，监理人应提前7天书面通知承包人；更换其他监理人员，监理人应提前48小时书面通知承包人。</w:t>
      </w:r>
    </w:p>
    <w:p>
      <w:pPr>
        <w:pStyle w:val="7"/>
        <w:spacing w:before="0" w:beforeAutospacing="0" w:after="0" w:afterAutospacing="0" w:line="360" w:lineRule="auto"/>
        <w:ind w:firstLine="422" w:firstLineChars="200"/>
        <w:rPr>
          <w:color w:val="auto"/>
          <w:sz w:val="21"/>
          <w:szCs w:val="21"/>
          <w:highlight w:val="none"/>
        </w:rPr>
      </w:pPr>
      <w:bookmarkStart w:id="517" w:name="_Toc532377216"/>
      <w:bookmarkStart w:id="518" w:name="_Toc351203530"/>
      <w:r>
        <w:rPr>
          <w:rFonts w:hint="eastAsia"/>
          <w:color w:val="auto"/>
          <w:sz w:val="21"/>
          <w:szCs w:val="21"/>
          <w:highlight w:val="none"/>
        </w:rPr>
        <w:t>4</w:t>
      </w:r>
      <w:bookmarkStart w:id="519" w:name="_Toc296346556"/>
      <w:bookmarkStart w:id="520" w:name="_Toc296503055"/>
      <w:bookmarkStart w:id="521" w:name="_Toc337558756"/>
      <w:r>
        <w:rPr>
          <w:rFonts w:hint="eastAsia"/>
          <w:color w:val="auto"/>
          <w:sz w:val="21"/>
          <w:szCs w:val="21"/>
          <w:highlight w:val="none"/>
        </w:rPr>
        <w:t>.3</w:t>
      </w:r>
      <w:bookmarkEnd w:id="519"/>
      <w:bookmarkEnd w:id="520"/>
      <w:r>
        <w:rPr>
          <w:rFonts w:hint="eastAsia"/>
          <w:color w:val="auto"/>
          <w:sz w:val="21"/>
          <w:szCs w:val="21"/>
          <w:highlight w:val="none"/>
        </w:rPr>
        <w:t>监理人的指</w:t>
      </w:r>
      <w:bookmarkEnd w:id="521"/>
      <w:r>
        <w:rPr>
          <w:rFonts w:hint="eastAsia"/>
          <w:color w:val="auto"/>
          <w:sz w:val="21"/>
          <w:szCs w:val="21"/>
          <w:highlight w:val="none"/>
        </w:rPr>
        <w:t>示</w:t>
      </w:r>
      <w:bookmarkEnd w:id="517"/>
      <w:bookmarkEnd w:id="518"/>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监理人应按照发包人的授权发出监理指示。监理人的指示应采用书面形式，并经其授权的监理人员签名。紧急情况下，为了保证施工人员的安全或避免工程受损，监理人员可以口头形式发出指示，该指示与书面形式的指示具有同等法律效力，但必须在发出口头指示后24小时内补发书面监理指示，补发的书面监理指示应与口头指示一致。</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监理人发出的指示应送达承包人项目经理或经项目经理授权接收的人员。因监理人未能按合同约定发出指示、指示延误或发出了错误指示而导致承包人费用增加和（或）工期延误的，由发包人承担相应责任。除专用合同条款另有约定外，总监理工程师不应将第4.4款〔商定或确定〕约定应由总监理工程师作出确定的权力授权或委托给其他监理人员。</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承包人对监理人发出的指示有疑问的，应向监理人提出书面异议，监理人应在48小时内对该指示予以确认、更改或撤销，监理人逾期未回复的，承包人有权拒绝执行上述指示。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监理人对承包人的任何工作、工程或其采用的材料和工程设备未在约定的或合理期限内提出意见的，视为批准，但不免除或减轻承包人对该工作、工程、材料、工程设备等应承担的责任和义务。</w:t>
      </w:r>
    </w:p>
    <w:p>
      <w:pPr>
        <w:pStyle w:val="7"/>
        <w:spacing w:before="0" w:beforeAutospacing="0" w:after="0" w:afterAutospacing="0" w:line="360" w:lineRule="auto"/>
        <w:ind w:firstLine="422" w:firstLineChars="200"/>
        <w:rPr>
          <w:color w:val="auto"/>
          <w:sz w:val="21"/>
          <w:szCs w:val="21"/>
          <w:highlight w:val="none"/>
        </w:rPr>
      </w:pPr>
      <w:bookmarkStart w:id="522" w:name="_Toc532377217"/>
      <w:bookmarkStart w:id="523" w:name="_Toc351203531"/>
      <w:r>
        <w:rPr>
          <w:rFonts w:hint="eastAsia"/>
          <w:color w:val="auto"/>
          <w:sz w:val="21"/>
          <w:szCs w:val="21"/>
          <w:highlight w:val="none"/>
        </w:rPr>
        <w:t>4</w:t>
      </w:r>
      <w:bookmarkStart w:id="524" w:name="_Toc296503057"/>
      <w:bookmarkStart w:id="525" w:name="_Toc296346558"/>
      <w:bookmarkStart w:id="526" w:name="_Toc337558757"/>
      <w:r>
        <w:rPr>
          <w:rFonts w:hint="eastAsia"/>
          <w:color w:val="auto"/>
          <w:sz w:val="21"/>
          <w:szCs w:val="21"/>
          <w:highlight w:val="none"/>
        </w:rPr>
        <w:t>.4 商定或确定</w:t>
      </w:r>
      <w:bookmarkEnd w:id="522"/>
      <w:bookmarkEnd w:id="523"/>
      <w:bookmarkEnd w:id="524"/>
      <w:bookmarkEnd w:id="525"/>
      <w:bookmarkEnd w:id="526"/>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合同当事人进行商定或确定时，总监理工程师应当会同合同当事人尽量通过协商达成一致，不能达成一致的，由总监理工程师按照合同约定审慎做出公正的确定。</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总监理工程师应将确定以书面形式通知发包人和承包人，并附详细依据。合同当事人对总监理工程师的确定没有异议的，按照总监理工程师的确定执行。任何一方合同当事人有异议，按照第20条〔争议解决〕约定处理。争议解决前，合同当事人暂按总监理工程师的确定执行；争议解决后，争议解决的结果与总监理工程师的确定不一致的，按照争议解决的结果执行，由此造成的损失由责任人承担。</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527" w:name="_Toc351203532"/>
      <w:bookmarkStart w:id="528" w:name="_Toc532375591"/>
      <w:bookmarkStart w:id="529" w:name="_Toc532377218"/>
      <w:r>
        <w:rPr>
          <w:rFonts w:hint="eastAsia"/>
          <w:color w:val="auto"/>
          <w:kern w:val="2"/>
          <w:sz w:val="21"/>
          <w:szCs w:val="21"/>
          <w:highlight w:val="none"/>
        </w:rPr>
        <w:t>5</w:t>
      </w:r>
      <w:bookmarkStart w:id="530" w:name="_Toc337558758"/>
      <w:r>
        <w:rPr>
          <w:rFonts w:hint="eastAsia"/>
          <w:color w:val="auto"/>
          <w:kern w:val="2"/>
          <w:sz w:val="21"/>
          <w:szCs w:val="21"/>
          <w:highlight w:val="none"/>
        </w:rPr>
        <w:t>. 工程质量</w:t>
      </w:r>
      <w:bookmarkEnd w:id="527"/>
      <w:bookmarkEnd w:id="528"/>
      <w:bookmarkEnd w:id="529"/>
      <w:bookmarkEnd w:id="530"/>
    </w:p>
    <w:p>
      <w:pPr>
        <w:pStyle w:val="7"/>
        <w:spacing w:before="0" w:beforeAutospacing="0" w:after="0" w:afterAutospacing="0" w:line="360" w:lineRule="auto"/>
        <w:ind w:firstLine="422" w:firstLineChars="200"/>
        <w:rPr>
          <w:color w:val="auto"/>
          <w:sz w:val="21"/>
          <w:szCs w:val="21"/>
          <w:highlight w:val="none"/>
        </w:rPr>
      </w:pPr>
      <w:bookmarkStart w:id="531" w:name="_Toc532377219"/>
      <w:bookmarkStart w:id="532" w:name="_Toc351203533"/>
      <w:r>
        <w:rPr>
          <w:rFonts w:hint="eastAsia"/>
          <w:color w:val="auto"/>
          <w:sz w:val="21"/>
          <w:szCs w:val="21"/>
          <w:highlight w:val="none"/>
        </w:rPr>
        <w:t>5</w:t>
      </w:r>
      <w:bookmarkStart w:id="533" w:name="_Toc337558759"/>
      <w:r>
        <w:rPr>
          <w:rFonts w:hint="eastAsia"/>
          <w:color w:val="auto"/>
          <w:sz w:val="21"/>
          <w:szCs w:val="21"/>
          <w:highlight w:val="none"/>
        </w:rPr>
        <w:t>.1质量要求</w:t>
      </w:r>
      <w:bookmarkEnd w:id="531"/>
      <w:bookmarkEnd w:id="532"/>
      <w:bookmarkEnd w:id="533"/>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5.1.1 工程质量标准必须符合现行国家有关工程施工质量验收规范和标准的要求。有关工程质量的特殊标准或要求由合同当事人在专用合同条款中约定。</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5.1.2 因发包人原因造成工程质量未达到合同约定标准的，由发包人承担由此增加的费用和（或）延误的工期，并支付承包人合理的利润。</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5.1.3 因承包人原因造成工程质量未达到合同约定标准的，发包人有权要求承包人返工直至工程质量达到合同约定的标准为止，并由承包人承担由此增加的费用和（或）延误的工期。</w:t>
      </w:r>
    </w:p>
    <w:p>
      <w:pPr>
        <w:pStyle w:val="7"/>
        <w:spacing w:before="0" w:beforeAutospacing="0" w:after="0" w:afterAutospacing="0" w:line="360" w:lineRule="auto"/>
        <w:ind w:firstLine="422" w:firstLineChars="200"/>
        <w:rPr>
          <w:color w:val="auto"/>
          <w:sz w:val="21"/>
          <w:szCs w:val="21"/>
          <w:highlight w:val="none"/>
        </w:rPr>
      </w:pPr>
      <w:bookmarkStart w:id="534" w:name="_Toc532377220"/>
      <w:bookmarkStart w:id="535" w:name="_Toc351203534"/>
      <w:r>
        <w:rPr>
          <w:rFonts w:hint="eastAsia"/>
          <w:color w:val="auto"/>
          <w:sz w:val="21"/>
          <w:szCs w:val="21"/>
          <w:highlight w:val="none"/>
        </w:rPr>
        <w:t>5</w:t>
      </w:r>
      <w:bookmarkStart w:id="536" w:name="_Toc337558760"/>
      <w:r>
        <w:rPr>
          <w:rFonts w:hint="eastAsia"/>
          <w:color w:val="auto"/>
          <w:sz w:val="21"/>
          <w:szCs w:val="21"/>
          <w:highlight w:val="none"/>
        </w:rPr>
        <w:t>.2质量保证措施</w:t>
      </w:r>
      <w:bookmarkEnd w:id="534"/>
      <w:bookmarkEnd w:id="535"/>
      <w:bookmarkEnd w:id="536"/>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5.2.1 发包人的质量管理</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发包人应按照法律规定及合同约定完成与工程质量有关的各项工作。</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5.2.2 承包人的质量管理</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按照第7.1款〔施工组织设计〕约定向发包人和监理人提交工程质量保证体系及措施文件，建立完善的质量检查制度，并提交相应的工程质量文件。对于发包人和监理人违反法律规定和合同约定的错误指示，承包人有权拒绝实施。</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承包人应对施工人员进行质量教育和技术培训，定期考核施工人员的劳动技能，严格执行施工规范和操作规程。</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按照法律规定和发包人的要求，对材料、工程设备以及工程的所有部位及其施工工艺进行全过程的质量检查和检验，并作详细记录，编制工程质量报表，报送监理人审查。此外，承包人还应按照法律规定和发包人的要求，进行施工现场取样试验、工程复核测量和设备性能检测，提供试验样品、提交试验报告和测量成果以及其他工作。</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5.2.3 监理人的质量检查和检验</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监理人按照法律规定和发包人授权对工程的所有部位及其施工工艺、材料和工程设备进行检查和检验。承包人应为监理人的检查和检验提供方便，包括监理人到施工现场，或制造、加工地点，或合同约定的其他地方进行察看和查阅施工原始记录。监理人为此进行的检查和检验，不免除或减轻承包人按照合同约定应当承担的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监理人的检查和检验不应影响施工正常进行。监理人的检查和检验影响施工正常进行的，且经检查检验不合格的，影响正常施工的费用由承包人承担，工期不予顺延；经检查检验合格的，由此增加的费用和（或）延误的工期由发包人承担。</w:t>
      </w:r>
    </w:p>
    <w:p>
      <w:pPr>
        <w:pStyle w:val="7"/>
        <w:spacing w:before="0" w:beforeAutospacing="0" w:after="0" w:afterAutospacing="0" w:line="360" w:lineRule="auto"/>
        <w:ind w:firstLine="422" w:firstLineChars="200"/>
        <w:rPr>
          <w:color w:val="auto"/>
          <w:sz w:val="21"/>
          <w:szCs w:val="21"/>
          <w:highlight w:val="none"/>
        </w:rPr>
      </w:pPr>
      <w:bookmarkStart w:id="537" w:name="_Toc532377221"/>
      <w:bookmarkStart w:id="538" w:name="_Toc351203535"/>
      <w:r>
        <w:rPr>
          <w:rFonts w:hint="eastAsia"/>
          <w:color w:val="auto"/>
          <w:sz w:val="21"/>
          <w:szCs w:val="21"/>
          <w:highlight w:val="none"/>
        </w:rPr>
        <w:t>5</w:t>
      </w:r>
      <w:bookmarkStart w:id="539" w:name="_Toc337558761"/>
      <w:r>
        <w:rPr>
          <w:rFonts w:hint="eastAsia"/>
          <w:color w:val="auto"/>
          <w:sz w:val="21"/>
          <w:szCs w:val="21"/>
          <w:highlight w:val="none"/>
        </w:rPr>
        <w:t>.3 隐蔽工程检查</w:t>
      </w:r>
      <w:bookmarkEnd w:id="537"/>
      <w:bookmarkEnd w:id="538"/>
      <w:bookmarkEnd w:id="539"/>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5.3.1承包人自检</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承包人应当对工程隐蔽部位进行自检，并经自检确认是否具备覆盖条件。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5.3.2检查程序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工程隐蔽部位经承包人自检确认具备覆盖条件的，承包人应在共同检查前48小时书面通知监理人检查，通知中应载明隐蔽检查的内容、时间和地点，并应附有自检记录和必要的检查资料。</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监理人应按时到场并对隐蔽工程及其施工工艺、材料和工程设备进行检查。经监理人检查确认质量符合隐蔽要求，并在验收记录上签名后，承包人才能进行覆盖。经监理人检查质量不合格的，承包人应在监理人指示的时间内完成修复，并由监理人重新检查，由此增加的费用和（或）延误的工期由承包人承担。</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监理人不能按时进行检查的，应在检查前24小时向承包人提交书面延期要求，但延期不能超过48小时，由此导致工期延误的，工期应予以顺延。监理人未按时进行检查，也未提出延期要求的，视为隐蔽工程检查合格，承包人可自行完成覆盖工作，并作相应记录报送监理人，监理人应签名确认。监理人事后对检查记录有疑问的，可按第5.3.3项〔重新检查〕的约定重新检查。</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5.3.3 重新检查</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覆盖工程隐蔽部位后，发包人或监理人对质量有疑问的，可要求承包人对已覆盖的部位进行钻孔探测或揭开重新检查，承包人应遵照执行，并在检查后重新覆盖恢复原状。经检查证明工程质量符合合同要求的，由发包人承担由此增加的费用和（或）延误的工期，并支付承包人合理的利润；经检查证明工程质量不符合合同要求的，由此增加的费用和（或）延误的工期由承包人承担。</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5.3.4 承包人私自覆盖</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承包人未通知监理人到场检查，私自将工程隐蔽部位覆盖的，监理人有权指示承包人钻孔探测或揭开检查，无论工程隐蔽部位质量是否合格，由此增加的费用和（或）延误的工期均由承包人承担。</w:t>
      </w:r>
    </w:p>
    <w:p>
      <w:pPr>
        <w:pStyle w:val="7"/>
        <w:spacing w:before="0" w:beforeAutospacing="0" w:after="0" w:afterAutospacing="0" w:line="360" w:lineRule="auto"/>
        <w:ind w:firstLine="422" w:firstLineChars="200"/>
        <w:rPr>
          <w:color w:val="auto"/>
          <w:sz w:val="21"/>
          <w:szCs w:val="21"/>
          <w:highlight w:val="none"/>
        </w:rPr>
      </w:pPr>
      <w:bookmarkStart w:id="540" w:name="_Toc532377222"/>
      <w:r>
        <w:rPr>
          <w:rFonts w:hint="eastAsia"/>
          <w:color w:val="auto"/>
          <w:sz w:val="21"/>
          <w:szCs w:val="21"/>
          <w:highlight w:val="none"/>
        </w:rPr>
        <w:t>5.4不合格工程的处理</w:t>
      </w:r>
      <w:bookmarkEnd w:id="540"/>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5.4.1 因承包人原因造成工程不合格的，发包人有权随时要求承包人采取补救措施，直至达到合同要求的质量标准，由此增加的费用和（或）延误的工期由承包人承担。无法补救的，按照第13.2.4项〔拒绝接收全部或部分工程〕约定执行。 </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5.4.2 因发包人原因造成工程不合格的，由此增加的费用和（或）延误的工期由发包人承担，并支付承包人合理的利润。</w:t>
      </w:r>
    </w:p>
    <w:p>
      <w:pPr>
        <w:pStyle w:val="7"/>
        <w:spacing w:before="0" w:beforeAutospacing="0" w:after="0" w:afterAutospacing="0" w:line="360" w:lineRule="auto"/>
        <w:ind w:firstLine="422" w:firstLineChars="200"/>
        <w:rPr>
          <w:color w:val="auto"/>
          <w:sz w:val="21"/>
          <w:szCs w:val="21"/>
          <w:highlight w:val="none"/>
        </w:rPr>
      </w:pPr>
      <w:bookmarkStart w:id="541" w:name="_Toc351203537"/>
      <w:bookmarkStart w:id="542" w:name="_Toc532377223"/>
      <w:r>
        <w:rPr>
          <w:rFonts w:hint="eastAsia"/>
          <w:color w:val="auto"/>
          <w:sz w:val="21"/>
          <w:szCs w:val="21"/>
          <w:highlight w:val="none"/>
        </w:rPr>
        <w:t>5.5 质量争议检测</w:t>
      </w:r>
      <w:bookmarkEnd w:id="541"/>
      <w:bookmarkEnd w:id="542"/>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合同当事人对工程质量有争议的，由双方协商确定的工程质量检测机构鉴定，由此产生的费用及因此造成的损失，由责任方承担。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合同当事人均有责任的，由双方根据其责任分别承担。合同当事人无法达成一致的，按照第4.4款〔商定或确定〕执行。</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543" w:name="_Toc532375592"/>
      <w:bookmarkStart w:id="544" w:name="_Toc532377224"/>
      <w:bookmarkStart w:id="545" w:name="_Toc351203538"/>
      <w:r>
        <w:rPr>
          <w:rFonts w:hint="eastAsia"/>
          <w:color w:val="auto"/>
          <w:kern w:val="2"/>
          <w:sz w:val="21"/>
          <w:szCs w:val="21"/>
          <w:highlight w:val="none"/>
        </w:rPr>
        <w:t>6</w:t>
      </w:r>
      <w:bookmarkStart w:id="546" w:name="_Toc337558763"/>
      <w:r>
        <w:rPr>
          <w:rFonts w:hint="eastAsia"/>
          <w:color w:val="auto"/>
          <w:kern w:val="2"/>
          <w:sz w:val="21"/>
          <w:szCs w:val="21"/>
          <w:highlight w:val="none"/>
        </w:rPr>
        <w:t>. 安全文明施工与环境保护</w:t>
      </w:r>
      <w:bookmarkEnd w:id="543"/>
      <w:bookmarkEnd w:id="544"/>
      <w:bookmarkEnd w:id="545"/>
      <w:bookmarkEnd w:id="546"/>
    </w:p>
    <w:p>
      <w:pPr>
        <w:pStyle w:val="7"/>
        <w:spacing w:before="0" w:beforeAutospacing="0" w:after="0" w:afterAutospacing="0" w:line="360" w:lineRule="auto"/>
        <w:ind w:firstLine="422" w:firstLineChars="200"/>
        <w:rPr>
          <w:color w:val="auto"/>
          <w:sz w:val="21"/>
          <w:szCs w:val="21"/>
          <w:highlight w:val="none"/>
        </w:rPr>
      </w:pPr>
      <w:bookmarkStart w:id="547" w:name="_Toc532377225"/>
      <w:bookmarkStart w:id="548" w:name="_Toc351203539"/>
      <w:r>
        <w:rPr>
          <w:rFonts w:hint="eastAsia"/>
          <w:color w:val="auto"/>
          <w:sz w:val="21"/>
          <w:szCs w:val="21"/>
          <w:highlight w:val="none"/>
        </w:rPr>
        <w:t>6</w:t>
      </w:r>
      <w:bookmarkStart w:id="549" w:name="_Toc337558764"/>
      <w:r>
        <w:rPr>
          <w:rFonts w:hint="eastAsia"/>
          <w:color w:val="auto"/>
          <w:sz w:val="21"/>
          <w:szCs w:val="21"/>
          <w:highlight w:val="none"/>
        </w:rPr>
        <w:t>.1安全文明施工</w:t>
      </w:r>
      <w:bookmarkEnd w:id="547"/>
      <w:bookmarkEnd w:id="548"/>
      <w:bookmarkEnd w:id="549"/>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6.1.1安全生产要求</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履行期间，合同当事人均应当遵守国家和工程所在地有关安全生产的要求，合同当事人有特别要求的，应在专用合同条款中明确施工项目安全生产标准化达标目标及相应事项。承包人有权拒绝发包人及监理人强令承包人违章作业、冒险施工的任何指示。</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在施工过程中，如遇到突发的地质变动、事先未知的地下施工障碍等影响施工安全的紧急情况，承包人应及时报告监理人和发包人，发包人应当及时下令停工并报政府有关行政管理部门采取应急措施。</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因安全生产需要暂停施工的，按照第7.8款〔暂停施工〕的约定执行。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6.1.2 安全生产保证措施</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当按照有关规定编制安全技术措施或者专项施工方案，建立安全生产责任制度、治安保卫制度及安全生产教育培训制度，并按安全生产法律规定及合同约定履行安全职责，如实编制工程安全生产的有关记录，接受发包人、监理人及政府安全监督部门的检查与监督。</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6.1.3特别安全生产事项</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承包人应按照法律规定进行施工，开工前做好安全技术交底工作，施工过程中做好各项安全防护措施。承包人为实施合同而雇用的特殊工种的人员应受过专门的培训并已取得政府有关管理机构颁发的上岗证书。</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承包人在动力设备、输电线路、地下管道、密封防震车间、易燃易爆地段以及临街交通要道附近施工时，施工开始前应向发包人和监理人提出安全防护措施，经发包人认可后实施。 </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实施爆破作业，在放射、毒害性环境中施工（含储存、运输、使用）及使用毒害性、腐蚀性物品施工时，承包人应在施工前7天以书面通知发包人和监理人，并报送相应的安全防护措施，经发包人认可后实施。</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需单独编制危险性较大分部分项专项工程施工方案的，及要求进行专家论证的超过一定规模的危险性较大的分部分项工程，承包人应及时编制和组织论证。</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6.1.4 治安保卫</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除专用合同条款另有约定外，发包人应与当地公安部门协商，在现场建立治安管理机构或联防组织，统一管理施工场地的治安保卫事项，履行合同工程的治安保卫职责。</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发包人和承包人除应协助现场治安管理机构或联防组织维护施工场地的社会治安外，还应做好包括生活区在内的各自管辖区的治安保卫工作。</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发包人和承包人应在工程开工后7天内共同编制施工场地治安管理计划，并制定应对突发治安事件的紧急预案。在工程施工过程中，发生暴乱、爆炸等恐怖事件，以及群殴、械斗等群体性突发治安事件的，发包人和承包人应立即向当地政府报告。发包人和承包人应积极协助当地有关部门采取措施平息事态，防止事态扩大，尽量避免人员伤亡和财产损失。</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6.1.5 文明施工</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承包人在工程施工期间，应当采取措施保持施工现场平整，物料堆放整齐。工程所在地有关政府行政管理部门有特殊要求的，按照其要求执行。合同当事人对文明施工有其他要求的，可以在专用合同条款中明确。</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工程移交之前，承包人应当从施工现场清除承包人的全部工程设备、多余材料、垃圾和各种临时工程，并保持施工现场清洁整齐。经发包人书面同意，承包人可在发包人指定的地点保留承包人履行保修期内的各项义务所需要的材料、施工设备和临时工程。</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6.1.6 安全文明施工费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安全文明施工费由发包人承担，发包人不得以任何形式扣减该部分费用。因基准日期后合同所适用的法律或政府有关规定发生变化，增加的安全文明施工费由发包人承担。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经发包人同意采取合同约定以外的安全措施所产生的费用，由发包人承担。未经发包人同意的，如果该措施避免了发包人的损失，则发包人在避免损失的额度内承担该措施费。如果该措施避免了承包人的损失，由承包人承担该措施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发包人应在开工后28天内预付安全文明施工费总额的50%，其余部分与进度款同期支付。发包人逾期支付安全文明施工费超过7天的，承包人有权向发包人发出要求预付的催告通知，发包人收到通知后7天内仍未支付的，承包人有权暂停施工，并按第16.1.1项〔发包人违约的情形〕执行。</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对安全文明施工费应专款专用，承包人应在财务账目中单独列项备查，不得挪作他用，否则发包人有权责令其限期改正；逾期未改正的，可以责令其暂停施工，由此增加的费用和（或）延误的工期由承包人承担。</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6.1.7 紧急情况处理</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工程实施期间或缺陷责任期内发生危及工程安全的事件，监理人通知承包人进行抢救，承包人声明无能力或不愿立即执行的，发包人有权雇佣其他人员进行抢救。此类抢救按合同约定属于承包人义务的，由此增加的费用和（或）延误的工期由承包人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6.1.8 事故处理</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工程施工过程中发生事故的，承包人应立即通知监理人，监理人应立即通知发包人。发包人和承包人应立即组织人员和设备进行紧急抢救和抢修，减少人员伤亡和财产损失，防止事故扩大，并保护事故现场。需要移动现场物品时，应作出标记和书面记录，妥善保管有关证据。发包人和承包人应按国家有关规定，及时如实地向有关部门报告事故发生的情况，以及正在采取的紧急措施等。</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6.1.9 安全生产责任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6.1.9.1 发包人的安全责任</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发包人应负责赔偿以下各种情况造成的损失：</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（1）工程或工程的任何部分对土地的占用所造成的第三者财产损失；</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（2）由于发包人原因在施工场地及其毗邻地带造成的第三者人身伤亡和财产损失；</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（3）由于发包人原因对承包人、监理人造成的人员人身伤亡和财产损失；</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（4）由于发包人原因造成的发包人自身人员的人身伤害以及财产损失。</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6.1.9.2 承包人的安全责任</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由于承包人原因在施工场地内及其毗邻地带造成的发包人、监理人以及第三者人员伤亡和财产损失，由承包人负责赔偿。</w:t>
      </w:r>
    </w:p>
    <w:p>
      <w:pPr>
        <w:pStyle w:val="7"/>
        <w:spacing w:before="0" w:beforeAutospacing="0" w:after="0" w:afterAutospacing="0" w:line="360" w:lineRule="auto"/>
        <w:ind w:firstLine="422" w:firstLineChars="200"/>
        <w:rPr>
          <w:color w:val="auto"/>
          <w:sz w:val="21"/>
          <w:szCs w:val="21"/>
          <w:highlight w:val="none"/>
        </w:rPr>
      </w:pPr>
      <w:bookmarkStart w:id="550" w:name="_Toc532377226"/>
      <w:bookmarkStart w:id="551" w:name="_Toc351203540"/>
      <w:r>
        <w:rPr>
          <w:rFonts w:hint="eastAsia"/>
          <w:color w:val="auto"/>
          <w:sz w:val="21"/>
          <w:szCs w:val="21"/>
          <w:highlight w:val="none"/>
        </w:rPr>
        <w:t>6</w:t>
      </w:r>
      <w:bookmarkStart w:id="552" w:name="_Toc337558765"/>
      <w:r>
        <w:rPr>
          <w:rFonts w:hint="eastAsia"/>
          <w:color w:val="auto"/>
          <w:sz w:val="21"/>
          <w:szCs w:val="21"/>
          <w:highlight w:val="none"/>
        </w:rPr>
        <w:t>.2 职业健康</w:t>
      </w:r>
      <w:bookmarkEnd w:id="550"/>
      <w:bookmarkEnd w:id="551"/>
      <w:bookmarkEnd w:id="552"/>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6.2.1 劳动保护</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按照法律规定安排现场施工人员的劳动和休息时间，保障劳动者的休息时间，并支付合理的报酬和费用。承包人应依法为其履行合同所雇用的人员办理必要的证件、许可、保险和注册等，承包人应督促其分包人为分包人所雇用的人员办理必要的证件、许可、保险和注册等。</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按照法律规定保障现场施工人员的劳动安全，并提供劳动保护，并应按国家有关劳动保护的规定，采取有效的防止粉尘、降低噪声、控制有害气体和保障高温、高寒、高空作业安全等劳动保护措施。承包人雇佣人员在施工中受到伤害的，承包人应立即采取有效措施进行抢救和治疗。</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承包人应按法律规定安排工作时间，保证其雇佣人员享有休息和休假的权利。因工程施工的特殊需要占用休假日或延长工作时间的，应不超过法律规定的限度，并按法律规定给予补休或付酬。</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6.2.2 生活条件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承包人应为其履行合同所雇用的人员提供必要的膳宿条件和生活环境；承包人应采取有效措施预防传染病，保证施工人员的健康，并定期对施工现场、施工人员生活基地和工程进行防疫和卫生的专业检查和处理， 在远离城镇的施工场地，还应配备必要的伤病防治和急救的医务人员与医疗设施。</w:t>
      </w:r>
    </w:p>
    <w:p>
      <w:pPr>
        <w:pStyle w:val="7"/>
        <w:spacing w:before="0" w:beforeAutospacing="0" w:after="0" w:afterAutospacing="0" w:line="360" w:lineRule="auto"/>
        <w:ind w:firstLine="422" w:firstLineChars="200"/>
        <w:rPr>
          <w:color w:val="auto"/>
          <w:sz w:val="21"/>
          <w:szCs w:val="21"/>
          <w:highlight w:val="none"/>
        </w:rPr>
      </w:pPr>
      <w:bookmarkStart w:id="553" w:name="_Toc532377227"/>
      <w:bookmarkStart w:id="554" w:name="_Toc351203541"/>
      <w:r>
        <w:rPr>
          <w:rFonts w:hint="eastAsia"/>
          <w:color w:val="auto"/>
          <w:sz w:val="21"/>
          <w:szCs w:val="21"/>
          <w:highlight w:val="none"/>
        </w:rPr>
        <w:t>6</w:t>
      </w:r>
      <w:bookmarkStart w:id="555" w:name="_Toc337558766"/>
      <w:r>
        <w:rPr>
          <w:rFonts w:hint="eastAsia"/>
          <w:color w:val="auto"/>
          <w:sz w:val="21"/>
          <w:szCs w:val="21"/>
          <w:highlight w:val="none"/>
        </w:rPr>
        <w:t>.3 环境保护</w:t>
      </w:r>
      <w:bookmarkEnd w:id="553"/>
      <w:bookmarkEnd w:id="554"/>
      <w:bookmarkEnd w:id="555"/>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承包人应在施工组织设计中列明环境保护的具体措施。在合同履行期间，承包人应采取合理措施保护施工现场环境。对施工作业过程中可能引起的大气、水、噪音以及固体废物污染采取具体可行的防范措施。</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承包人应当承担因其原因引起的环境污染侵权损害赔偿责任，因上述环境污染引起纠纷而导致暂停施工的，由此增加的费用和（或）延误的工期由承包人承担。</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556" w:name="_Toc351203542"/>
      <w:bookmarkStart w:id="557" w:name="_Toc532377228"/>
      <w:bookmarkStart w:id="558" w:name="_Toc532375593"/>
      <w:r>
        <w:rPr>
          <w:rFonts w:hint="eastAsia"/>
          <w:color w:val="auto"/>
          <w:kern w:val="2"/>
          <w:sz w:val="21"/>
          <w:szCs w:val="21"/>
          <w:highlight w:val="none"/>
        </w:rPr>
        <w:t>7</w:t>
      </w:r>
      <w:bookmarkStart w:id="559" w:name="_Toc337558767"/>
      <w:r>
        <w:rPr>
          <w:rFonts w:hint="eastAsia"/>
          <w:color w:val="auto"/>
          <w:kern w:val="2"/>
          <w:sz w:val="21"/>
          <w:szCs w:val="21"/>
          <w:highlight w:val="none"/>
        </w:rPr>
        <w:t>. 工期和进度</w:t>
      </w:r>
      <w:bookmarkEnd w:id="556"/>
      <w:bookmarkEnd w:id="557"/>
      <w:bookmarkEnd w:id="558"/>
      <w:bookmarkEnd w:id="559"/>
    </w:p>
    <w:p>
      <w:pPr>
        <w:pStyle w:val="7"/>
        <w:spacing w:before="0" w:beforeAutospacing="0" w:after="0" w:afterAutospacing="0" w:line="360" w:lineRule="auto"/>
        <w:ind w:firstLine="422" w:firstLineChars="200"/>
        <w:rPr>
          <w:color w:val="auto"/>
          <w:sz w:val="21"/>
          <w:szCs w:val="21"/>
          <w:highlight w:val="none"/>
        </w:rPr>
      </w:pPr>
      <w:bookmarkStart w:id="560" w:name="_Toc532377229"/>
      <w:bookmarkStart w:id="561" w:name="_Toc351203543"/>
      <w:r>
        <w:rPr>
          <w:rFonts w:hint="eastAsia"/>
          <w:color w:val="auto"/>
          <w:sz w:val="21"/>
          <w:szCs w:val="21"/>
          <w:highlight w:val="none"/>
        </w:rPr>
        <w:t>7</w:t>
      </w:r>
      <w:bookmarkStart w:id="562" w:name="_Toc337558768"/>
      <w:bookmarkStart w:id="563" w:name="_Toc296503066"/>
      <w:bookmarkStart w:id="564" w:name="_Toc296346567"/>
      <w:r>
        <w:rPr>
          <w:rFonts w:hint="eastAsia"/>
          <w:color w:val="auto"/>
          <w:sz w:val="21"/>
          <w:szCs w:val="21"/>
          <w:highlight w:val="none"/>
        </w:rPr>
        <w:t>.1施工组织设计</w:t>
      </w:r>
      <w:bookmarkEnd w:id="560"/>
      <w:bookmarkEnd w:id="561"/>
      <w:bookmarkEnd w:id="562"/>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7.1.1 施工组织设计的内容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施工组织设计应包含以下内容：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（1）施工方案； </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（2）施工现场平面布置图；</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（3）施工进度计划和保证措施； </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（4）劳动力及材料供应计划；</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（5）施工机械设备的选用；</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（6）质量保证体系及措施；</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（7）安全生产、文明施工措施；</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（8）环境保护、成本控制措施；</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（9）合同当事人约定的其他内容。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7.1.2 施工组织设计的提交和修改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承包人应在合同签订后14天内，但至迟不得晚于第7.3.2项〔开工通知〕载明的开工日期前7天，向监理人提交详细的施工组织设计，并由监理人报送发包人。除专用合同条款另有约定外，发包人和监理人应在监理人收到施工组织设计后7天内确认或提出修改意见。对发包人和监理人提出的合理意见和要求，承包人应自费修改完善。根据工程实际情况需要修改施工组织设计的，承包人应向发包人和监理人提交修改后的施工组织设计。</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施工进度计划的编制和修改按照第7.2款〔施工进度计划〕执行。</w:t>
      </w:r>
    </w:p>
    <w:p>
      <w:pPr>
        <w:pStyle w:val="7"/>
        <w:spacing w:before="0" w:beforeAutospacing="0" w:after="0" w:afterAutospacing="0" w:line="360" w:lineRule="auto"/>
        <w:ind w:firstLine="422" w:firstLineChars="200"/>
        <w:rPr>
          <w:color w:val="auto"/>
          <w:sz w:val="21"/>
          <w:szCs w:val="21"/>
          <w:highlight w:val="none"/>
        </w:rPr>
      </w:pPr>
      <w:bookmarkStart w:id="565" w:name="_Toc351203544"/>
      <w:bookmarkStart w:id="566" w:name="_Toc532377230"/>
      <w:r>
        <w:rPr>
          <w:rFonts w:hint="eastAsia"/>
          <w:color w:val="auto"/>
          <w:sz w:val="21"/>
          <w:szCs w:val="21"/>
          <w:highlight w:val="none"/>
        </w:rPr>
        <w:t>7</w:t>
      </w:r>
      <w:bookmarkStart w:id="567" w:name="_Toc337558769"/>
      <w:r>
        <w:rPr>
          <w:rFonts w:hint="eastAsia"/>
          <w:color w:val="auto"/>
          <w:sz w:val="21"/>
          <w:szCs w:val="21"/>
          <w:highlight w:val="none"/>
        </w:rPr>
        <w:t>.2 施工进度计划</w:t>
      </w:r>
      <w:bookmarkEnd w:id="565"/>
      <w:bookmarkEnd w:id="566"/>
      <w:bookmarkEnd w:id="567"/>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7.2.1 施工进度计划的编制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按照第7.1款〔施工组织设计〕约定提交详细的施工进度计划，施工进度计划的编制应当符合国家法律规定和一般工程实践惯例，施工进度计划经发包人批准后实施。施工进度计划是控制工程进度的依据，发包人和监理人有权按照施工进度计划检查工程进度情况。</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7.2.2 施工进度计划的修订</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施工进度计划不符合合同要求或与工程的实际进度不一致的，承包人应向监理人提交修订的施工进度计划，并附具有关措施和相关资料，由监理人报送发包人。除专用合同条款另有约定外，发包人和监理人应在收到修订的施工进度计划后7天内完成审核和批准或提出修改意见。发包人和监理人对承包人提交的施工进度计划的确认，不能减轻或免除承包人根据法律规定和合同约定应承担的任何责任或义务。</w:t>
      </w:r>
    </w:p>
    <w:p>
      <w:pPr>
        <w:pStyle w:val="7"/>
        <w:spacing w:before="0" w:beforeAutospacing="0" w:after="0" w:afterAutospacing="0" w:line="360" w:lineRule="auto"/>
        <w:ind w:firstLine="422" w:firstLineChars="200"/>
        <w:rPr>
          <w:color w:val="auto"/>
          <w:sz w:val="21"/>
          <w:szCs w:val="21"/>
          <w:highlight w:val="none"/>
        </w:rPr>
      </w:pPr>
      <w:bookmarkStart w:id="568" w:name="_Toc351203545"/>
      <w:bookmarkStart w:id="569" w:name="_Toc532377231"/>
      <w:r>
        <w:rPr>
          <w:rFonts w:hint="eastAsia"/>
          <w:color w:val="auto"/>
          <w:sz w:val="21"/>
          <w:szCs w:val="21"/>
          <w:highlight w:val="none"/>
        </w:rPr>
        <w:t>7</w:t>
      </w:r>
      <w:bookmarkStart w:id="570" w:name="_Toc337558770"/>
      <w:r>
        <w:rPr>
          <w:rFonts w:hint="eastAsia"/>
          <w:color w:val="auto"/>
          <w:sz w:val="21"/>
          <w:szCs w:val="21"/>
          <w:highlight w:val="none"/>
        </w:rPr>
        <w:t>.3 开工</w:t>
      </w:r>
      <w:bookmarkEnd w:id="568"/>
      <w:bookmarkEnd w:id="569"/>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7.3.1 开工准备</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承包人应按照第7.1款〔施工组织设计〕约定的期限，向监理人提交工程开工报审表，经监理人报发包人批准后执行。开工报审表应详细说明按施工进度计划正常施工所需的施工道路、临时设施、材料、工程设备、施工设备、施工人员等落实情况以及工程的进度安排。</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除专用合同条款另有约定外，合同当事人应按约定完成开工准备工作。</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7.3.2 开工通知</w:t>
      </w:r>
      <w:bookmarkEnd w:id="570"/>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发包人应按照法律规定获得工程施工所需的许可。经发包人同意后，监理人发出的开工通知应符合法律规定。监理人应在计划开工日期7天前向承包人发出开工通知，工期自开工通知中载明的开工日期起算。</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因发包人原因造成监理人未能在计划开工日期之日起90天内发出开工通知的，承包人有权提出价格调整要求，或者解除合同。发包人应当承担由此增加的费用和（或）延误的工期，并向承包人支付合理利润。</w:t>
      </w:r>
    </w:p>
    <w:p>
      <w:pPr>
        <w:pStyle w:val="7"/>
        <w:spacing w:before="0" w:beforeAutospacing="0" w:after="0" w:afterAutospacing="0" w:line="360" w:lineRule="auto"/>
        <w:ind w:firstLine="422" w:firstLineChars="200"/>
        <w:rPr>
          <w:color w:val="auto"/>
          <w:sz w:val="21"/>
          <w:szCs w:val="21"/>
          <w:highlight w:val="none"/>
        </w:rPr>
      </w:pPr>
      <w:bookmarkStart w:id="571" w:name="_Toc351203546"/>
      <w:bookmarkStart w:id="572" w:name="_Toc532377232"/>
      <w:r>
        <w:rPr>
          <w:rFonts w:hint="eastAsia"/>
          <w:color w:val="auto"/>
          <w:sz w:val="21"/>
          <w:szCs w:val="21"/>
          <w:highlight w:val="none"/>
        </w:rPr>
        <w:t>7.4测量放线</w:t>
      </w:r>
      <w:bookmarkEnd w:id="571"/>
      <w:bookmarkEnd w:id="572"/>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7.4.1 除专用合同条款另有约定外，发包人应在至迟不得晚于第7.3.2项〔开工通知〕载明的开工日期前7天通过监理人向承包人提供测量基准点、基准线和水准点及其书面资料。发包人应对其提供的测量基准点、基准线和水准点及其书面资料的真实性、准确性和完整性负责。</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发现发包人提供的测量基准点、基准线和水准点及其书面资料存在错误或疏漏的，应及时通知监理人。监理人应及时报告发包人，并会同发包人和承包人予以核实。发包人应就如何处理和是否继续施工作出决定，并通知监理人和承包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7.4.2 承包人负责施工过程中的全部施工测量放线工作，并配置具有相应资质的人员、合格的仪器、设备和其他物品。承包人应矫正工程的位置、标高、尺寸或准线中出现的任何差错，并对工程各部分的定位负责。</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施工过程中对施工现场内水准点等测量标志物的保护工作由承包人负责。</w:t>
      </w:r>
      <w:bookmarkStart w:id="573" w:name="_Toc351203547"/>
    </w:p>
    <w:p>
      <w:pPr>
        <w:pStyle w:val="7"/>
        <w:spacing w:before="0" w:beforeAutospacing="0" w:after="0" w:afterAutospacing="0" w:line="360" w:lineRule="auto"/>
        <w:ind w:firstLine="422" w:firstLineChars="200"/>
        <w:rPr>
          <w:color w:val="auto"/>
          <w:sz w:val="21"/>
          <w:szCs w:val="21"/>
          <w:highlight w:val="none"/>
        </w:rPr>
      </w:pPr>
      <w:bookmarkStart w:id="574" w:name="_Toc532377233"/>
      <w:r>
        <w:rPr>
          <w:rFonts w:hint="eastAsia"/>
          <w:color w:val="auto"/>
          <w:sz w:val="21"/>
          <w:szCs w:val="21"/>
          <w:highlight w:val="none"/>
        </w:rPr>
        <w:t>7</w:t>
      </w:r>
      <w:bookmarkEnd w:id="563"/>
      <w:bookmarkEnd w:id="564"/>
      <w:bookmarkStart w:id="575" w:name="_Toc296346574"/>
      <w:bookmarkStart w:id="576" w:name="_Toc296503073"/>
      <w:bookmarkStart w:id="577" w:name="_Toc337558772"/>
      <w:r>
        <w:rPr>
          <w:rFonts w:hint="eastAsia"/>
          <w:color w:val="auto"/>
          <w:sz w:val="21"/>
          <w:szCs w:val="21"/>
          <w:highlight w:val="none"/>
        </w:rPr>
        <w:t>.5 工期延误</w:t>
      </w:r>
      <w:bookmarkEnd w:id="573"/>
      <w:bookmarkEnd w:id="574"/>
      <w:bookmarkEnd w:id="575"/>
      <w:bookmarkEnd w:id="576"/>
      <w:bookmarkEnd w:id="577"/>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7.5.1 因发包人原因导致工期延误</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在合同履行过程中，因下列情况导致工期延误和（或）费用增加的，由发包人承担由此延误的工期和（或）增加的费用，且发包人应支付承包人合理的利润： </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（1）发包人未能按合同约定提供图纸或所提供图纸不符合合同约定的；</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（2）发包人未能按合同约定提供施工现场、施工条件、基础资料、许可、批准等开工条件的；</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（3）发包人提供的测量基准点、基准线和水准点及其书面资料存在错误或疏漏的；</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（4）发包人未能在计划开工日期之日起7天内同意下达开工通知的；</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（5）发包人未能按合同约定日期支付工程预付款、进度款或竣工结算款的；</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（6）监理人未按合同约定发出指示、批准等文件的；</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（7）专用合同条款中约定的其他情形。</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发包人原因未按计划开工日期开工的，发包人应按实际开工日期顺延竣工日期，确保实际工期不低于合同约定的工期总日历天数。因发包人原因导致工期延误需要修订施工进度计划的，按照第7.2.2项〔施工进度计划的修订〕执行。</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7.5.2 因承包人原因导致工期延误</w:t>
      </w:r>
    </w:p>
    <w:p>
      <w:pPr>
        <w:autoSpaceDE w:val="0"/>
        <w:autoSpaceDN w:val="0"/>
        <w:spacing w:line="360" w:lineRule="auto"/>
        <w:ind w:firstLine="420" w:firstLineChars="200"/>
        <w:jc w:val="left"/>
        <w:rPr>
          <w:rFonts w:ascii="宋体" w:hAnsi="宋体"/>
          <w:color w:val="auto"/>
          <w:kern w:val="0"/>
          <w:szCs w:val="21"/>
          <w:highlight w:val="none"/>
        </w:rPr>
      </w:pPr>
      <w:bookmarkStart w:id="578" w:name="_Toc296346577"/>
      <w:bookmarkStart w:id="579" w:name="_Toc296503076"/>
      <w:r>
        <w:rPr>
          <w:rFonts w:hint="eastAsia" w:ascii="宋体" w:hAnsi="宋体"/>
          <w:color w:val="auto"/>
          <w:kern w:val="0"/>
          <w:szCs w:val="21"/>
          <w:highlight w:val="none"/>
        </w:rPr>
        <w:t>因</w:t>
      </w:r>
      <w:bookmarkEnd w:id="578"/>
      <w:bookmarkEnd w:id="579"/>
      <w:r>
        <w:rPr>
          <w:rFonts w:hint="eastAsia" w:ascii="宋体" w:hAnsi="宋体"/>
          <w:color w:val="auto"/>
          <w:kern w:val="0"/>
          <w:szCs w:val="21"/>
          <w:highlight w:val="none"/>
        </w:rPr>
        <w:t>承包人原因造成工期延误的，可以在专用合同条款中约定逾期竣工违约金的计算方法和逾期竣工违约金的上限。承包人支付逾期竣工违约金后，不免除承包人继续完成工程及修补缺陷的义务。</w:t>
      </w:r>
    </w:p>
    <w:p>
      <w:pPr>
        <w:pStyle w:val="7"/>
        <w:spacing w:before="0" w:beforeAutospacing="0" w:after="0" w:afterAutospacing="0" w:line="360" w:lineRule="auto"/>
        <w:ind w:firstLine="422" w:firstLineChars="200"/>
        <w:rPr>
          <w:color w:val="auto"/>
          <w:sz w:val="21"/>
          <w:szCs w:val="21"/>
          <w:highlight w:val="none"/>
        </w:rPr>
      </w:pPr>
      <w:bookmarkStart w:id="580" w:name="_Toc532377234"/>
      <w:bookmarkStart w:id="581" w:name="_Toc351203548"/>
      <w:r>
        <w:rPr>
          <w:rFonts w:hint="eastAsia"/>
          <w:color w:val="auto"/>
          <w:sz w:val="21"/>
          <w:szCs w:val="21"/>
          <w:highlight w:val="none"/>
        </w:rPr>
        <w:t>7</w:t>
      </w:r>
      <w:bookmarkStart w:id="582" w:name="_Toc296503074"/>
      <w:bookmarkStart w:id="583" w:name="_Toc296346575"/>
      <w:bookmarkStart w:id="584" w:name="_Toc337558773"/>
      <w:bookmarkStart w:id="585" w:name="_Toc296503077"/>
      <w:bookmarkStart w:id="586" w:name="_Toc296346578"/>
      <w:r>
        <w:rPr>
          <w:rFonts w:hint="eastAsia"/>
          <w:color w:val="auto"/>
          <w:sz w:val="21"/>
          <w:szCs w:val="21"/>
          <w:highlight w:val="none"/>
        </w:rPr>
        <w:t>.6 不利物质条件</w:t>
      </w:r>
      <w:bookmarkEnd w:id="580"/>
      <w:bookmarkEnd w:id="581"/>
      <w:bookmarkEnd w:id="582"/>
      <w:bookmarkEnd w:id="583"/>
      <w:bookmarkEnd w:id="584"/>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不利物质条件是指有经验的承包人在施工现场遇到的不可预见的自然物质条件、非自然的物质障碍和污染物，包括地表以下物质条件和水文条件以及专用合同条款约定的其他情形，但不包括气候条件。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遇到不利物质条件时，应采取克服不利物质条件的合理措施继续施工，并及时通知发包人和监理人。通知应载明不利物质条件的内容以及承包人认为不可预见的理由。监理人经发包人同意后应当及时发出指示，指示构成变更的，按第10条〔变更〕约定执行。承包人因采取合理措施而增加的费用和（或）延误的工期由发包人承担。</w:t>
      </w:r>
    </w:p>
    <w:p>
      <w:pPr>
        <w:pStyle w:val="7"/>
        <w:spacing w:before="0" w:beforeAutospacing="0" w:after="0" w:afterAutospacing="0" w:line="360" w:lineRule="auto"/>
        <w:ind w:firstLine="422" w:firstLineChars="200"/>
        <w:rPr>
          <w:color w:val="auto"/>
          <w:sz w:val="21"/>
          <w:szCs w:val="21"/>
          <w:highlight w:val="none"/>
        </w:rPr>
      </w:pPr>
      <w:bookmarkStart w:id="587" w:name="_Toc532377235"/>
      <w:bookmarkStart w:id="588" w:name="_Toc351203549"/>
      <w:r>
        <w:rPr>
          <w:rFonts w:hint="eastAsia"/>
          <w:color w:val="auto"/>
          <w:sz w:val="21"/>
          <w:szCs w:val="21"/>
          <w:highlight w:val="none"/>
        </w:rPr>
        <w:t>7</w:t>
      </w:r>
      <w:bookmarkStart w:id="589" w:name="_Toc296503075"/>
      <w:bookmarkStart w:id="590" w:name="_Toc296346576"/>
      <w:bookmarkStart w:id="591" w:name="_Toc337558774"/>
      <w:r>
        <w:rPr>
          <w:rFonts w:hint="eastAsia"/>
          <w:color w:val="auto"/>
          <w:sz w:val="21"/>
          <w:szCs w:val="21"/>
          <w:highlight w:val="none"/>
        </w:rPr>
        <w:t>.7 异常恶劣的气候条件</w:t>
      </w:r>
      <w:bookmarkEnd w:id="587"/>
      <w:bookmarkEnd w:id="588"/>
      <w:bookmarkEnd w:id="589"/>
      <w:bookmarkEnd w:id="590"/>
      <w:bookmarkEnd w:id="591"/>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异常恶劣的气候条件是指在施工过程中遇到的，有经验的承包人在签订合同时不可预见的，对合同履行造成实质性影响的，但尚未构成不可抗力事件的恶劣气候条件。合同当事人可以在专用合同条款中约定异常恶劣的气候条件的具体情形。</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采取克服异常恶劣的气候条件的合理措施继续施工，并及时通知发包人和监理人。监理人经发包人同意后应当及时发出指示，指示构成变更的，按第10条〔变更〕约定办理。承包人因采取合理措施而增加的费用和（或）延误的工期由发包人承担。</w:t>
      </w:r>
      <w:bookmarkStart w:id="592" w:name="_Toc351203550"/>
    </w:p>
    <w:p>
      <w:pPr>
        <w:pStyle w:val="7"/>
        <w:spacing w:before="0" w:beforeAutospacing="0" w:after="0" w:afterAutospacing="0" w:line="360" w:lineRule="auto"/>
        <w:ind w:firstLine="422" w:firstLineChars="200"/>
        <w:rPr>
          <w:color w:val="auto"/>
          <w:sz w:val="21"/>
          <w:szCs w:val="21"/>
          <w:highlight w:val="none"/>
        </w:rPr>
      </w:pPr>
      <w:bookmarkStart w:id="593" w:name="_Toc532377236"/>
      <w:r>
        <w:rPr>
          <w:rFonts w:hint="eastAsia"/>
          <w:color w:val="auto"/>
          <w:sz w:val="21"/>
          <w:szCs w:val="21"/>
          <w:highlight w:val="none"/>
        </w:rPr>
        <w:t>7</w:t>
      </w:r>
      <w:bookmarkStart w:id="594" w:name="_Toc337558775"/>
      <w:r>
        <w:rPr>
          <w:rFonts w:hint="eastAsia"/>
          <w:color w:val="auto"/>
          <w:sz w:val="21"/>
          <w:szCs w:val="21"/>
          <w:highlight w:val="none"/>
        </w:rPr>
        <w:t>.8 暂停施工</w:t>
      </w:r>
      <w:bookmarkEnd w:id="585"/>
      <w:bookmarkEnd w:id="586"/>
      <w:bookmarkEnd w:id="592"/>
      <w:bookmarkEnd w:id="593"/>
      <w:bookmarkEnd w:id="594"/>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7.8.1发包人原因引起的暂停施工</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因发包人原因引起暂停施工的，监理人经发包人同意后，应及时下达暂停施工指示。情况紧急且监理人未及时下达暂停施工指示的，按照第7.8.4项〔紧急情况下的暂停施工〕执行。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因发包人原因引起的暂停施工，发包人应承担由此增加的费用和（或）延误的工期，并支付承包人合理的利润。</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7.8.2 承包人原因引起的暂停施工</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承包人原因引起的暂停施工，承包人应承担由此增加的费用和（或）延误的工期，且承包人在收到监理人复工指示后84天内仍未复工的，视为第16.2.1项〔承包人违约的情形〕第（7）目约定的承包人无法继续履行合同的情形。</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7.8.3 指示暂停施工</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监理人认为有必要时，并经发包人批准后，可向承包人作出暂停施工的指示，承包人应按监理人指示暂停施工。</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7.8.4 紧急情况下的暂停施工</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紧急情况需暂停施工，且监理人未及时下达暂停施工指示的，承包人可先暂停施工，并及时通知监理人。监理人应在接到通知后24小时内发出指示，逾期未发出指示，视为同意承包人暂停施工。监理人不同意承包人暂停施工的，应说明理由，承包人对监理人的答复有异议，按照第20条〔争议解决〕约定处理。</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7.8.5 暂停施工后的复工</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暂停施工后，发包人和承包人应采取有效措施积极消除暂停施工的影响。在工程复工前，监理人会同发包人和承包人确定因暂停施工造成的损失，并确定工程复工条件。当工程具备复工条件时，监理人应经发包人批准后向承包人发出复工通知，承包人应按照复工通知要求复工。</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承包人无故拖延和拒绝复工的，承包人承担由此增加的费用和（或）延误的工期；因发包人原因无法按时复工的，按照第7.5.1项〔因发包人原因导致工期延误〕约定办理。</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7.8.6 暂停施工持续56天以上</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监理人发出暂停施工指示后56天内未向承包人发出复工通知，除该项停工属于第7.8.2项〔承包人原因引起的暂停施工〕及第17条〔不可抗力〕约定的情形外，承包人可向发包人提交书面通知，要求发包人在收到书面通知后28天内准许已暂停施工的部分或全部工程继续施工。发包人逾期不予批准的，则承包人可以通知发包人，将工程受影响的部分视为按第10.1款〔变更的范围〕第（2）项的可取消工作。</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暂停施工持续84天以上不复工的，且不属于第7.8.2项〔承包人原因引起的暂停施工〕及第17条〔不可抗力〕约定的情形，并影响到整个工程以及合同目的实现的，承包人有权提出价格调整要求，或者解除合同。解除合同的，按照第16.1.3项〔因发包人违约解除合同〕执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7.8.7 暂停施工期间的工程照管</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暂停施工期间，承包人应负责妥善照管工程并提供安全保障，由此增加的费用由责任方承担。</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7.8.8 暂停施工的措施</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暂停施工期间，发包人和承包人均应采取必要的措施确保工程质量及安全，防止因暂停施工扩大损失。</w:t>
      </w:r>
    </w:p>
    <w:p>
      <w:pPr>
        <w:pStyle w:val="7"/>
        <w:spacing w:before="0" w:beforeAutospacing="0" w:after="0" w:afterAutospacing="0" w:line="360" w:lineRule="auto"/>
        <w:ind w:firstLine="422" w:firstLineChars="200"/>
        <w:rPr>
          <w:color w:val="auto"/>
          <w:sz w:val="21"/>
          <w:szCs w:val="21"/>
          <w:highlight w:val="none"/>
        </w:rPr>
      </w:pPr>
      <w:bookmarkStart w:id="595" w:name="_Toc532377237"/>
      <w:bookmarkStart w:id="596" w:name="_Toc351203551"/>
      <w:r>
        <w:rPr>
          <w:rFonts w:hint="eastAsia"/>
          <w:color w:val="auto"/>
          <w:sz w:val="21"/>
          <w:szCs w:val="21"/>
          <w:highlight w:val="none"/>
        </w:rPr>
        <w:t>7.9提前竣工</w:t>
      </w:r>
      <w:bookmarkEnd w:id="595"/>
      <w:bookmarkEnd w:id="596"/>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7.9.1 发包人要求承包人提前竣工的，发包人应通过监理人向承包人下达提前竣工指示，承包人应向发包人和监理人提交提前竣工建议书，提前竣工建议书应包括实施的方案、缩短的时间、增加的合同价格等内容。发包人接受该提前竣工建议书的，监理人应与发包人和承包人协商采取加快工程进度的措施，并修订施工进度计划，由此增加的费用由发包人承担。承包人认为提前竣工指示无法执行的，应向监理人和发包人提出书面异议，发包人和监理人应在收到异议后7天内予以答复。任何情况下，发包人不得压缩合理工期。</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7.9.2 发包人要求承包人提前竣工，或承包人提出提前竣工的建议能够给发包人带来效益的，合同当事人可以在专用合同条款中约定提前竣工的奖励。</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597" w:name="_Toc532377238"/>
      <w:bookmarkStart w:id="598" w:name="_Toc532375594"/>
      <w:bookmarkStart w:id="599" w:name="_Toc351203552"/>
      <w:r>
        <w:rPr>
          <w:rFonts w:hint="eastAsia"/>
          <w:color w:val="auto"/>
          <w:kern w:val="2"/>
          <w:sz w:val="21"/>
          <w:szCs w:val="21"/>
          <w:highlight w:val="none"/>
        </w:rPr>
        <w:t>8</w:t>
      </w:r>
      <w:bookmarkStart w:id="600" w:name="_Toc337558776"/>
      <w:bookmarkStart w:id="601" w:name="_Toc296346559"/>
      <w:bookmarkStart w:id="602" w:name="_Toc296503058"/>
      <w:r>
        <w:rPr>
          <w:rFonts w:hint="eastAsia"/>
          <w:color w:val="auto"/>
          <w:kern w:val="2"/>
          <w:sz w:val="21"/>
          <w:szCs w:val="21"/>
          <w:highlight w:val="none"/>
        </w:rPr>
        <w:t>. 材料与设备</w:t>
      </w:r>
      <w:bookmarkEnd w:id="597"/>
      <w:bookmarkEnd w:id="598"/>
      <w:bookmarkEnd w:id="599"/>
      <w:bookmarkEnd w:id="600"/>
      <w:bookmarkEnd w:id="601"/>
      <w:bookmarkEnd w:id="602"/>
    </w:p>
    <w:p>
      <w:pPr>
        <w:pStyle w:val="7"/>
        <w:spacing w:before="0" w:beforeAutospacing="0" w:after="0" w:afterAutospacing="0" w:line="360" w:lineRule="auto"/>
        <w:ind w:firstLine="422" w:firstLineChars="200"/>
        <w:rPr>
          <w:color w:val="auto"/>
          <w:sz w:val="21"/>
          <w:szCs w:val="21"/>
          <w:highlight w:val="none"/>
        </w:rPr>
      </w:pPr>
      <w:bookmarkStart w:id="603" w:name="_Toc351203553"/>
      <w:bookmarkStart w:id="604" w:name="_Toc532377239"/>
      <w:r>
        <w:rPr>
          <w:rFonts w:hint="eastAsia"/>
          <w:color w:val="auto"/>
          <w:sz w:val="21"/>
          <w:szCs w:val="21"/>
          <w:highlight w:val="none"/>
        </w:rPr>
        <w:t>8</w:t>
      </w:r>
      <w:bookmarkStart w:id="605" w:name="_Toc296503059"/>
      <w:bookmarkStart w:id="606" w:name="_Toc337558777"/>
      <w:bookmarkStart w:id="607" w:name="_Toc296346560"/>
      <w:bookmarkStart w:id="608" w:name="_Toc468936960"/>
      <w:r>
        <w:rPr>
          <w:rFonts w:hint="eastAsia"/>
          <w:color w:val="auto"/>
          <w:sz w:val="21"/>
          <w:szCs w:val="21"/>
          <w:highlight w:val="none"/>
        </w:rPr>
        <w:t>.1发包人供应材料与工程设备</w:t>
      </w:r>
      <w:bookmarkEnd w:id="603"/>
      <w:bookmarkEnd w:id="604"/>
      <w:bookmarkEnd w:id="605"/>
      <w:bookmarkEnd w:id="606"/>
      <w:bookmarkEnd w:id="607"/>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发包人自行供应材料、工程设备的，应在签订合同时在专用合同条款的附件《发包人供应材料设备一览表》中明确材料、工程设备的品种、规格、型号、数量、单价、质量等级和送达地点。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提前30天通过监理人以书面形式通知发包人供应材料与工程设备进场。承包人按照第7.2.2项〔施工进度计划的修订〕约定修订施工进度计划时，需同时提交经修订后的发包人供应材料与工程设备的进场计划。</w:t>
      </w:r>
    </w:p>
    <w:p>
      <w:pPr>
        <w:pStyle w:val="7"/>
        <w:spacing w:before="0" w:beforeAutospacing="0" w:after="0" w:afterAutospacing="0" w:line="360" w:lineRule="auto"/>
        <w:ind w:firstLine="422" w:firstLineChars="200"/>
        <w:rPr>
          <w:color w:val="auto"/>
          <w:sz w:val="21"/>
          <w:szCs w:val="21"/>
          <w:highlight w:val="none"/>
        </w:rPr>
      </w:pPr>
      <w:bookmarkStart w:id="609" w:name="_Toc532377240"/>
      <w:r>
        <w:rPr>
          <w:rFonts w:hint="eastAsia"/>
          <w:color w:val="auto"/>
          <w:sz w:val="21"/>
          <w:szCs w:val="21"/>
          <w:highlight w:val="none"/>
        </w:rPr>
        <w:t>8.2承包人采购材料与工程设备</w:t>
      </w:r>
      <w:bookmarkEnd w:id="609"/>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负责采购材料、工程设备的，应按照设计和有关标准要求采购，并提供产品合格证明及出厂证明，对材料、工程设备质量负责。合同约定由承包人采购的材料、工程设备，发包人不得指定生产厂家或供应商，发包人违反本款约定指定生产厂家或供应商的，承包人有权拒绝，并由发包人承担相应责任。</w:t>
      </w:r>
    </w:p>
    <w:p>
      <w:pPr>
        <w:pStyle w:val="7"/>
        <w:spacing w:before="0" w:beforeAutospacing="0" w:after="0" w:afterAutospacing="0" w:line="360" w:lineRule="auto"/>
        <w:ind w:firstLine="422" w:firstLineChars="200"/>
        <w:rPr>
          <w:color w:val="auto"/>
          <w:sz w:val="21"/>
          <w:szCs w:val="21"/>
          <w:highlight w:val="none"/>
        </w:rPr>
      </w:pPr>
      <w:bookmarkStart w:id="610" w:name="_Toc532377241"/>
      <w:bookmarkStart w:id="611" w:name="_Toc351203555"/>
      <w:r>
        <w:rPr>
          <w:rFonts w:hint="eastAsia"/>
          <w:color w:val="auto"/>
          <w:sz w:val="21"/>
          <w:szCs w:val="21"/>
          <w:highlight w:val="none"/>
        </w:rPr>
        <w:t>8</w:t>
      </w:r>
      <w:bookmarkStart w:id="612" w:name="_Toc296503061"/>
      <w:bookmarkStart w:id="613" w:name="_Toc337558779"/>
      <w:bookmarkStart w:id="614" w:name="_Toc296346562"/>
      <w:r>
        <w:rPr>
          <w:rFonts w:hint="eastAsia"/>
          <w:color w:val="auto"/>
          <w:sz w:val="21"/>
          <w:szCs w:val="21"/>
          <w:highlight w:val="none"/>
        </w:rPr>
        <w:t>.3材料与工程设备的接收与拒收</w:t>
      </w:r>
      <w:bookmarkEnd w:id="610"/>
      <w:bookmarkEnd w:id="611"/>
      <w:bookmarkEnd w:id="612"/>
      <w:bookmarkEnd w:id="613"/>
      <w:bookmarkEnd w:id="614"/>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8.3.1 发包人应按《发包人供应材料设备一览表》约定的内容提供材料和工程设备，并向承包人提供产品合格证明及出厂证明，对其质量负责。发包人应提前24小时以书面形式通知承包人、监理人材料和工程设备到货时间，承包人负责材料和工程设备的清点、检验和接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发包人提供的材料和工程设备的规格、数量或质量不符合合同约定的，或因发包人原因导致交货日期延误或交货地点变更等情况的，按照第16.1款〔发包人违约〕约定办理。</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8.3.2 承包人采购的材料和工程设备，应保证产品质量合格，承包人应在材料和工程设备到货前24小时通知监理人检验。承</w:t>
      </w:r>
      <w:bookmarkStart w:id="615" w:name="_Toc250655469"/>
      <w:r>
        <w:rPr>
          <w:rFonts w:hint="eastAsia" w:ascii="宋体" w:hAnsi="宋体"/>
          <w:color w:val="auto"/>
          <w:kern w:val="0"/>
          <w:szCs w:val="21"/>
          <w:highlight w:val="none"/>
        </w:rPr>
        <w:t>包人进行永久设备、材料的制造和生产的，应符合相关质量标准，并向监理人提交材料的样本以及有关资料，并应在使用该材料或工程设备之前获得监理人同意。</w:t>
      </w:r>
      <w:bookmarkEnd w:id="615"/>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 承包人采购的材料和工程设备不符合设计或有关标准要求时，承包人应在监理人要求的合理期限内将不符合设计或有关标准要求的材料、工程设备运出施工现场，并重新采购符合要求的材料、工程设备，由此增加的费用和（或）延误的工期，由承包人承担。</w:t>
      </w:r>
    </w:p>
    <w:p>
      <w:pPr>
        <w:pStyle w:val="7"/>
        <w:spacing w:before="0" w:beforeAutospacing="0" w:after="0" w:afterAutospacing="0" w:line="360" w:lineRule="auto"/>
        <w:ind w:firstLine="422" w:firstLineChars="200"/>
        <w:rPr>
          <w:color w:val="auto"/>
          <w:sz w:val="21"/>
          <w:szCs w:val="21"/>
          <w:highlight w:val="none"/>
        </w:rPr>
      </w:pPr>
      <w:bookmarkStart w:id="616" w:name="_Toc532377242"/>
      <w:bookmarkStart w:id="617" w:name="_Toc351203556"/>
      <w:r>
        <w:rPr>
          <w:rFonts w:hint="eastAsia"/>
          <w:color w:val="auto"/>
          <w:sz w:val="21"/>
          <w:szCs w:val="21"/>
          <w:highlight w:val="none"/>
        </w:rPr>
        <w:t>8</w:t>
      </w:r>
      <w:bookmarkStart w:id="618" w:name="_Toc296503062"/>
      <w:bookmarkStart w:id="619" w:name="_Toc337558780"/>
      <w:bookmarkStart w:id="620" w:name="_Toc296346563"/>
      <w:r>
        <w:rPr>
          <w:rFonts w:hint="eastAsia"/>
          <w:color w:val="auto"/>
          <w:sz w:val="21"/>
          <w:szCs w:val="21"/>
          <w:highlight w:val="none"/>
        </w:rPr>
        <w:t>.4材料与工程设备的保管与使用</w:t>
      </w:r>
      <w:bookmarkEnd w:id="616"/>
      <w:bookmarkEnd w:id="617"/>
      <w:bookmarkEnd w:id="618"/>
      <w:bookmarkEnd w:id="619"/>
      <w:bookmarkEnd w:id="620"/>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8.4.1 发包人供应材料与工程设备的保管与使用</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供应的材料和工程设备，承包人清点后由承包人妥善保管，保管费用由发包人承担，但已标价工程量清单或预算书已经列支或专用合同条款另有约定除外。因承包人原因发生丢失毁损的，由承包人负责赔偿；监理人未通知承包人清点的，承包人不负责材料和工程设备的保管，由此导致丢失毁损的由发包人负责。</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发包人供应的材料和工程设备使用前，由承包人负责检验，检验费用由发包人承担，不合格的不得使用。</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8.4.2 承包人采购材料与工程设备的保管与使用</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采购的材料和工程设备由承包人妥善保管，保管费用由承包人承担。法律规定材料和工程设备使用前必须进行检验或试验的，承包人应按监理人的要求进行检验或试验，检验或试验费用由承包人承担，不合格的不得使用。</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发包人或监理人发现承包人使用不符合设计或有关标准要求的材料和工程设备时，有权要求承包人进行修复、拆除或重新采购，由此增加的费用和（或）延误的工期，由承包人承担。</w:t>
      </w:r>
    </w:p>
    <w:p>
      <w:pPr>
        <w:pStyle w:val="7"/>
        <w:spacing w:before="0" w:beforeAutospacing="0" w:after="0" w:afterAutospacing="0" w:line="360" w:lineRule="auto"/>
        <w:ind w:firstLine="422" w:firstLineChars="200"/>
        <w:rPr>
          <w:color w:val="auto"/>
          <w:sz w:val="21"/>
          <w:szCs w:val="21"/>
          <w:highlight w:val="none"/>
        </w:rPr>
      </w:pPr>
      <w:bookmarkStart w:id="621" w:name="_Toc351203557"/>
      <w:bookmarkStart w:id="622" w:name="_Toc532377243"/>
      <w:r>
        <w:rPr>
          <w:rFonts w:hint="eastAsia"/>
          <w:color w:val="auto"/>
          <w:sz w:val="21"/>
          <w:szCs w:val="21"/>
          <w:highlight w:val="none"/>
        </w:rPr>
        <w:t>8.5禁止使用不合格的材料和工程设备</w:t>
      </w:r>
      <w:bookmarkEnd w:id="621"/>
      <w:bookmarkEnd w:id="622"/>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8.5.1 监理人有权拒绝承包人提供的不合格材料或工程设备，并要求承包人立即进行更换。监理人应在更换后再次进行检查和检验，由此增加的费用和（或）延误的工期由承包人承担。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8.5.2 监理人发现承包人使用了不合格的材料和工程设备，承包人应按照监理人的指示立即改正，并禁止在工程中继续使用不合格的材料和工程设备。</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8.5.3 发包人提供的材料或工程设备不符合合同要求的，承包人有权拒绝，并可要求发包人更换，由此增加的费用和（或）延误的工期由发包人承担，并支付承包人合理的利润。</w:t>
      </w:r>
    </w:p>
    <w:p>
      <w:pPr>
        <w:pStyle w:val="7"/>
        <w:spacing w:before="0" w:beforeAutospacing="0" w:after="0" w:afterAutospacing="0" w:line="360" w:lineRule="auto"/>
        <w:ind w:firstLine="422" w:firstLineChars="200"/>
        <w:rPr>
          <w:color w:val="auto"/>
          <w:sz w:val="21"/>
          <w:szCs w:val="21"/>
          <w:highlight w:val="none"/>
        </w:rPr>
      </w:pPr>
      <w:bookmarkStart w:id="623" w:name="_Toc351203558"/>
      <w:bookmarkStart w:id="624" w:name="_Toc532377244"/>
      <w:r>
        <w:rPr>
          <w:rFonts w:hint="eastAsia"/>
          <w:color w:val="auto"/>
          <w:sz w:val="21"/>
          <w:szCs w:val="21"/>
          <w:highlight w:val="none"/>
        </w:rPr>
        <w:t>8.6 样品</w:t>
      </w:r>
      <w:bookmarkEnd w:id="623"/>
      <w:bookmarkEnd w:id="624"/>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8.6.1</w:t>
      </w:r>
      <w:r>
        <w:rPr>
          <w:rFonts w:hint="eastAsia" w:ascii="宋体" w:hAnsi="宋体"/>
          <w:color w:val="auto"/>
          <w:kern w:val="0"/>
          <w:szCs w:val="21"/>
          <w:highlight w:val="none"/>
        </w:rPr>
        <w:tab/>
      </w:r>
      <w:r>
        <w:rPr>
          <w:rFonts w:hint="eastAsia" w:ascii="宋体" w:hAnsi="宋体"/>
          <w:color w:val="auto"/>
          <w:kern w:val="0"/>
          <w:szCs w:val="21"/>
          <w:highlight w:val="none"/>
        </w:rPr>
        <w:t>样品的报送与封存</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需要承包人报送样品的材料或工程设备，样品的种类、名称、规格、数量等要求均应在专用合同条款中约定。样品的报送程序如下：</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承包人应在计划采购前28天向监理人报送样品。承包人报送的样品均应来自供应材料的实际生产地，且提供的样品的规格、数量足以表明材料或工程设备的质量、型号、颜色、表面处理、质地、误差和其他要求的特征。</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承包人每次报送样品时应随附申报单，申报单应载明报送样品的相关数据和资料，并标明每件样品对应的图纸号，预留监理人批复意见栏。监理人应在收到承包人报送的样品后7天向承包人回复经发包人签认的样品审批意见。</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（3）经发包人和监理人审批确认的样品应按约定的方法封样，封存的样品作为检验工程相关部分的标准之一。承包人在施工过程中不得使用与样品不符的材料或工程设备。</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发包人和监理人对样品的审批确认仅为确认相关材料或工程设备的特征或用途，不得被理解为对合同的修改或改变，也并不减轻或免除承包人任何的责任和义务。如果封存的样品修改或改变了合同约定，合同当事人应当以书面协议予以确认。</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8.6.2 样品的保管</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经批准的样品应由监理人负责封存于现场，承包人应在现场为保存样品提供适当和固定的场所并保持适当和良好的存储环境条件。</w:t>
      </w:r>
    </w:p>
    <w:p>
      <w:pPr>
        <w:pStyle w:val="7"/>
        <w:spacing w:before="0" w:beforeAutospacing="0" w:after="0" w:afterAutospacing="0" w:line="360" w:lineRule="auto"/>
        <w:ind w:firstLine="422" w:firstLineChars="200"/>
        <w:rPr>
          <w:color w:val="auto"/>
          <w:sz w:val="21"/>
          <w:szCs w:val="21"/>
          <w:highlight w:val="none"/>
        </w:rPr>
      </w:pPr>
      <w:bookmarkStart w:id="625" w:name="_Toc532377245"/>
      <w:bookmarkStart w:id="626" w:name="_Toc351203559"/>
      <w:r>
        <w:rPr>
          <w:rFonts w:hint="eastAsia"/>
          <w:color w:val="auto"/>
          <w:sz w:val="21"/>
          <w:szCs w:val="21"/>
          <w:highlight w:val="none"/>
        </w:rPr>
        <w:t>8.7材料与工程设备的替代</w:t>
      </w:r>
      <w:bookmarkEnd w:id="625"/>
      <w:bookmarkEnd w:id="626"/>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8.7.1 出现下列情况需要使用替代材料和工程设备的，承包人应按照第8.7.2项约定的程序执行：</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（1）基准日期后生效的法律规定禁止使用的；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（2）发包人要求使用替代品的；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（3）因其他原因必须使用替代品的。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8.7.2 承包人应在使用替代材料和工程设备28天前书面通知监理人，并附下列文件：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（1）被替代的材料和工程设备的名称、数量、规格、型号、品牌、性能、价格及其他相关资料；</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（2）替代品的名称、数量、规格、型号、品牌、性能、价格及其他相关资料；</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（3）替代品与被替代产品之间的差异以及使用替代品可能对工程产生的影响；</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（4）替代品与被替代产品的价格差异；</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（5）使用替代品的理由和原因说明；</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（6）监理人要求的其他文件。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监理人应在收到通知后14天内向承包人发出经发包人签认的书面指示；监理人逾期发出书面指示的，视为发包人和监理人同意使用替代品。</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8.7.3 发包人认可使用替代材料和工程设备的，替代材料和工程设备的价格，按照已标价工程量清单或预算书相同项目的价格认定；无相同项目的，参考相似项目价格认定；既无相同项目也无相似项目的，按照合理的成本与利润构成的原则，由合同当事人按照第4.4款〔商定或确定〕确定价格。</w:t>
      </w:r>
    </w:p>
    <w:p>
      <w:pPr>
        <w:pStyle w:val="7"/>
        <w:spacing w:before="0" w:beforeAutospacing="0" w:after="0" w:afterAutospacing="0" w:line="360" w:lineRule="auto"/>
        <w:ind w:firstLine="422" w:firstLineChars="200"/>
        <w:rPr>
          <w:color w:val="auto"/>
          <w:sz w:val="21"/>
          <w:szCs w:val="21"/>
          <w:highlight w:val="none"/>
        </w:rPr>
      </w:pPr>
      <w:bookmarkStart w:id="627" w:name="_Toc351203560"/>
      <w:bookmarkStart w:id="628" w:name="_Toc532377246"/>
      <w:r>
        <w:rPr>
          <w:rFonts w:hint="eastAsia"/>
          <w:color w:val="auto"/>
          <w:sz w:val="21"/>
          <w:szCs w:val="21"/>
          <w:highlight w:val="none"/>
        </w:rPr>
        <w:t>8.8施工设备和临时设施</w:t>
      </w:r>
      <w:bookmarkEnd w:id="627"/>
      <w:bookmarkEnd w:id="628"/>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8.8.1 承包人提供的施工设备和临时设施</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承包人应按合同进度计划的要求，及时配置施工设备和修建临时设施。进入施工场地的承包人设备需经监理人核查后才能投入使用。承包人更换合同约定的承包人设备的，应报监理人批准。</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除专用合同条款另有约定外，承包人应自行承担修建临时设施的费用，需要临时占地的，应由发包人办理申请手续并承担相应费用。</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8.8.2发包人提供的施工设备和临时设施</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发包人提供的施工设备或临时设施在专用合同条款中约定。</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8.8.3要求承包人增加或更换施工设备</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承包人使用的施工设备不能满足合同进度计划和（或）质量要求时，监理人有权要求承包人增加或更换施工设备，承包人应及时增加或更换，由此增加的费用和（或）延误的工期由承包人承担。</w:t>
      </w:r>
    </w:p>
    <w:p>
      <w:pPr>
        <w:pStyle w:val="7"/>
        <w:spacing w:before="0" w:beforeAutospacing="0" w:after="0" w:afterAutospacing="0" w:line="360" w:lineRule="auto"/>
        <w:ind w:firstLine="422" w:firstLineChars="200"/>
        <w:rPr>
          <w:color w:val="auto"/>
          <w:sz w:val="21"/>
          <w:szCs w:val="21"/>
          <w:highlight w:val="none"/>
        </w:rPr>
      </w:pPr>
      <w:bookmarkStart w:id="629" w:name="_Toc351203561"/>
      <w:bookmarkStart w:id="630" w:name="_Toc532377247"/>
      <w:r>
        <w:rPr>
          <w:rFonts w:hint="eastAsia"/>
          <w:color w:val="auto"/>
          <w:sz w:val="21"/>
          <w:szCs w:val="21"/>
          <w:highlight w:val="none"/>
        </w:rPr>
        <w:t>8</w:t>
      </w:r>
      <w:bookmarkStart w:id="631" w:name="_Toc337558781"/>
      <w:bookmarkStart w:id="632" w:name="_Toc296346564"/>
      <w:bookmarkStart w:id="633" w:name="_Toc296503063"/>
      <w:r>
        <w:rPr>
          <w:rFonts w:hint="eastAsia"/>
          <w:color w:val="auto"/>
          <w:sz w:val="21"/>
          <w:szCs w:val="21"/>
          <w:highlight w:val="none"/>
        </w:rPr>
        <w:t>.9材料与设备专用</w:t>
      </w:r>
      <w:bookmarkEnd w:id="629"/>
      <w:r>
        <w:rPr>
          <w:rFonts w:hint="eastAsia"/>
          <w:color w:val="auto"/>
          <w:sz w:val="21"/>
          <w:szCs w:val="21"/>
          <w:highlight w:val="none"/>
        </w:rPr>
        <w:t>要求</w:t>
      </w:r>
      <w:bookmarkEnd w:id="630"/>
      <w:bookmarkEnd w:id="631"/>
      <w:bookmarkEnd w:id="632"/>
      <w:bookmarkEnd w:id="633"/>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承包人运入施工现场的材料、工程设备、施工设备以及在施工场地建设的临时设施，包括备品备件、安装工具与资料，必须专用于工程。未经发包人批准，承包人不得运出施工现场或挪作他用；</w:t>
      </w:r>
      <w:bookmarkEnd w:id="608"/>
      <w:r>
        <w:rPr>
          <w:rFonts w:hint="eastAsia" w:ascii="宋体" w:hAnsi="宋体"/>
          <w:color w:val="auto"/>
          <w:kern w:val="0"/>
          <w:szCs w:val="21"/>
          <w:highlight w:val="none"/>
        </w:rPr>
        <w:t>经发包人批准，承包人可以根据施工进度计划撤走闲置的施工设备和其他物品。</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634" w:name="_Toc532375595"/>
      <w:bookmarkStart w:id="635" w:name="_Toc351203562"/>
      <w:bookmarkStart w:id="636" w:name="_Toc532377248"/>
      <w:r>
        <w:rPr>
          <w:rFonts w:hint="eastAsia"/>
          <w:color w:val="auto"/>
          <w:kern w:val="2"/>
          <w:sz w:val="21"/>
          <w:szCs w:val="21"/>
          <w:highlight w:val="none"/>
        </w:rPr>
        <w:t>9</w:t>
      </w:r>
      <w:bookmarkStart w:id="637" w:name="_Toc337558782"/>
      <w:bookmarkStart w:id="638" w:name="_Toc296346584"/>
      <w:bookmarkStart w:id="639" w:name="_Toc296503083"/>
      <w:r>
        <w:rPr>
          <w:rFonts w:hint="eastAsia"/>
          <w:color w:val="auto"/>
          <w:kern w:val="2"/>
          <w:sz w:val="21"/>
          <w:szCs w:val="21"/>
          <w:highlight w:val="none"/>
        </w:rPr>
        <w:t>. 试验与检验</w:t>
      </w:r>
      <w:bookmarkEnd w:id="634"/>
      <w:bookmarkEnd w:id="635"/>
      <w:bookmarkEnd w:id="636"/>
      <w:bookmarkEnd w:id="637"/>
    </w:p>
    <w:p>
      <w:pPr>
        <w:pStyle w:val="7"/>
        <w:spacing w:before="0" w:beforeAutospacing="0" w:after="0" w:afterAutospacing="0" w:line="360" w:lineRule="auto"/>
        <w:ind w:firstLine="422" w:firstLineChars="200"/>
        <w:rPr>
          <w:color w:val="auto"/>
          <w:sz w:val="21"/>
          <w:szCs w:val="21"/>
          <w:highlight w:val="none"/>
        </w:rPr>
      </w:pPr>
      <w:bookmarkStart w:id="640" w:name="_Toc532377249"/>
      <w:bookmarkStart w:id="641" w:name="_Toc351203563"/>
      <w:r>
        <w:rPr>
          <w:rFonts w:hint="eastAsia"/>
          <w:color w:val="auto"/>
          <w:sz w:val="21"/>
          <w:szCs w:val="21"/>
          <w:highlight w:val="none"/>
        </w:rPr>
        <w:t>9</w:t>
      </w:r>
      <w:bookmarkStart w:id="642" w:name="_Toc337558783"/>
      <w:r>
        <w:rPr>
          <w:rFonts w:hint="eastAsia"/>
          <w:color w:val="auto"/>
          <w:sz w:val="21"/>
          <w:szCs w:val="21"/>
          <w:highlight w:val="none"/>
        </w:rPr>
        <w:t>.1试验设备与试验人员</w:t>
      </w:r>
      <w:bookmarkEnd w:id="640"/>
      <w:bookmarkEnd w:id="641"/>
      <w:bookmarkEnd w:id="642"/>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9.1.1 承包人根据合同约定或监理人指示进行的现场材料试验，应由承包人提供试验场所、试验人员、试验设备以及其他必要的试验条件。监理人在必要时可以使用承包人提供的试验场所、试验设备以及其他试验条件，进行以工程质量检查为目的的材料复核试验，承包人应予以协助。</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9.1.2 承包人应按专用合同条款的约定提供试验设备、取样装置、试验场所和试验条件，并向监理人提交相应进场计划表。</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承包人配置的试验设备要符合相应试验规程的要求并经过具有资质的检测单位检测，且在正式使用该试验设备前，需要经过监理人与承包人共同校定。</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9.1.3 承包人应向监理人提交试验人员的名单及其岗位、资格等证明资料，试验人员必须能够熟练进行相应的检测试验，承包人对试验人员的试验程序和试验结果的正确性负责。</w:t>
      </w:r>
    </w:p>
    <w:p>
      <w:pPr>
        <w:pStyle w:val="7"/>
        <w:spacing w:before="0" w:beforeAutospacing="0" w:after="0" w:afterAutospacing="0" w:line="360" w:lineRule="auto"/>
        <w:ind w:firstLine="422" w:firstLineChars="200"/>
        <w:rPr>
          <w:color w:val="auto"/>
          <w:sz w:val="21"/>
          <w:szCs w:val="21"/>
          <w:highlight w:val="none"/>
        </w:rPr>
      </w:pPr>
      <w:bookmarkStart w:id="643" w:name="_Toc532377250"/>
      <w:bookmarkStart w:id="644" w:name="_Toc351203564"/>
      <w:r>
        <w:rPr>
          <w:rFonts w:hint="eastAsia"/>
          <w:color w:val="auto"/>
          <w:sz w:val="21"/>
          <w:szCs w:val="21"/>
          <w:highlight w:val="none"/>
        </w:rPr>
        <w:t>9</w:t>
      </w:r>
      <w:bookmarkStart w:id="645" w:name="_Toc337558784"/>
      <w:r>
        <w:rPr>
          <w:rFonts w:hint="eastAsia"/>
          <w:color w:val="auto"/>
          <w:sz w:val="21"/>
          <w:szCs w:val="21"/>
          <w:highlight w:val="none"/>
        </w:rPr>
        <w:t>.2取样</w:t>
      </w:r>
      <w:bookmarkEnd w:id="643"/>
      <w:bookmarkEnd w:id="644"/>
      <w:bookmarkEnd w:id="645"/>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试验属于自检性质的，承包人可以单独取样。试验属于监理人抽检性质的，可由监理人取样，也可由承包人的试验人员在监理人的监督下取样。</w:t>
      </w:r>
    </w:p>
    <w:p>
      <w:pPr>
        <w:pStyle w:val="7"/>
        <w:spacing w:before="0" w:beforeAutospacing="0" w:after="0" w:afterAutospacing="0" w:line="360" w:lineRule="auto"/>
        <w:ind w:firstLine="422" w:firstLineChars="200"/>
        <w:rPr>
          <w:color w:val="auto"/>
          <w:sz w:val="21"/>
          <w:szCs w:val="21"/>
          <w:highlight w:val="none"/>
        </w:rPr>
      </w:pPr>
      <w:bookmarkStart w:id="646" w:name="_Toc351203565"/>
      <w:bookmarkStart w:id="647" w:name="_Toc532377251"/>
      <w:r>
        <w:rPr>
          <w:rFonts w:hint="eastAsia"/>
          <w:color w:val="auto"/>
          <w:sz w:val="21"/>
          <w:szCs w:val="21"/>
          <w:highlight w:val="none"/>
        </w:rPr>
        <w:t>9</w:t>
      </w:r>
      <w:bookmarkStart w:id="648" w:name="_Toc337558785"/>
      <w:r>
        <w:rPr>
          <w:rFonts w:hint="eastAsia"/>
          <w:color w:val="auto"/>
          <w:sz w:val="21"/>
          <w:szCs w:val="21"/>
          <w:highlight w:val="none"/>
        </w:rPr>
        <w:t>.3材料、工程设备和工程的试验和检验</w:t>
      </w:r>
      <w:bookmarkEnd w:id="646"/>
      <w:bookmarkEnd w:id="647"/>
      <w:bookmarkEnd w:id="648"/>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9.3.1承包人应按合同约定进行材料、工程设备和工程的试验和检验，并为监理人对上述材料、工程设备和工程的质量检查提供必要的试验资料和原始记录。按合同约定应由监理人与承包人共同进行试验和检验的，由承包人负责提供必要的试验资料和原始记录。</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9.3.2试验属于自检性质的，承包人可以单独进行试验。试验属于监理人抽检性质的，监理人可以单独进行试验，也可由承包人与监理人共同进行。承包人对由监理人单独进行的试验结果有异议的，可以申请重新共同进行试验。约定共同进行试验的，监理人未按照约定参加试验的，承包人可自行试验，并将试验结果报送监理人，监理人应承认该试验结果。</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9.3.3监理人对承包人的试验和检验结果有异议的，或为查清承包人试验和检验成果的可靠性要求承包人重新试验和检验的，可由监理人与承包人共同进行。重新试验和检验的结果证明该项材料、工程设备或工程的质量不符合合同要求的，由此增加的费用和（或）延误的工期由承包人承担；重新试验和检验结果证明该项材料、工程设备和工程符合合同要求的，由此增加的费用和（或）延误的工期由发包人承担。</w:t>
      </w:r>
    </w:p>
    <w:p>
      <w:pPr>
        <w:pStyle w:val="7"/>
        <w:spacing w:before="0" w:beforeAutospacing="0" w:after="0" w:afterAutospacing="0" w:line="360" w:lineRule="auto"/>
        <w:ind w:firstLine="422" w:firstLineChars="200"/>
        <w:rPr>
          <w:color w:val="auto"/>
          <w:sz w:val="21"/>
          <w:szCs w:val="21"/>
          <w:highlight w:val="none"/>
        </w:rPr>
      </w:pPr>
      <w:bookmarkStart w:id="649" w:name="_Toc532377252"/>
      <w:bookmarkStart w:id="650" w:name="_Toc351203566"/>
      <w:r>
        <w:rPr>
          <w:rFonts w:hint="eastAsia"/>
          <w:color w:val="auto"/>
          <w:sz w:val="21"/>
          <w:szCs w:val="21"/>
          <w:highlight w:val="none"/>
        </w:rPr>
        <w:t>9</w:t>
      </w:r>
      <w:bookmarkStart w:id="651" w:name="_Toc337558786"/>
      <w:r>
        <w:rPr>
          <w:rFonts w:hint="eastAsia"/>
          <w:color w:val="auto"/>
          <w:sz w:val="21"/>
          <w:szCs w:val="21"/>
          <w:highlight w:val="none"/>
        </w:rPr>
        <w:t>.4现场工艺试验</w:t>
      </w:r>
      <w:bookmarkEnd w:id="649"/>
      <w:bookmarkEnd w:id="650"/>
      <w:bookmarkEnd w:id="651"/>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承包人应按合同约定或监理人指示进行现场工艺试验。对大型的现场工艺试验，监理人认为必要时，承包人应根据监理人提出的工艺试验要求，编制工艺试验措施计划，报送监理人审查。</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652" w:name="_Toc532375596"/>
      <w:bookmarkStart w:id="653" w:name="_Toc532377253"/>
      <w:bookmarkStart w:id="654" w:name="_Toc351203567"/>
      <w:r>
        <w:rPr>
          <w:rFonts w:hint="eastAsia"/>
          <w:color w:val="auto"/>
          <w:kern w:val="2"/>
          <w:sz w:val="21"/>
          <w:szCs w:val="21"/>
          <w:highlight w:val="none"/>
        </w:rPr>
        <w:t>1</w:t>
      </w:r>
      <w:bookmarkStart w:id="655" w:name="_Toc337558787"/>
      <w:r>
        <w:rPr>
          <w:rFonts w:hint="eastAsia"/>
          <w:color w:val="auto"/>
          <w:kern w:val="2"/>
          <w:sz w:val="21"/>
          <w:szCs w:val="21"/>
          <w:highlight w:val="none"/>
        </w:rPr>
        <w:t>0. 变更</w:t>
      </w:r>
      <w:bookmarkEnd w:id="638"/>
      <w:bookmarkEnd w:id="639"/>
      <w:bookmarkEnd w:id="652"/>
      <w:bookmarkEnd w:id="653"/>
      <w:bookmarkEnd w:id="654"/>
      <w:bookmarkEnd w:id="655"/>
    </w:p>
    <w:p>
      <w:pPr>
        <w:pStyle w:val="7"/>
        <w:spacing w:before="0" w:beforeAutospacing="0" w:after="0" w:afterAutospacing="0" w:line="360" w:lineRule="auto"/>
        <w:ind w:firstLine="422" w:firstLineChars="200"/>
        <w:rPr>
          <w:color w:val="auto"/>
          <w:sz w:val="21"/>
          <w:szCs w:val="21"/>
          <w:highlight w:val="none"/>
        </w:rPr>
      </w:pPr>
      <w:bookmarkStart w:id="656" w:name="_Toc351203568"/>
      <w:bookmarkStart w:id="657" w:name="_Toc532377254"/>
      <w:r>
        <w:rPr>
          <w:rFonts w:hint="eastAsia"/>
          <w:color w:val="auto"/>
          <w:sz w:val="21"/>
          <w:szCs w:val="21"/>
          <w:highlight w:val="none"/>
        </w:rPr>
        <w:t>1</w:t>
      </w:r>
      <w:bookmarkStart w:id="658" w:name="_Toc337558788"/>
      <w:bookmarkStart w:id="659" w:name="_Toc296346585"/>
      <w:bookmarkStart w:id="660" w:name="_Toc296503084"/>
      <w:r>
        <w:rPr>
          <w:rFonts w:hint="eastAsia"/>
          <w:color w:val="auto"/>
          <w:sz w:val="21"/>
          <w:szCs w:val="21"/>
          <w:highlight w:val="none"/>
        </w:rPr>
        <w:t>0.1变更的范围</w:t>
      </w:r>
      <w:bookmarkEnd w:id="656"/>
      <w:bookmarkEnd w:id="657"/>
      <w:bookmarkEnd w:id="658"/>
      <w:bookmarkEnd w:id="659"/>
      <w:bookmarkEnd w:id="660"/>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除专用合同条款另有约定外，合同履行过程中发生以下情形的，应按照本条约定进行变更：</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（1）增加或减少合同中任何工作，或追加额外的工作；</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（2）取消合同中任何工作，但转由他人实施的工作除外；</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（3）改变合同中任何工作的质量标准或其他特性；</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（4）改变工程的基线、标高、位置和尺寸；</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（5）改变工程的时间安排或实施顺序。</w:t>
      </w:r>
    </w:p>
    <w:p>
      <w:pPr>
        <w:pStyle w:val="7"/>
        <w:spacing w:before="0" w:beforeAutospacing="0" w:after="0" w:afterAutospacing="0" w:line="360" w:lineRule="auto"/>
        <w:ind w:firstLine="422" w:firstLineChars="200"/>
        <w:rPr>
          <w:color w:val="auto"/>
          <w:sz w:val="21"/>
          <w:szCs w:val="21"/>
          <w:highlight w:val="none"/>
        </w:rPr>
      </w:pPr>
      <w:bookmarkStart w:id="661" w:name="_Toc532377255"/>
      <w:r>
        <w:rPr>
          <w:rFonts w:hint="eastAsia"/>
          <w:color w:val="auto"/>
          <w:sz w:val="21"/>
          <w:szCs w:val="21"/>
          <w:highlight w:val="none"/>
        </w:rPr>
        <w:t>10.2变更权</w:t>
      </w:r>
      <w:bookmarkEnd w:id="661"/>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和监理人均可以提出变更。变更指示均通过监理人发出，监理人发出变更指示前应征得发包人同意。承包人收到经发包人签认的变更指示后，方可实施变更。未经许可，承包人不得擅自对工程的任何部分进行变更。</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涉及设计变更的，应由设计人提供变更后的图纸和说明。如变更超过原设计标准或批准的建设规模时，发包人应及时办理规划、设计变更等审批手续。</w:t>
      </w:r>
    </w:p>
    <w:p>
      <w:pPr>
        <w:pStyle w:val="7"/>
        <w:spacing w:before="0" w:beforeAutospacing="0" w:after="0" w:afterAutospacing="0" w:line="360" w:lineRule="auto"/>
        <w:ind w:firstLine="422" w:firstLineChars="200"/>
        <w:rPr>
          <w:color w:val="auto"/>
          <w:sz w:val="21"/>
          <w:szCs w:val="21"/>
          <w:highlight w:val="none"/>
        </w:rPr>
      </w:pPr>
      <w:bookmarkStart w:id="662" w:name="_Toc532377256"/>
      <w:r>
        <w:rPr>
          <w:rFonts w:hint="eastAsia"/>
          <w:color w:val="auto"/>
          <w:sz w:val="21"/>
          <w:szCs w:val="21"/>
          <w:highlight w:val="none"/>
        </w:rPr>
        <w:t>10.3变更程序</w:t>
      </w:r>
      <w:bookmarkEnd w:id="662"/>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10.3.1 发包人提出变更</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发包人提出变更的，应通过监理人向承包人发出变更指示，变更指示应说明计划变更的工程范围和变更的内容。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10.3.2 监理人提出变更建议</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监理人提出变更建议的，需要向发包人以书面形式提出变更计划，说明计划变更工程范围和变更的内容、理由，以及实施该变更对合同价格和工期的影响。发包人同意变更的，由监理人向承包人发出变更指示。发包人不同意变更的，监理人无权擅自发出变更指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10.3.3 变更执行</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收到监理人下达的变更指示后，认为不能执行，应立即提出不能执行该变更指示的理由。承包人认为可以执行变更的，应当书面说明实施该变更指示对合同价格和工期的影响，且合同当事人应当按照第10.4款〔变更估价〕约定确定变更估价。</w:t>
      </w:r>
    </w:p>
    <w:p>
      <w:pPr>
        <w:pStyle w:val="7"/>
        <w:spacing w:before="0" w:beforeAutospacing="0" w:after="0" w:afterAutospacing="0" w:line="360" w:lineRule="auto"/>
        <w:ind w:firstLine="422" w:firstLineChars="200"/>
        <w:rPr>
          <w:color w:val="auto"/>
          <w:sz w:val="21"/>
          <w:szCs w:val="21"/>
          <w:highlight w:val="none"/>
        </w:rPr>
      </w:pPr>
      <w:bookmarkStart w:id="663" w:name="_Toc532377257"/>
      <w:bookmarkStart w:id="664" w:name="_Toc351203571"/>
      <w:r>
        <w:rPr>
          <w:rFonts w:hint="eastAsia"/>
          <w:color w:val="auto"/>
          <w:sz w:val="21"/>
          <w:szCs w:val="21"/>
          <w:highlight w:val="none"/>
        </w:rPr>
        <w:t>1</w:t>
      </w:r>
      <w:bookmarkStart w:id="665" w:name="_Toc337558791"/>
      <w:bookmarkStart w:id="666" w:name="_Toc296346588"/>
      <w:bookmarkStart w:id="667" w:name="_Toc296503087"/>
      <w:r>
        <w:rPr>
          <w:rFonts w:hint="eastAsia"/>
          <w:color w:val="auto"/>
          <w:sz w:val="21"/>
          <w:szCs w:val="21"/>
          <w:highlight w:val="none"/>
        </w:rPr>
        <w:t>0.4变更估价</w:t>
      </w:r>
      <w:bookmarkEnd w:id="663"/>
      <w:bookmarkEnd w:id="664"/>
      <w:bookmarkEnd w:id="665"/>
      <w:bookmarkEnd w:id="666"/>
      <w:bookmarkEnd w:id="667"/>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10.4.1 变更估价原则</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除专用合同条款另有约定外，变更估价按照本款约定处理：</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（1）已标价工程量清单或预算书有相同项目的，按照相同项目单价认定；</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（2）已标价工程量清单或预算书中无相同项目，但有类似项目的，参照类似项目的单价认定；</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变更导致实际完成的变更工程量与已标价工程量清单或预算书中列明的该项目工程量的变化幅度超过15%的，或已标价工程量清单或预算书中无相同项目及类似项目单价的，按照合理的成本与利润构成的原则，由合同当事人按照第4.4款〔商定或确定〕确定变更工作的单价。</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10.4.2 变更估价程序</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在收到变更指示后14天内，向监理人提交变更估价申请。监理人应在收到承包人提交的变更估价申请后7天内审查完毕并报送发包人，监理人对变更估价申请有异议，通知承包人修改后重新提交。发包人应在承包人提交变更估价申请后14天内审批完毕。发包人逾期未完成审批或未提出异议的，视为认可承包人提交的变更估价申请。</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因变更引起的价格调整应计入最近一期的进度款中支付。</w:t>
      </w:r>
    </w:p>
    <w:p>
      <w:pPr>
        <w:pStyle w:val="7"/>
        <w:spacing w:before="0" w:beforeAutospacing="0" w:after="0" w:afterAutospacing="0" w:line="360" w:lineRule="auto"/>
        <w:ind w:firstLine="422" w:firstLineChars="200"/>
        <w:rPr>
          <w:color w:val="auto"/>
          <w:sz w:val="21"/>
          <w:szCs w:val="21"/>
          <w:highlight w:val="none"/>
        </w:rPr>
      </w:pPr>
      <w:bookmarkStart w:id="668" w:name="_Toc351203572"/>
      <w:bookmarkStart w:id="669" w:name="_Toc532377258"/>
      <w:r>
        <w:rPr>
          <w:rFonts w:hint="eastAsia"/>
          <w:color w:val="auto"/>
          <w:sz w:val="21"/>
          <w:szCs w:val="21"/>
          <w:highlight w:val="none"/>
        </w:rPr>
        <w:t>1</w:t>
      </w:r>
      <w:bookmarkStart w:id="670" w:name="_Toc337558792"/>
      <w:bookmarkStart w:id="671" w:name="_Toc296503094"/>
      <w:bookmarkStart w:id="672" w:name="_Toc296346595"/>
      <w:r>
        <w:rPr>
          <w:rFonts w:hint="eastAsia"/>
          <w:color w:val="auto"/>
          <w:sz w:val="21"/>
          <w:szCs w:val="21"/>
          <w:highlight w:val="none"/>
        </w:rPr>
        <w:t>0.5承包人的合理化建议</w:t>
      </w:r>
      <w:bookmarkEnd w:id="668"/>
      <w:bookmarkEnd w:id="669"/>
      <w:bookmarkEnd w:id="670"/>
      <w:bookmarkEnd w:id="671"/>
      <w:bookmarkEnd w:id="672"/>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承包人提出合理化建议的，应向监理人提交合理化建议说明，说明建议的内容和理由，以及实施该建议对合同价格和工期的影响。</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监理人应在收到承包人提交的合理化建议后7天内审查完毕并报送发包人，发现其中存在技术上的缺陷，应通知承包人修改。发包人应在收到监理人报送的合理化建议后7天内审批完毕。合理化建议经发包人批准的，监理人应及时发出变更指示，由此引起的合同价格调整按照第10.4款〔变更估价〕约定执行。发包人不同意变更的，监理人应书面通知承包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合理化建议降低了合同价格或者提高了工程经济效益的，发包人可对承包人给予奖励，奖励的方法和金额在专用合同条款中约定。</w:t>
      </w:r>
    </w:p>
    <w:p>
      <w:pPr>
        <w:pStyle w:val="7"/>
        <w:spacing w:before="0" w:beforeAutospacing="0" w:after="0" w:afterAutospacing="0" w:line="360" w:lineRule="auto"/>
        <w:ind w:firstLine="422" w:firstLineChars="200"/>
        <w:rPr>
          <w:color w:val="auto"/>
          <w:sz w:val="21"/>
          <w:szCs w:val="21"/>
          <w:highlight w:val="none"/>
        </w:rPr>
      </w:pPr>
      <w:bookmarkStart w:id="673" w:name="_Toc532377259"/>
      <w:bookmarkStart w:id="674" w:name="_Toc351203573"/>
      <w:r>
        <w:rPr>
          <w:rFonts w:hint="eastAsia"/>
          <w:color w:val="auto"/>
          <w:sz w:val="21"/>
          <w:szCs w:val="21"/>
          <w:highlight w:val="none"/>
        </w:rPr>
        <w:t>1</w:t>
      </w:r>
      <w:bookmarkStart w:id="675" w:name="_Toc337558793"/>
      <w:r>
        <w:rPr>
          <w:rFonts w:hint="eastAsia"/>
          <w:color w:val="auto"/>
          <w:sz w:val="21"/>
          <w:szCs w:val="21"/>
          <w:highlight w:val="none"/>
        </w:rPr>
        <w:t>0.6变更引起的工期调整</w:t>
      </w:r>
      <w:bookmarkEnd w:id="673"/>
      <w:bookmarkEnd w:id="674"/>
      <w:bookmarkEnd w:id="675"/>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因变更引起工期变化的，合同当事人均可要求调整合同工期，由合同当事人按照第4.4款〔商定或确定〕并参考工程所在地的工期定额标准确定增减工期天数。</w:t>
      </w:r>
    </w:p>
    <w:p>
      <w:pPr>
        <w:pStyle w:val="7"/>
        <w:spacing w:before="0" w:beforeAutospacing="0" w:after="0" w:afterAutospacing="0" w:line="360" w:lineRule="auto"/>
        <w:ind w:firstLine="422" w:firstLineChars="200"/>
        <w:rPr>
          <w:color w:val="auto"/>
          <w:sz w:val="21"/>
          <w:szCs w:val="21"/>
          <w:highlight w:val="none"/>
        </w:rPr>
      </w:pPr>
      <w:bookmarkStart w:id="676" w:name="_Toc351203574"/>
      <w:bookmarkStart w:id="677" w:name="_Toc532377260"/>
      <w:r>
        <w:rPr>
          <w:rFonts w:hint="eastAsia"/>
          <w:color w:val="auto"/>
          <w:sz w:val="21"/>
          <w:szCs w:val="21"/>
          <w:highlight w:val="none"/>
        </w:rPr>
        <w:t>10.7暂估价</w:t>
      </w:r>
      <w:bookmarkEnd w:id="676"/>
      <w:bookmarkEnd w:id="677"/>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暂估价专业分包工程、服务、材料和工程设备的明细由合同当事人在专用合同条款中约定。</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10.7.1 依法必须招标的暂估价项目</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对于依法必须招标的暂估价项目，采取以下第1种方式确定。合同当事人也可以在专用合同条款中选择其他招标方式。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第1种方式：对于依法必须招标的暂估价项目，由承包人招标，对该暂估价项目的确认和批准按照以下约定执行：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承包人应当根据施工进度计划，在招标工作启动前14天将招标方案通过监理人报送发包人审查，发包人应当在收到承包人报送的招标方案后7天内批准或提出修改意见。承包人应当按照经过发包人批准的招标方案开展招标工作；</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承包人应当根据施工进度计划，提前14天将招标文件通过监理人报送发包人审批，发包人应当在收到承包人报送的相关文件后7天内完成审批或提出修改意见；发包人有权确定最高限价并按照法律规定参加评标；</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承包人与供应商、分包人在签订暂估价合同前，应当提前7天将确定的中标候选供应商或中标候选分包人的资料报送发包人，发包人应在收到资料后3天内与承包人共同确定中标人；承包人应当在签订合同后7天内，将暂估价合同副本报送发包人留存。</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第2种方式：对于依法必须招标的暂估价项目，由发包人和承包人共同招标确定暂估价供应商或分包人的，承包人应按照施工进度计划，在招标工作启动前14天通知发包人，并提交暂估价招标方案和工作分工。发包人应在收到后7天内确认。确定中标人后，由发包人、承包人与中标人共同签订暂估价合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10.7.2不属于依法必须招标的暂估价项目</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除专用合同条款另有约定外，对于不属于依法必须招标的暂估价项目，采取以下第1种方式确定： </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第1种方式：对于不属于依法必须招标的暂估价项目，按本项约定确认和批准：</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承包人应根据施工进度计划，在签订暂估价项目的采购合同、分包合同前28天向监理人提出书面申请。监理人应当在收到申请后3天内报送发包人，发包人应当在收到申请后14天内给予批准或提出修改意见，发包人逾期未予批准或提出修改意见的，视为该书面申请已获得同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（2）发包人认为承包人确定的供应商、分包人无法满足工程质量或合同要求的，发包人可以要求承包人重新确定暂估价项目的供应商、分包人;</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（3）承包人应当在签订暂估价合同后7天内，将暂估价合同副本报送发包人留存。</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第2种方式：承包人按照第10.7.1项〔依法必须招标的暂估价项目〕约定的第1种方式确定暂估价项目。</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第3种方式：承包人直接实施的暂估价项目</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承包人具备实施暂估价项目的资格和条件的，经发包人和承包人协商一致后，可由承包人自行实施暂估价项目，合同当事人可以在专用合同条款约定具体事项。</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10.7.3 因发包人原因导致暂估价合同订立和履行迟延的，由此增加的费用和（或）延误的工期由发包人承担，并支付承包人合理的利润。因承包人原因导致暂估价合同订立和履行迟延的，由此增加的费用和（或）延误的工期由承包人承担。</w:t>
      </w:r>
    </w:p>
    <w:p>
      <w:pPr>
        <w:pStyle w:val="7"/>
        <w:spacing w:before="0" w:beforeAutospacing="0" w:after="0" w:afterAutospacing="0" w:line="360" w:lineRule="auto"/>
        <w:ind w:firstLine="422" w:firstLineChars="200"/>
        <w:rPr>
          <w:color w:val="auto"/>
          <w:sz w:val="21"/>
          <w:szCs w:val="21"/>
          <w:highlight w:val="none"/>
        </w:rPr>
      </w:pPr>
      <w:bookmarkStart w:id="678" w:name="_Toc351203575"/>
      <w:bookmarkStart w:id="679" w:name="_Toc532377261"/>
      <w:r>
        <w:rPr>
          <w:rFonts w:hint="eastAsia"/>
          <w:color w:val="auto"/>
          <w:sz w:val="21"/>
          <w:szCs w:val="21"/>
          <w:highlight w:val="none"/>
        </w:rPr>
        <w:t>1</w:t>
      </w:r>
      <w:bookmarkStart w:id="680" w:name="_Toc337558794"/>
      <w:bookmarkStart w:id="681" w:name="_Toc296346591"/>
      <w:bookmarkStart w:id="682" w:name="_Toc296503090"/>
      <w:bookmarkStart w:id="683" w:name="_Toc322522561"/>
      <w:r>
        <w:rPr>
          <w:rFonts w:hint="eastAsia"/>
          <w:color w:val="auto"/>
          <w:sz w:val="21"/>
          <w:szCs w:val="21"/>
          <w:highlight w:val="none"/>
        </w:rPr>
        <w:t>0.8暂列金额</w:t>
      </w:r>
      <w:bookmarkEnd w:id="678"/>
      <w:bookmarkEnd w:id="679"/>
      <w:bookmarkEnd w:id="680"/>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暂列金额应按照发包人的要求使用，发包人的要求应通过监理人发出。合同当事人可以在专用合同条款中协商确定有关事项。</w:t>
      </w:r>
      <w:bookmarkEnd w:id="681"/>
      <w:bookmarkEnd w:id="682"/>
      <w:bookmarkEnd w:id="683"/>
    </w:p>
    <w:p>
      <w:pPr>
        <w:pStyle w:val="7"/>
        <w:spacing w:before="0" w:beforeAutospacing="0" w:after="0" w:afterAutospacing="0" w:line="360" w:lineRule="auto"/>
        <w:ind w:firstLine="422" w:firstLineChars="200"/>
        <w:rPr>
          <w:color w:val="auto"/>
          <w:sz w:val="21"/>
          <w:szCs w:val="21"/>
          <w:highlight w:val="none"/>
        </w:rPr>
      </w:pPr>
      <w:bookmarkStart w:id="684" w:name="_Toc351203576"/>
      <w:bookmarkStart w:id="685" w:name="_Toc532377262"/>
      <w:r>
        <w:rPr>
          <w:rFonts w:hint="eastAsia"/>
          <w:color w:val="auto"/>
          <w:sz w:val="21"/>
          <w:szCs w:val="21"/>
          <w:highlight w:val="none"/>
        </w:rPr>
        <w:t>1</w:t>
      </w:r>
      <w:bookmarkStart w:id="686" w:name="_Toc337558796"/>
      <w:bookmarkStart w:id="687" w:name="_Toc296346592"/>
      <w:bookmarkStart w:id="688" w:name="_Toc296503091"/>
      <w:r>
        <w:rPr>
          <w:rFonts w:hint="eastAsia"/>
          <w:color w:val="auto"/>
          <w:sz w:val="21"/>
          <w:szCs w:val="21"/>
          <w:highlight w:val="none"/>
        </w:rPr>
        <w:t>0.9计日工</w:t>
      </w:r>
      <w:bookmarkEnd w:id="684"/>
      <w:bookmarkEnd w:id="685"/>
      <w:bookmarkEnd w:id="686"/>
      <w:bookmarkEnd w:id="687"/>
      <w:bookmarkEnd w:id="688"/>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需要采用计日工方式的，经发包人同意后，由监理人通知承包人以计日工计价方式实施相应的工作，其价款按列入已标价工程量清单或预算书中的计日工计价项目及其单价进行计算；已标价工程量清单或预算书中无相应的计日工单价的，按照合理的成本与利润构成的原则，由合同当事人按照第4.4款〔商定或确定〕确定计日工的单价。</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采用计日工计价的任何一项工作，承包人应在该项工作实施过程中，每天提交以下报表和有关凭证报送监理人审查：</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（1）工作名称、内容和数量；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（2）投入该工作的所有人员的姓名、专业、工种、级别和耗用工时；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（3）投入该工作的材料类别和数量；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（4）投入该工作的施工设备型号、台数和耗用台时；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（5）其他有关资料和凭证。</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 计日工由承包人汇总后，列入最近一期进度付款申请单，由监理人审查并经发包人批准后列入进度付款。</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689" w:name="_Toc532377263"/>
      <w:bookmarkStart w:id="690" w:name="_Toc532375597"/>
      <w:bookmarkStart w:id="691" w:name="_Toc351203577"/>
      <w:r>
        <w:rPr>
          <w:rFonts w:hint="eastAsia"/>
          <w:color w:val="auto"/>
          <w:kern w:val="2"/>
          <w:sz w:val="21"/>
          <w:szCs w:val="21"/>
          <w:highlight w:val="none"/>
        </w:rPr>
        <w:t>11. 价格调整</w:t>
      </w:r>
      <w:bookmarkEnd w:id="689"/>
      <w:bookmarkEnd w:id="690"/>
      <w:bookmarkEnd w:id="691"/>
    </w:p>
    <w:p>
      <w:pPr>
        <w:pStyle w:val="7"/>
        <w:spacing w:before="0" w:beforeAutospacing="0" w:after="0" w:afterAutospacing="0" w:line="360" w:lineRule="auto"/>
        <w:ind w:firstLine="422" w:firstLineChars="200"/>
        <w:rPr>
          <w:color w:val="auto"/>
          <w:sz w:val="21"/>
          <w:szCs w:val="21"/>
          <w:highlight w:val="none"/>
        </w:rPr>
      </w:pPr>
      <w:bookmarkStart w:id="692" w:name="_Toc351203578"/>
      <w:bookmarkStart w:id="693" w:name="_Toc296346593"/>
      <w:bookmarkStart w:id="694" w:name="_Toc532377264"/>
      <w:bookmarkStart w:id="695" w:name="_Toc296503092"/>
      <w:bookmarkStart w:id="696" w:name="_Toc337558797"/>
      <w:r>
        <w:rPr>
          <w:rFonts w:hint="eastAsia"/>
          <w:color w:val="auto"/>
          <w:sz w:val="21"/>
          <w:szCs w:val="21"/>
          <w:highlight w:val="none"/>
        </w:rPr>
        <w:t>11.1市场价格波动引起的调整</w:t>
      </w:r>
      <w:bookmarkEnd w:id="692"/>
      <w:bookmarkEnd w:id="693"/>
      <w:bookmarkEnd w:id="694"/>
      <w:bookmarkEnd w:id="695"/>
      <w:bookmarkEnd w:id="696"/>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除专用合同条款另有约定外，市场价格波动超过合同当事人约定的范围，合同价格应当调整。合同当事人可以在专用合同条款中约定选择以下一种方式对合同价格进行调整：</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第1种方式：采用价格指数进行价格调整。</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（1）价格调整公式</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因人工、材料和设备等价格波动影响合同价格时，根据专用合同条款中约定的数据，按以下公式计算差额并调整合同价格：</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object>
          <v:shape id="_x0000_i1025" o:spt="75" type="#_x0000_t75" style="height:42.85pt;width:360pt;" o:ole="t" filled="f" o:preferrelative="t" stroked="f" coordsize="21600,21600">
            <v:path/>
            <v:fill on="f" focussize="0,0"/>
            <v:stroke on="f" joinstyle="miter"/>
            <v:imagedata r:id="rId12" o:title=""/>
            <o:lock v:ext="edit" aspectratio="t"/>
            <w10:wrap type="none"/>
            <w10:anchorlock/>
          </v:shape>
          <o:OLEObject Type="Embed" ProgID="Equations" ShapeID="_x0000_i1025" DrawAspect="Content" ObjectID="_1468075725" r:id="rId11">
            <o:LockedField>false</o:LockedField>
          </o:OLEObject>
        </w:object>
      </w:r>
    </w:p>
    <w:p>
      <w:pPr>
        <w:tabs>
          <w:tab w:val="left" w:pos="0"/>
          <w:tab w:val="left" w:pos="360"/>
          <w:tab w:val="left" w:pos="540"/>
        </w:tabs>
        <w:spacing w:line="360" w:lineRule="auto"/>
        <w:ind w:firstLine="200"/>
        <w:jc w:val="left"/>
        <w:rPr>
          <w:rFonts w:ascii="宋体" w:hAnsi="宋体"/>
          <w:color w:val="auto"/>
          <w:kern w:val="0"/>
          <w:szCs w:val="21"/>
          <w:highlight w:val="none"/>
        </w:rPr>
      </w:pPr>
      <w:r>
        <w:rPr>
          <w:rFonts w:hint="eastAsia" w:ascii="宋体" w:hAnsi="宋体"/>
          <w:color w:val="auto"/>
          <w:kern w:val="0"/>
          <w:szCs w:val="21"/>
          <w:highlight w:val="none"/>
        </w:rPr>
        <w:t>公式中：ΔP——需调整的价格差额；</w:t>
      </w:r>
    </w:p>
    <w:p>
      <w:pPr>
        <w:tabs>
          <w:tab w:val="left" w:pos="0"/>
          <w:tab w:val="left" w:pos="360"/>
          <w:tab w:val="left" w:pos="540"/>
        </w:tabs>
        <w:spacing w:line="360" w:lineRule="auto"/>
        <w:ind w:firstLine="1260" w:firstLineChars="600"/>
        <w:jc w:val="left"/>
        <w:rPr>
          <w:rFonts w:ascii="宋体" w:hAnsi="宋体"/>
          <w:color w:val="auto"/>
          <w:kern w:val="0"/>
          <w:szCs w:val="21"/>
          <w:highlight w:val="none"/>
        </w:rPr>
      </w:pPr>
      <w:r>
        <w:rPr>
          <w:rFonts w:hint="eastAsia" w:ascii="宋体" w:hAnsi="宋体"/>
          <w:color w:val="auto"/>
          <w:kern w:val="0"/>
          <w:szCs w:val="21"/>
          <w:highlight w:val="none"/>
        </w:rPr>
        <w:object>
          <v:shape id="_x0000_i1026" o:spt="75" type="#_x0000_t75" style="height:18.85pt;width:18.85pt;" o:ole="t" filled="f" o:preferrelative="t" stroked="f" coordsize="21600,21600">
            <v:path/>
            <v:fill on="f" focussize="0,0"/>
            <v:stroke on="f" joinstyle="miter"/>
            <v:imagedata r:id="rId14" o:title=""/>
            <o:lock v:ext="edit" aspectratio="t"/>
            <w10:wrap type="none"/>
            <w10:anchorlock/>
          </v:shape>
          <o:OLEObject Type="Embed" ProgID="Equations" ShapeID="_x0000_i1026" DrawAspect="Content" ObjectID="_1468075726" r:id="rId13">
            <o:LockedField>false</o:LockedField>
          </o:OLEObject>
        </w:object>
      </w:r>
      <w:r>
        <w:rPr>
          <w:rFonts w:hint="eastAsia" w:ascii="宋体" w:hAnsi="宋体"/>
          <w:color w:val="auto"/>
          <w:kern w:val="0"/>
          <w:szCs w:val="21"/>
          <w:highlight w:val="none"/>
        </w:rPr>
        <w:t>——约定的付款证书中承包人应得到的已完成工程量的金额。此项金额应不包括价格调整、不计质量保证金的扣留和支付、预付款的支付和扣回。约定的变更及其他金额已按现行价格计价的，也不计在内；</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A——定值权重（即不调部分的权重）；</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object>
          <v:shape id="_x0000_i1027" o:spt="75" type="#_x0000_t75" style="height:22.3pt;width:101.15pt;" o:ole="t" filled="f" o:preferrelative="t" stroked="f" coordsize="21600,21600">
            <v:path/>
            <v:fill on="f" focussize="0,0"/>
            <v:stroke on="f" joinstyle="miter"/>
            <v:imagedata r:id="rId16" o:title=""/>
            <o:lock v:ext="edit" aspectratio="t"/>
            <w10:wrap type="none"/>
            <w10:anchorlock/>
          </v:shape>
          <o:OLEObject Type="Embed" ProgID="Equations" ShapeID="_x0000_i1027" DrawAspect="Content" ObjectID="_1468075727" r:id="rId15">
            <o:LockedField>false</o:LockedField>
          </o:OLEObject>
        </w:object>
      </w:r>
      <w:r>
        <w:rPr>
          <w:rFonts w:hint="eastAsia" w:ascii="宋体" w:hAnsi="宋体"/>
          <w:color w:val="auto"/>
          <w:kern w:val="0"/>
          <w:szCs w:val="21"/>
          <w:highlight w:val="none"/>
        </w:rPr>
        <w:t>——各可调因子的变值权重（即可调部分的权重），为各可调因子在签约合同价中所占的比例；</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object>
          <v:shape id="_x0000_i1028" o:spt="75" type="#_x0000_t75" style="height:22.3pt;width:101.15pt;" o:ole="t" filled="f" o:preferrelative="t" stroked="f" coordsize="21600,21600">
            <v:path/>
            <v:fill on="f" focussize="0,0"/>
            <v:stroke on="f" joinstyle="miter"/>
            <v:imagedata r:id="rId18" o:title=""/>
            <o:lock v:ext="edit" aspectratio="t"/>
            <w10:wrap type="none"/>
            <w10:anchorlock/>
          </v:shape>
          <o:OLEObject Type="Embed" ProgID="Equations" ShapeID="_x0000_i1028" DrawAspect="Content" ObjectID="_1468075728" r:id="rId17">
            <o:LockedField>false</o:LockedField>
          </o:OLEObject>
        </w:object>
      </w:r>
      <w:r>
        <w:rPr>
          <w:rFonts w:hint="eastAsia" w:ascii="宋体" w:hAnsi="宋体"/>
          <w:color w:val="auto"/>
          <w:kern w:val="0"/>
          <w:szCs w:val="21"/>
          <w:highlight w:val="none"/>
        </w:rPr>
        <w:t>——各可调因子的现行价格指数，指约定的付款证书相关周期最后一天的前42天的各可调因子的价格指数；</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object>
          <v:shape id="_x0000_i1029" o:spt="75" type="#_x0000_t75" style="height:22.3pt;width:108.85pt;" o:ole="t" filled="f" o:preferrelative="t" stroked="f" coordsize="21600,21600">
            <v:path/>
            <v:fill on="f" focussize="0,0"/>
            <v:stroke on="f" joinstyle="miter"/>
            <v:imagedata r:id="rId20" o:title=""/>
            <o:lock v:ext="edit" aspectratio="t"/>
            <w10:wrap type="none"/>
            <w10:anchorlock/>
          </v:shape>
          <o:OLEObject Type="Embed" ProgID="Equations" ShapeID="_x0000_i1029" DrawAspect="Content" ObjectID="_1468075729" r:id="rId19">
            <o:LockedField>false</o:LockedField>
          </o:OLEObject>
        </w:object>
      </w:r>
      <w:r>
        <w:rPr>
          <w:rFonts w:hint="eastAsia" w:ascii="宋体" w:hAnsi="宋体"/>
          <w:color w:val="auto"/>
          <w:kern w:val="0"/>
          <w:szCs w:val="21"/>
          <w:highlight w:val="none"/>
        </w:rPr>
        <w:t>——各可调因子的基本价格指数，指基准日期的各可调因子的价格指数。</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以上价格调整公式中的各可调因子、定值和变值权重，以及基本价格指数及其来源在投标函附录价格指数和权重表中约定，非招标订立的合同，由合同当事人在专用合同条款中约定。价格指数应首先采用工程造价管理机构发布的价格指数，无前述价格指数时，可采用工程造价管理机构发布的价格代替。</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（2）暂时确定调整差额</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在计算调整差额时无现行价格指数的，合同当事人同意暂用前次价格指数计算。实际价格指数有调整的，合同当事人进行相应调整。</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（3）权重的调整</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因变更导致合同约定的权重不合理时，按照第4.4款〔商定或确定〕执行。</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（4）因承包人原因工期延误后的价格调整</w:t>
      </w:r>
    </w:p>
    <w:p>
      <w:pPr>
        <w:tabs>
          <w:tab w:val="left" w:pos="0"/>
          <w:tab w:val="left" w:pos="360"/>
          <w:tab w:val="left" w:pos="540"/>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因承包人原因未按期竣工的，对合同约定的竣工日期后继续施工的工程，在使用价格调整公式时，应采用计划竣工日期与实际竣工日期的两个价格指数中较低的一个作为现行价格指数。</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第2种方式：采用造价信息进行价格调整。</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履行期间，因人工、材料、工程设备和机械台班价格波动影响合同价格时，人工、机械使用费按照国家或省、自治区、直辖市建设行政管理部门、行业建设管理部门或其授权的工程造价管理机构发布的人工、机械使用费系数进行调整；需要进行价格调整的材料，其单价和采购数量应由发包人审批，发包人确认需调整的材料单价及数量，作为调整合同价格的依据。</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人工单价发生变化且符合省级或行业建设主管部门发布的人工费调整规定，合同当事人应按省级或行业建设主管部门或其授权的工程造价管理机构发布的人工费等文件调整合同价格，但承包人对人工费或人工单价的报价高于发布价格的除外。</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（2）材料、工程设备价格变化的价款调整按照发包人提供的基准价格，按以下风险范围规定执行：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①承包人在已标价工程量清单或预算书中载明材料单价低于基准价格的：除专用合同条款另有约定外，合同履行期间材料单价涨幅以基准价格为基础超过5%时，或材料单价跌幅以在已标价工程量清单或预算书中载明材料单价为基础超过5%时，其超过部分据实调整。</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②承包人在已标价工程量清单或预算书中载明材料单价高于基准价格的：除专用合同条款另有约定外，合同履行期间材料单价跌幅以基准价格为基础超过5%时，材料单价涨幅以在已标价工程量清单或预算书中载明材料单价为基础超过5%时，其超过部分据实调整。</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③承包人在已标价工程量清单或预算书中载明材料单价等于基准价格的：除专用合同条款另有约定外，合同履行期间材料单价涨跌幅以基准价格为基础超过±5%时，其超过部分据实调整。</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④承包人应在采购材料前将采购数量和新的材料单价报发包人核对，发包人确认用于工程时，发包人应确认采购材料的数量和单价。发包人在收到承包人报送的确认资料后5天内不予答复的视为认可，作为调整合同价格的依据。未经发包人事先核对，承包人自行采购材料的，发包人有权不予调整合同价格。发包人同意的，可以调整合同价格。</w:t>
      </w:r>
    </w:p>
    <w:p>
      <w:pPr>
        <w:spacing w:line="360" w:lineRule="auto"/>
        <w:ind w:firstLine="420" w:firstLineChars="200"/>
        <w:jc w:val="left"/>
        <w:rPr>
          <w:rFonts w:ascii="宋体" w:hAnsi="宋体"/>
          <w:color w:val="auto"/>
          <w:kern w:val="0"/>
          <w:szCs w:val="21"/>
          <w:highlight w:val="none"/>
        </w:rPr>
      </w:pPr>
      <w:bookmarkStart w:id="697" w:name="OLE_LINK3"/>
      <w:r>
        <w:rPr>
          <w:rFonts w:hint="eastAsia" w:ascii="宋体" w:hAnsi="宋体"/>
          <w:color w:val="auto"/>
          <w:kern w:val="0"/>
          <w:szCs w:val="21"/>
          <w:highlight w:val="none"/>
        </w:rPr>
        <w:t>前述基准价格是指由发包人在招标文件或专用合同条款中给定的材料、工程设备的价格，该价格原则上应当按照省级或行业建设主管部门或其授权的工程造价管理机构发布的信息价编制。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（3）施工机械台班单价或施工机械使用费发生变化超过省级或行业建设主管部门或其授权的工程造价管理机构规定的范围时，按规定调整合同价格。</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第3种方式：专用合同条款约定的其他方式。</w:t>
      </w:r>
    </w:p>
    <w:p>
      <w:pPr>
        <w:pStyle w:val="7"/>
        <w:spacing w:before="0" w:beforeAutospacing="0" w:after="0" w:afterAutospacing="0" w:line="360" w:lineRule="auto"/>
        <w:ind w:firstLine="422" w:firstLineChars="200"/>
        <w:rPr>
          <w:color w:val="auto"/>
          <w:sz w:val="21"/>
          <w:szCs w:val="21"/>
          <w:highlight w:val="none"/>
        </w:rPr>
      </w:pPr>
      <w:bookmarkStart w:id="698" w:name="_Toc296503093"/>
      <w:bookmarkStart w:id="699" w:name="_Toc351203579"/>
      <w:bookmarkStart w:id="700" w:name="_Toc337558798"/>
      <w:bookmarkStart w:id="701" w:name="_Toc296346594"/>
      <w:bookmarkStart w:id="702" w:name="_Toc532377265"/>
      <w:r>
        <w:rPr>
          <w:rFonts w:hint="eastAsia"/>
          <w:color w:val="auto"/>
          <w:sz w:val="21"/>
          <w:szCs w:val="21"/>
          <w:highlight w:val="none"/>
        </w:rPr>
        <w:t>11.2法律变化引起的调整</w:t>
      </w:r>
      <w:bookmarkEnd w:id="698"/>
      <w:bookmarkEnd w:id="699"/>
      <w:bookmarkEnd w:id="700"/>
      <w:bookmarkEnd w:id="701"/>
      <w:bookmarkEnd w:id="702"/>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基准日期后，法律变化导致承包人在合同履行过程中所需要的费用发生除第11.1款〔市场价格波动引起的调整〕约定以外的增加时，由发包人承担由此增加的费用；减少时，应从合同价格中予以扣减。基准日期后，因法律变化造成工期延误时，工期应予以顺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因法律变化引起的合同价格和工期调整，合同当事人无法达成一致的，由总监理工程师按第4.4款〔商定或确定〕的约定处理。</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因承包人原因造成工期延误，在工期延误期间出现法律变化的，由此增加的费用和（或）延误的工期由承包人承担。</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703" w:name="_Toc532375598"/>
      <w:bookmarkStart w:id="704" w:name="_Toc532377266"/>
      <w:bookmarkStart w:id="705" w:name="_Toc337558799"/>
      <w:bookmarkStart w:id="706" w:name="_Toc351203580"/>
      <w:bookmarkStart w:id="707" w:name="_Toc296503096"/>
      <w:bookmarkStart w:id="708" w:name="_Toc296346597"/>
      <w:r>
        <w:rPr>
          <w:rFonts w:hint="eastAsia"/>
          <w:color w:val="auto"/>
          <w:kern w:val="2"/>
          <w:sz w:val="21"/>
          <w:szCs w:val="21"/>
          <w:highlight w:val="none"/>
        </w:rPr>
        <w:t>12. 合同价格、计量与支付</w:t>
      </w:r>
      <w:bookmarkEnd w:id="703"/>
      <w:bookmarkEnd w:id="704"/>
      <w:bookmarkEnd w:id="705"/>
      <w:bookmarkEnd w:id="706"/>
    </w:p>
    <w:p>
      <w:pPr>
        <w:pStyle w:val="7"/>
        <w:spacing w:before="0" w:beforeAutospacing="0" w:after="0" w:afterAutospacing="0" w:line="360" w:lineRule="auto"/>
        <w:ind w:firstLine="422" w:firstLineChars="200"/>
        <w:rPr>
          <w:color w:val="auto"/>
          <w:sz w:val="21"/>
          <w:szCs w:val="21"/>
          <w:highlight w:val="none"/>
        </w:rPr>
      </w:pPr>
      <w:bookmarkStart w:id="709" w:name="_Toc337558800"/>
      <w:bookmarkStart w:id="710" w:name="_Toc532377267"/>
      <w:bookmarkStart w:id="711" w:name="_Toc351203581"/>
      <w:r>
        <w:rPr>
          <w:rFonts w:hint="eastAsia"/>
          <w:color w:val="auto"/>
          <w:sz w:val="21"/>
          <w:szCs w:val="21"/>
          <w:highlight w:val="none"/>
        </w:rPr>
        <w:t>12.1 合同价</w:t>
      </w:r>
      <w:bookmarkEnd w:id="707"/>
      <w:bookmarkEnd w:id="708"/>
      <w:r>
        <w:rPr>
          <w:rFonts w:hint="eastAsia"/>
          <w:color w:val="auto"/>
          <w:sz w:val="21"/>
          <w:szCs w:val="21"/>
          <w:highlight w:val="none"/>
        </w:rPr>
        <w:t>格形式</w:t>
      </w:r>
      <w:bookmarkEnd w:id="709"/>
      <w:bookmarkEnd w:id="710"/>
      <w:bookmarkEnd w:id="711"/>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发包人和承包人应在合同协议书中选择下列一种合同价格形式： </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1.单价合同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单价合同是指合同当事人约定以工程量清单及其综合单价进行合同价格计算、调整和确认的建设工程施工合同，在约定的范围内合同单价不作调整。合同当事人应在专用合同条款中约定综合单价包含的风险范围和风险费用的计算方法，并约定风险范围以外的合同价格的调整方法，其中因市场价格波动引起的调整按第11.1款〔市场价格波动引起的调整〕约定执行。</w:t>
      </w:r>
    </w:p>
    <w:p>
      <w:pPr>
        <w:pStyle w:val="7"/>
        <w:spacing w:before="0" w:beforeAutospacing="0" w:after="0" w:afterAutospacing="0" w:line="360" w:lineRule="auto"/>
        <w:ind w:firstLine="420" w:firstLineChars="200"/>
        <w:rPr>
          <w:b w:val="0"/>
          <w:color w:val="auto"/>
          <w:sz w:val="21"/>
          <w:szCs w:val="21"/>
          <w:highlight w:val="none"/>
        </w:rPr>
      </w:pPr>
      <w:bookmarkStart w:id="712" w:name="_Toc532377268"/>
      <w:r>
        <w:rPr>
          <w:rFonts w:hint="eastAsia"/>
          <w:b w:val="0"/>
          <w:color w:val="auto"/>
          <w:sz w:val="21"/>
          <w:szCs w:val="21"/>
          <w:highlight w:val="none"/>
        </w:rPr>
        <w:t>2.总价合同</w:t>
      </w:r>
      <w:bookmarkEnd w:id="712"/>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总价合同是指合同当事人约定以施工图、已标价工程量清单或预算书及有关条件进行合同价格计算、调整和确认的建设工程施工合同，在约定的范围内合同总价不作调整。合同当事人应在专用合同条款中约定总价包含的风险范围和风险费用的计算方法，并约定风险范围以外的合同价格的调整方法，其中因市场价格波动引起的调整按第11.1款〔市场价格波动引起的调整〕、因法律变化引起的调整按第11.2款〔法律变化引起的调整〕约定执行。</w:t>
      </w:r>
    </w:p>
    <w:p>
      <w:pPr>
        <w:pStyle w:val="7"/>
        <w:spacing w:before="0" w:beforeAutospacing="0" w:after="0" w:afterAutospacing="0" w:line="360" w:lineRule="auto"/>
        <w:ind w:firstLine="420" w:firstLineChars="200"/>
        <w:rPr>
          <w:b w:val="0"/>
          <w:color w:val="auto"/>
          <w:sz w:val="21"/>
          <w:szCs w:val="21"/>
          <w:highlight w:val="none"/>
        </w:rPr>
      </w:pPr>
      <w:bookmarkStart w:id="713" w:name="_Toc532377269"/>
      <w:r>
        <w:rPr>
          <w:rFonts w:hint="eastAsia"/>
          <w:b w:val="0"/>
          <w:color w:val="auto"/>
          <w:sz w:val="21"/>
          <w:szCs w:val="21"/>
          <w:highlight w:val="none"/>
        </w:rPr>
        <w:t>3.其它价格形式</w:t>
      </w:r>
      <w:bookmarkEnd w:id="713"/>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合同当事人可在专用合同条款中约定其他合同价格形式。</w:t>
      </w:r>
    </w:p>
    <w:p>
      <w:pPr>
        <w:pStyle w:val="7"/>
        <w:spacing w:before="0" w:beforeAutospacing="0" w:after="0" w:afterAutospacing="0" w:line="360" w:lineRule="auto"/>
        <w:ind w:firstLine="422" w:firstLineChars="200"/>
        <w:rPr>
          <w:color w:val="auto"/>
          <w:sz w:val="21"/>
          <w:szCs w:val="21"/>
          <w:highlight w:val="none"/>
        </w:rPr>
      </w:pPr>
      <w:bookmarkStart w:id="714" w:name="_Toc296503097"/>
      <w:bookmarkStart w:id="715" w:name="_Toc296346598"/>
      <w:bookmarkStart w:id="716" w:name="_Toc351203582"/>
      <w:bookmarkStart w:id="717" w:name="_Toc337558801"/>
      <w:bookmarkStart w:id="718" w:name="_Toc532377270"/>
      <w:r>
        <w:rPr>
          <w:rFonts w:hint="eastAsia"/>
          <w:color w:val="auto"/>
          <w:sz w:val="21"/>
          <w:szCs w:val="21"/>
          <w:highlight w:val="none"/>
        </w:rPr>
        <w:t>12.2预</w:t>
      </w:r>
      <w:bookmarkEnd w:id="714"/>
      <w:bookmarkEnd w:id="715"/>
      <w:bookmarkStart w:id="719" w:name="_Toc296503100"/>
      <w:bookmarkStart w:id="720" w:name="_Toc296346601"/>
      <w:r>
        <w:rPr>
          <w:rFonts w:hint="eastAsia"/>
          <w:color w:val="auto"/>
          <w:sz w:val="21"/>
          <w:szCs w:val="21"/>
          <w:highlight w:val="none"/>
        </w:rPr>
        <w:t>付款</w:t>
      </w:r>
      <w:bookmarkEnd w:id="716"/>
      <w:bookmarkEnd w:id="717"/>
      <w:bookmarkEnd w:id="718"/>
      <w:bookmarkEnd w:id="719"/>
      <w:bookmarkEnd w:id="720"/>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12.2.1预付款的支付</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预付款的支付按照专用合同条款约定执行，但至迟应在开工通知载明的开工日期7天前支付。预付款应当用于材料、工程设备、施工设备的采购及修建临时工程、组织施工队伍进场等。</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除专用合同条款另有约定外，预付款在进度付款中同比例扣回。</w:t>
      </w:r>
      <w:bookmarkEnd w:id="697"/>
      <w:r>
        <w:rPr>
          <w:rFonts w:hint="eastAsia" w:ascii="宋体" w:hAnsi="宋体"/>
          <w:color w:val="auto"/>
          <w:kern w:val="0"/>
          <w:szCs w:val="21"/>
          <w:highlight w:val="none"/>
        </w:rPr>
        <w:t>在颁发工程接收证书前，提前解除合同的，尚未扣完的预付款应与合同价款一并结算。</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发包人逾期支付预付款超过7天的，承包人有权向发包人发出要求预付的催告通知，发包人收到通知后7天内仍未支付的，承包人有权暂停施工，并按第16.1.1项〔发包人违约的情形〕执行。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12.2.2 预付款担保</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要求承包人提供预付款担保的，承包人应在发包人支付预付款7天前提供预付款担保，专用合同条款另有约定除外。预付款担保可采用银行保函、担保公司担保等形式，具体由合同当事人在专用合同条款中约定。在预付款完全扣回之前，承包人应保证预付款担保持续有效。</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发包人在工程款中逐期扣回预付款后，预付款担保额度应相应减少，但剩余的预付款担保金额不得低于未被扣回的预付款金额。</w:t>
      </w:r>
    </w:p>
    <w:p>
      <w:pPr>
        <w:pStyle w:val="7"/>
        <w:spacing w:before="0" w:beforeAutospacing="0" w:after="0" w:afterAutospacing="0" w:line="360" w:lineRule="auto"/>
        <w:ind w:firstLine="422" w:firstLineChars="200"/>
        <w:rPr>
          <w:color w:val="auto"/>
          <w:sz w:val="21"/>
          <w:szCs w:val="21"/>
          <w:highlight w:val="none"/>
        </w:rPr>
      </w:pPr>
      <w:bookmarkStart w:id="721" w:name="_Toc337558802"/>
      <w:bookmarkStart w:id="722" w:name="_Toc351203583"/>
      <w:bookmarkStart w:id="723" w:name="_Toc532377271"/>
      <w:r>
        <w:rPr>
          <w:rFonts w:hint="eastAsia"/>
          <w:color w:val="auto"/>
          <w:sz w:val="21"/>
          <w:szCs w:val="21"/>
          <w:highlight w:val="none"/>
        </w:rPr>
        <w:t>12.3计量</w:t>
      </w:r>
      <w:bookmarkEnd w:id="721"/>
      <w:bookmarkEnd w:id="722"/>
      <w:bookmarkEnd w:id="723"/>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12.3.1 计量原则</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工程量计量按照合同约定的工程量计算规则、图纸及变更指示等进行计量。工程量计算规则应以相关的国家标准、行业标准等为依据，由合同当事人在专用合同条款中约定。</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12.3.2 计量周期</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除专用合同条款另有约定外，工程量的计量按月进行。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12.3.3 单价合同的计量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除专用合同条款另有约定外，单价合同的计量按照本项约定执行：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（1）承包人应于每月25日向监理人报送上月20日至当月19日已完成的工程量报告，并附具进度付款申请单、已完成工程量报表和有关资料。</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监理人应在收到承包人提交的工程量报告后7天内完成对承包人提交的工程量报表的审核并报送发包人，以确定当月实际完成的工程量。监理人对工程量有异议的，有权要求承包人进行共同复核或抽样复测。承包人应协助监理人进行复核或抽样复测，并按监理人要求提供补充计量资料。承包人未按监理人要求参加复核或抽样复测的，监理人复核或修正的工程量视为承包人实际完成的工程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（3）监理人未在收到承包人提交的工程量报表后的7天内完成审核的，承包人报送的工程量报告中的工程量视为承包人实际完成的工程量，据此计算工程价款。</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12.3.4 总价合同的计量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除专用合同条款另有约定外，按月计量支付的总价合同，按照本项约定执行：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（1）承包人应于每月25日向监理人报送上月20日至当月19日已完成的工程量报告，并附具进度付款申请单、已完成工程量报表和有关资料。</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监理人应在收到承包人提交的工程量报告后7天内完成对承包人提交的工程量报表的审核并报送发包人，以确定当月实际完成的工程量。监理人对工程量有异议的，有权要求承包人进行共同复核或抽样复测。承包人应协助监理人进行复核或抽样复测并按监理人要求提供补充计量资料。承包人未按监理人要求参加复核或抽样复测的，监理人审核或修正的工程量视为承包人实际完成的工程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（3）监理人未在收到承包人提交的工程量报表后的7天内完成复核的，承包人提交的工程量报告中的工程量视为承包人实际完成的工程量。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12.3.5 总价合同采用支付分解表计量支付的，可以按照第12.3.4项〔总价合同的计量〕约定进行计量，但合同价款按照支付分解表进行支付。</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12.3.6 其他价格形式合同的计量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合同当事人可在专用合同条款中约定其他价格形式合同的计量方式和程序。</w:t>
      </w:r>
    </w:p>
    <w:p>
      <w:pPr>
        <w:pStyle w:val="7"/>
        <w:spacing w:before="0" w:beforeAutospacing="0" w:after="0" w:afterAutospacing="0" w:line="360" w:lineRule="auto"/>
        <w:ind w:firstLine="422" w:firstLineChars="200"/>
        <w:rPr>
          <w:color w:val="auto"/>
          <w:sz w:val="21"/>
          <w:szCs w:val="21"/>
          <w:highlight w:val="none"/>
        </w:rPr>
      </w:pPr>
      <w:bookmarkStart w:id="724" w:name="_Toc296346602"/>
      <w:bookmarkStart w:id="725" w:name="_Toc296503101"/>
      <w:bookmarkStart w:id="726" w:name="_Toc351203584"/>
      <w:bookmarkStart w:id="727" w:name="_Toc337558803"/>
      <w:bookmarkStart w:id="728" w:name="_Toc532377272"/>
      <w:r>
        <w:rPr>
          <w:rFonts w:hint="eastAsia"/>
          <w:color w:val="auto"/>
          <w:sz w:val="21"/>
          <w:szCs w:val="21"/>
          <w:highlight w:val="none"/>
        </w:rPr>
        <w:t>12.4工程进度款支</w:t>
      </w:r>
      <w:bookmarkEnd w:id="724"/>
      <w:bookmarkEnd w:id="725"/>
      <w:r>
        <w:rPr>
          <w:rFonts w:hint="eastAsia"/>
          <w:color w:val="auto"/>
          <w:sz w:val="21"/>
          <w:szCs w:val="21"/>
          <w:highlight w:val="none"/>
        </w:rPr>
        <w:t>付</w:t>
      </w:r>
      <w:bookmarkEnd w:id="726"/>
      <w:bookmarkEnd w:id="727"/>
      <w:bookmarkEnd w:id="728"/>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12.4.1 付款周期</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除专用合同条款另有约定外，付款周期应按照第12.3.2项〔计量周期〕的约定与计量周期保持一致。</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12.4.2 进度付款申请单的编制</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除专用合同条款另有约定外，进度付款申请单应包括下列内容：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（1）截至本次付款周期已完成工作对应的金额；</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（2）根据第10条〔变更〕应增加和扣减的变更金额；</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（3）根据第12.2款〔预付款〕约定应支付的预付款和扣减的返还预付款；</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（4）根据第15.3款〔质量保证金〕约定应扣减的质量保证金；</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（5）根据第19条〔索赔〕应增加和扣减的索赔金额；</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（6）对已签发的进度款支付证书中出现错误的修正，应在本次进度付款中支付或扣除的金额；</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（7）根据合同约定应增加和扣减的其他金额。</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12.4.3 进度付款申请单的提交</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（1）单价合同进度付款申请单的提交</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单价合同的进度付款申请单，按照第12.3.3项〔单价合同的计量〕约定的时间按月向监理人提交，并附上已完成工程量报表和有关资料。单价合同中的总价项目按月进行支付分解，并汇总列入当期进度付款申请单。</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（2）总价合同进度付款申请单的提交</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总价合同按月计量支付的，承包人按照第12.3.4项〔总价合同的计量〕约定的时间按月向监理人提交进度付款申请单，并附上已完成工程量报表和有关资料。</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总价合同按支付分解表支付的，承包人应按照第12.4.6项〔支付分解表〕及第12.4.2项〔进度付款申请单的编制〕的约定向监理人提交进度付款申请单。</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（3）其他价格形式合同的进度付款申请单的提交</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合同当事人可在专用合同条款中约定其他价格形式合同的进度付款申请单的编制和提交程序。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12.4.4 进度款审核和支付</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除专用合同条款另有约定外，监理人应在收到承包人进度付款申请单以及相关资料后7天内完成审查并报送发包人，发包人应在收到后7天内完成审批并签发进度款支付证书。发包人逾期未完成审批且未提出异议的，视为已签发进度款支付证书。</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和监理人对承包人的进度付款申请单有异议的，有权要求承包人修正和提供补充资料，承包人应提交修正后的进度付款申请单。监理人应在收到承包人修正后的进度付款申请单及相关资料后7天内完成审查并报送发包人，发包人应在收到监理人报送的进度付款申请单及相关资料后7天内，向承包人签发无异议部分的临时进度款支付证书。存在争议的部分，按照第20条〔争议解决〕的约定处理。</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（2）除专用合同条款另有约定外，发包人应在进度款支付证书或临时进度款支付证书签发后14天内完成支付，发包人逾期支付进度款的，应按照中国人民银行发布的同期同类贷款基准利率支付违约金。</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（3）发包人签发进度款支付证书或临时进度款支付证书，不表明发包人已同意、批准或接受了承包人完成的相应部分的工作。</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12.4.5 进度付款的修正</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在对已签发的进度款支付证书进行阶段汇总和复核中发现错误、遗漏或重复的，发包人和承包人均有权提出修正申请。经发包人和承包人同意的修正，应在下期进度付款中支付或扣除。</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12.4.6 支付分解表</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1.支付分解表的编制要求</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（1）支付分解表中所列的每期付款金额，应为第12.4.2项〔进度付款申请单的编制〕第（1）目的估算金额；</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（2）实际进度与施工进度计划不一致的，合同当事人可按照第4.4款〔商定或确定〕修改支付分解表；</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（3）不采用支付分解表的，承包人应向发包人和监理人提交按季度编制的支付估算分解表，用于支付参考。</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2.总价合同支付分解表的编制与审批</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除专用合同条款另有约定外，承包人应根据第7.2款〔施工进度计划〕约定的施工进度计划、签约合同价和工程量等因素对总价合同按月进行分解，编制支付分解表。承包人应当在收到监理人和发包人批准的施工进度计划后7天内，将支付分解表及编制支付分解表的支持性资料报送监理人。</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（2）监理人应在收到支付分解表后7天内完成审核并报送发包人。发包人应在收到经监理人审核的支付分解表后7天内完成审批，经发包人批准的支付分解表为有约束力的支付分解表。</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（3）发包人逾期未完成支付分解表审批的，也未及时要求承包人进行修正和提供补充资料的，则承包人提交的支付分解表视为已经获得发包人批准。</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3.单价合同的总价项目支付分解表的编制与审批</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单价合同的总价项目，由承包人根据施工进度计划和总价项目的总价构成、费用性质、计划发生时间和相应工程量等因素按月进行分解，形成支付分解表，其编制与审批参照总价合同支付分解表的编制与审批执行。</w:t>
      </w:r>
    </w:p>
    <w:p>
      <w:pPr>
        <w:pStyle w:val="7"/>
        <w:spacing w:before="0" w:beforeAutospacing="0" w:after="0" w:afterAutospacing="0" w:line="360" w:lineRule="auto"/>
        <w:ind w:firstLine="422" w:firstLineChars="200"/>
        <w:rPr>
          <w:color w:val="auto"/>
          <w:sz w:val="21"/>
          <w:szCs w:val="21"/>
          <w:highlight w:val="none"/>
        </w:rPr>
      </w:pPr>
      <w:bookmarkStart w:id="729" w:name="_Toc532377273"/>
      <w:r>
        <w:rPr>
          <w:rFonts w:hint="eastAsia"/>
          <w:color w:val="auto"/>
          <w:sz w:val="21"/>
          <w:szCs w:val="21"/>
          <w:highlight w:val="none"/>
        </w:rPr>
        <w:t>12.5支付账户</w:t>
      </w:r>
      <w:bookmarkEnd w:id="729"/>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发包人应将合同价款支付至合同协议书中约定的承包人账户。</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730" w:name="_Toc532377274"/>
      <w:bookmarkStart w:id="731" w:name="_Toc351203586"/>
      <w:bookmarkStart w:id="732" w:name="_Toc322522574"/>
      <w:bookmarkStart w:id="733" w:name="_Toc296503106"/>
      <w:bookmarkStart w:id="734" w:name="_Toc337558804"/>
      <w:bookmarkStart w:id="735" w:name="_Toc532375599"/>
      <w:bookmarkStart w:id="736" w:name="_Toc296346607"/>
      <w:r>
        <w:rPr>
          <w:rFonts w:hint="eastAsia"/>
          <w:color w:val="auto"/>
          <w:kern w:val="2"/>
          <w:sz w:val="21"/>
          <w:szCs w:val="21"/>
          <w:highlight w:val="none"/>
        </w:rPr>
        <w:t>13. 验收和工程试车</w:t>
      </w:r>
      <w:bookmarkEnd w:id="730"/>
      <w:bookmarkEnd w:id="731"/>
      <w:bookmarkEnd w:id="732"/>
      <w:bookmarkEnd w:id="733"/>
      <w:bookmarkEnd w:id="734"/>
      <w:bookmarkEnd w:id="735"/>
      <w:bookmarkEnd w:id="736"/>
    </w:p>
    <w:p>
      <w:pPr>
        <w:pStyle w:val="7"/>
        <w:spacing w:before="0" w:beforeAutospacing="0" w:after="0" w:afterAutospacing="0" w:line="360" w:lineRule="auto"/>
        <w:ind w:firstLine="422" w:firstLineChars="200"/>
        <w:rPr>
          <w:color w:val="auto"/>
          <w:sz w:val="21"/>
          <w:szCs w:val="21"/>
          <w:highlight w:val="none"/>
        </w:rPr>
      </w:pPr>
      <w:bookmarkStart w:id="737" w:name="_Toc532377275"/>
      <w:bookmarkStart w:id="738" w:name="_Toc351203587"/>
      <w:bookmarkStart w:id="739" w:name="_Toc337558805"/>
      <w:bookmarkStart w:id="740" w:name="_Toc296503110"/>
      <w:bookmarkStart w:id="741" w:name="_Toc296346611"/>
      <w:r>
        <w:rPr>
          <w:rFonts w:hint="eastAsia"/>
          <w:color w:val="auto"/>
          <w:sz w:val="21"/>
          <w:szCs w:val="21"/>
          <w:highlight w:val="none"/>
        </w:rPr>
        <w:t>13.1分部分项工程验收</w:t>
      </w:r>
      <w:bookmarkEnd w:id="737"/>
      <w:bookmarkEnd w:id="738"/>
      <w:bookmarkEnd w:id="739"/>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13.1.1 分部分项工程质量应符合国家有关工程施工验收规范、标准及合同约定，承包人应按照施工组织设计的要求完成分部分项工程施工。</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13.1.2 除专用合同条款另有约定外，分部分项工程经承包人自检合格并具备验收条件的，承包人应提前48小时通知监理人进行验收。监理人不能按时进行验收的，应在验收前24小时向承包人提交书面延期要求，但延期不能超过48小时。监理人未按时进行验收，也未提出延期要求的，承包人有权自行验收，监理人应认可验收结果。分部分项工程未经验收的，不得进入下一道工序施工。</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分部分项工程的验收资料应当作为竣工资料的组成部分。</w:t>
      </w:r>
    </w:p>
    <w:p>
      <w:pPr>
        <w:pStyle w:val="7"/>
        <w:spacing w:before="0" w:beforeAutospacing="0" w:after="0" w:afterAutospacing="0" w:line="360" w:lineRule="auto"/>
        <w:ind w:firstLine="422" w:firstLineChars="200"/>
        <w:rPr>
          <w:color w:val="auto"/>
          <w:sz w:val="21"/>
          <w:szCs w:val="21"/>
          <w:highlight w:val="none"/>
        </w:rPr>
      </w:pPr>
      <w:bookmarkStart w:id="742" w:name="_Toc351203588"/>
      <w:bookmarkStart w:id="743" w:name="_Toc337558806"/>
      <w:bookmarkStart w:id="744" w:name="_Toc532377276"/>
      <w:r>
        <w:rPr>
          <w:rFonts w:hint="eastAsia"/>
          <w:color w:val="auto"/>
          <w:sz w:val="21"/>
          <w:szCs w:val="21"/>
          <w:highlight w:val="none"/>
        </w:rPr>
        <w:t>13.2竣工验收</w:t>
      </w:r>
      <w:bookmarkEnd w:id="740"/>
      <w:bookmarkEnd w:id="741"/>
      <w:bookmarkEnd w:id="742"/>
      <w:bookmarkEnd w:id="743"/>
      <w:bookmarkEnd w:id="744"/>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13.2.1竣工验收条件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工程具备以下条件的，承包人可以申请竣工验收：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（1）除发包人同意的甩项工作和缺陷修补工作外，合同范围内的全部工程以及有关工作，包括合同要求的试验、试运行以及检验均已完成，并符合合同要求；</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（2）已按合同约定编制了甩项工作和缺陷修补工作清单以及相应的施工计划；</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（3）已按合同约定的内容和份数备齐竣工资料。</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13.2.2竣工验收程序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除专用合同条款另有约定外，承包人申请竣工验收的，应当按照以下程序进行：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承包人向监理人报送竣工验收申请报告，监理人应在收到竣工验收申请报告后14天内完成审查并报送发包人。监理人审查后认为尚不具备验收条件的，应通知承包人在竣工验收前承包人还需完成的工作内容，承包人应在完成监理人通知的全部工作内容后，再次提交竣工验收申请报告。</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（2）监理人审查后认为已具备竣工验收条件的，应将竣工验收申请报告提交发包人，发包人应在收到经监理人审核的竣工验收申请报告后28天内审批完毕并组织监理人、承包人、设计人等相关单位完成竣工验收。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（3）竣工验收合格的，发包人应在验收合格后14天内向承包人签发工程接收证书。发包人无正当理由逾期不颁发工程接收证书的，自验收合格后第15天起视为已颁发工程接收证书。</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竣工验收不合格的，监理人应按照验收意见发出指示，要求承包人对不合格工程返工、修复或采取其他补救措施，由此增加的费用和（或）延误的工期由承包人承担。承包人在完成不合格工程的返工、修复或采取其他补救措施后，应重新提交竣工验收申请报告，并按本项约定的程序重新进行验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（5）工程未经验收或验收不合格，发包人擅自使用的，应在转移占有工程后7天内向承包人颁发工程接收证书；发包人无正当理由逾期不颁发工程接收证书的，自转移占有后第15天起视为已颁发工程接收证书。</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除专用合同条款另有约定外，发包人不按照本项约定组织竣工验收、颁发工程接收证书的，每逾期一天，应以签约合同价为基数，按照中国人民银行发布的同期同类贷款基准利率支付违约金。</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13.2.3竣工日期</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工程经竣工验收合格的，以承包人提交竣工验收申请报告之日为实际竣工日期，并在工程接收证书中载明；因发包人原因，未在监理人收到承包人提交的竣工验收申请报告42天内完成竣工验收，或完成竣工验收不予签发工程接收证书的，以提交竣工验</w:t>
      </w:r>
      <w:bookmarkStart w:id="745" w:name="#go14"/>
      <w:bookmarkEnd w:id="745"/>
      <w:r>
        <w:rPr>
          <w:rFonts w:hint="eastAsia" w:ascii="宋体" w:hAnsi="宋体"/>
          <w:color w:val="auto"/>
          <w:kern w:val="0"/>
          <w:szCs w:val="21"/>
          <w:highlight w:val="none"/>
        </w:rPr>
        <w:t>收申请报告的日期为实际竣工日期；工程未经竣工验收，发包人擅自使用的，以转移占有工程之日为实际竣工日期。</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13.2.4 拒绝接收全部或部分工程</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对于竣工验收不合格的工程，承包人完成整改后，应当重新进行竣工验收，经重新组织验收仍不合格的且无法采取措施补救的，则发包人可以拒绝接收不合格工程，因不合格工程导致其他工程不能正常使用的，承包人应采取措施确保相关工程的正常使用，由此增加的费用和（或）延误的工期由承包人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13.2.5 移交、接收全部与部分工程</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除专用合同条款另有约定外，合同当事人应当在颁发工程接收证书后7天内完成工程的移交。</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发包人无正当理由不接收工程的，发包人自应当接收工程之日起，承担工程照管、成品保护、保管等与工程有关的各项费用，合同当事人可以在专用合同条款中另行约定发包人逾期接收工程的违约责任。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承包人无正当理由不移交工程的，承包人应承担工程照管、成品保护、保管等与工程有关的各项费用，合同当事人可以在专用合同条款中另行约定承包人无正当理由不移交工程的违约责任。</w:t>
      </w:r>
    </w:p>
    <w:p>
      <w:pPr>
        <w:pStyle w:val="7"/>
        <w:spacing w:before="0" w:beforeAutospacing="0" w:after="0" w:afterAutospacing="0" w:line="360" w:lineRule="auto"/>
        <w:ind w:firstLine="422" w:firstLineChars="200"/>
        <w:rPr>
          <w:color w:val="auto"/>
          <w:sz w:val="21"/>
          <w:szCs w:val="21"/>
          <w:highlight w:val="none"/>
        </w:rPr>
      </w:pPr>
      <w:bookmarkStart w:id="746" w:name="_Toc532377277"/>
      <w:bookmarkStart w:id="747" w:name="_Toc296346612"/>
      <w:bookmarkStart w:id="748" w:name="_Toc296503111"/>
      <w:bookmarkStart w:id="749" w:name="_Toc337558807"/>
      <w:bookmarkStart w:id="750" w:name="_Toc351203589"/>
      <w:r>
        <w:rPr>
          <w:rFonts w:hint="eastAsia"/>
          <w:color w:val="auto"/>
          <w:sz w:val="21"/>
          <w:szCs w:val="21"/>
          <w:highlight w:val="none"/>
        </w:rPr>
        <w:t>13.3工程试车</w:t>
      </w:r>
      <w:bookmarkEnd w:id="746"/>
      <w:bookmarkEnd w:id="747"/>
      <w:bookmarkEnd w:id="748"/>
      <w:bookmarkEnd w:id="749"/>
      <w:bookmarkEnd w:id="750"/>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13.3.1试车程序</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工程需要试车的，除专用合同条款另有约定外，试车内容应与承包人承包范围相一致，试车费用由承包人承担。工程试车应按如下程序进行：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具备单机无负荷试车条件，承包人组织试车，并在试车前48小时书面通知监理人，通知中应载明试车内容、时间、地点。承包人准备试车记录，发包人根据承包人要求为试车提供必要条件。试车合格的，监理人在试车记录上签名。监理人在试车合格后不在试车记录上签名，自试车结束满24小时后视为监理人已经认可试车记录，承包人可继续施工或办理竣工验收手续。</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监理人不能按时参加试车，应在试车前24小时以书面形式向承包人提出延期要求，但延期不能超过48小时，由此导致工期延误的，工期应予以顺延。监理人未能在前述期限内提出延期要求，又不参加试车的，视为认可试车记录。</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具备无负荷联动试车条件，发包人组织试车，并在试车前48小时以书面形式通知承包人。通知中应载明试车内容、时间、地点和对承包人的要求，承包人按要求做好准备工作。试车合格，合同当事人在试车记录上签名。承包人无正当理由不参加试车的，视为认可试车记录。</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13.3.2 试车中的责任</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设计原因导致试车达不到验收要求，发包人应要求设计人修改设计，承包人按修改后的设计重新安装。发包人承担修改设计、拆除及重新安装的全部费用，工期相应顺延。因承包人原因导致试车达不到验收要求，承包人按监理人要求重新安装和试车，并承担重新安装和试车的费用，工期不予顺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工程设备制造原因导致试车达不到验收要求的，由采购该工程设备的合同当事人负责重新购置或修理，承包人负责拆除和重新安装，由此增加的修理、重新购置、拆除及重新安装的费用及延误的工期由采购该工程设备的合同当事人承担。</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13.3.3 投料试车</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如需进行投料试车的，发包人应在工程竣工验收后组织投料试车。发包人要求在工程竣工验收前进行或需要承包人配合时，应征得承包人同意，并在专用合同条款中约定有关事项。</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投料试车合格的，费用由发包人承担；因承包人原因造成投料试车不合格的，承包人应按照发包人要求进行整改，由此产生的整改费用由承包人承担；非因承包人原因导致投料试车不合格的，如发包人要求承包人进行整改的，由此产生的费用由发包人承担。</w:t>
      </w:r>
    </w:p>
    <w:p>
      <w:pPr>
        <w:pStyle w:val="7"/>
        <w:spacing w:before="0" w:beforeAutospacing="0" w:after="0" w:afterAutospacing="0" w:line="360" w:lineRule="auto"/>
        <w:ind w:firstLine="422" w:firstLineChars="200"/>
        <w:rPr>
          <w:color w:val="auto"/>
          <w:sz w:val="21"/>
          <w:szCs w:val="21"/>
          <w:highlight w:val="none"/>
        </w:rPr>
      </w:pPr>
      <w:bookmarkStart w:id="751" w:name="_Toc532377278"/>
      <w:r>
        <w:rPr>
          <w:rFonts w:hint="eastAsia"/>
          <w:color w:val="auto"/>
          <w:sz w:val="21"/>
          <w:szCs w:val="21"/>
          <w:highlight w:val="none"/>
        </w:rPr>
        <w:t>13.4提前交付单位工程的验收</w:t>
      </w:r>
      <w:bookmarkEnd w:id="751"/>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13.4.1 发包人需要在工程竣工前使用单位工程的，或承包人提出提前交付已经竣工的单位工程且经发包人同意的，可进行单位工程验收，验收的程序按照第13.2款〔竣工验收〕的约定进行。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验收合格后，由监理人向承包人出具经发包人签认的单位工程接收证书。已签发单位工程接收证书的单位工程由发包人负责照管。单位工程的验收成果和结论作为整体工程竣工验收申请报告的附件。</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13.4.2 发包人要求在工程竣工前交付单位工程，由此导致承包人费用增加和（或）工期延误的，由发包人承担由此增加的费用和（或）延误的工期，并支付承包人合理的利润。</w:t>
      </w:r>
    </w:p>
    <w:p>
      <w:pPr>
        <w:pStyle w:val="7"/>
        <w:spacing w:before="0" w:beforeAutospacing="0" w:after="0" w:afterAutospacing="0" w:line="360" w:lineRule="auto"/>
        <w:ind w:firstLine="422" w:firstLineChars="200"/>
        <w:rPr>
          <w:color w:val="auto"/>
          <w:sz w:val="21"/>
          <w:szCs w:val="21"/>
          <w:highlight w:val="none"/>
        </w:rPr>
      </w:pPr>
      <w:bookmarkStart w:id="752" w:name="_Toc532377279"/>
      <w:bookmarkStart w:id="753" w:name="_Toc351203591"/>
      <w:r>
        <w:rPr>
          <w:rFonts w:hint="eastAsia"/>
          <w:color w:val="auto"/>
          <w:sz w:val="21"/>
          <w:szCs w:val="21"/>
          <w:highlight w:val="none"/>
        </w:rPr>
        <w:t>13.5 施工期运行</w:t>
      </w:r>
      <w:bookmarkEnd w:id="752"/>
      <w:bookmarkEnd w:id="753"/>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13.5.1 施工期运行是指合同工程尚未全部竣工，其中某项或某几项单位工程或工程设备安装已竣工，根据专用合同条款约定，需要投入施工期运行的，经发包人按第13.4款〔提前交付单位工程的验收〕的约定验收合格，证明能确保安全后，才能在施工期投入运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13.5.2 在施工期运行中发现工程或工程设备损坏或存在缺陷的，由承包人按第15.2款〔缺陷责任期〕约定进行修复。</w:t>
      </w:r>
    </w:p>
    <w:p>
      <w:pPr>
        <w:pStyle w:val="7"/>
        <w:spacing w:before="0" w:beforeAutospacing="0" w:after="0" w:afterAutospacing="0" w:line="360" w:lineRule="auto"/>
        <w:ind w:firstLine="422" w:firstLineChars="200"/>
        <w:rPr>
          <w:color w:val="auto"/>
          <w:sz w:val="21"/>
          <w:szCs w:val="21"/>
          <w:highlight w:val="none"/>
        </w:rPr>
      </w:pPr>
      <w:bookmarkStart w:id="754" w:name="_Toc296503112"/>
      <w:bookmarkStart w:id="755" w:name="_Toc296346613"/>
      <w:bookmarkStart w:id="756" w:name="_Toc337558809"/>
      <w:bookmarkStart w:id="757" w:name="_Toc351203592"/>
      <w:bookmarkStart w:id="758" w:name="_Toc532377280"/>
      <w:r>
        <w:rPr>
          <w:rFonts w:hint="eastAsia"/>
          <w:color w:val="auto"/>
          <w:sz w:val="21"/>
          <w:szCs w:val="21"/>
          <w:highlight w:val="none"/>
        </w:rPr>
        <w:t>13.6 竣工退</w:t>
      </w:r>
      <w:bookmarkEnd w:id="754"/>
      <w:bookmarkEnd w:id="755"/>
      <w:r>
        <w:rPr>
          <w:rFonts w:hint="eastAsia"/>
          <w:color w:val="auto"/>
          <w:sz w:val="21"/>
          <w:szCs w:val="21"/>
          <w:highlight w:val="none"/>
        </w:rPr>
        <w:t>场</w:t>
      </w:r>
      <w:bookmarkEnd w:id="756"/>
      <w:bookmarkEnd w:id="757"/>
      <w:bookmarkEnd w:id="758"/>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13.6.1 竣工退场</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颁发工程接收证书后，承包人应按以下要求对施工现场进行清理：</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（1）施工现场内残留的垃圾已全部清除出场；</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（2）临时工程已拆除，场地已进行清理、平整或复原；</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（3）按合同约定应撤离的人员、承包人施工设备和剩余的材料，包括废弃的施工设备和材料，已按计划撤离施工现场；</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（4）施工现场周边及其附近道路、河道的施工堆积物，已全部清理；</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（5）施工现场其他场地清理工作已全部完成。</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施工现场的竣工退场费用由承包人承担。承包人应在专用合同条款约定的期限内完成竣工退场，逾期未完成的，发包人有权出售或另行处理承包人遗留的物品，由此支出的费用由承包人承担，发包人出售承包人遗留物品所得款项在扣除必要费用后应返还承包人。</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13.6.2 地表还原</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承包人应按发包人要求恢复临时占地及清理场地，承包人未按发包人的要求恢复临时占地，或者场地清理未达到合同约定要求的，发包人有权委托其他人恢复或清理，所发生的费用由承包人承担。</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759" w:name="_Toc337558810"/>
      <w:bookmarkStart w:id="760" w:name="_Toc532375600"/>
      <w:bookmarkStart w:id="761" w:name="_Toc532377281"/>
      <w:bookmarkStart w:id="762" w:name="_Toc351203593"/>
      <w:bookmarkStart w:id="763" w:name="_Toc296346614"/>
      <w:bookmarkStart w:id="764" w:name="_Toc296503113"/>
      <w:r>
        <w:rPr>
          <w:rFonts w:hint="eastAsia"/>
          <w:color w:val="auto"/>
          <w:kern w:val="2"/>
          <w:sz w:val="21"/>
          <w:szCs w:val="21"/>
          <w:highlight w:val="none"/>
        </w:rPr>
        <w:t>14. 竣工结算</w:t>
      </w:r>
      <w:bookmarkEnd w:id="759"/>
      <w:bookmarkEnd w:id="760"/>
      <w:bookmarkEnd w:id="761"/>
      <w:bookmarkEnd w:id="762"/>
    </w:p>
    <w:p>
      <w:pPr>
        <w:pStyle w:val="7"/>
        <w:spacing w:before="0" w:beforeAutospacing="0" w:after="0" w:afterAutospacing="0" w:line="360" w:lineRule="auto"/>
        <w:ind w:firstLine="422" w:firstLineChars="200"/>
        <w:rPr>
          <w:color w:val="auto"/>
          <w:sz w:val="21"/>
          <w:szCs w:val="21"/>
          <w:highlight w:val="none"/>
        </w:rPr>
      </w:pPr>
      <w:bookmarkStart w:id="765" w:name="_Toc532377282"/>
      <w:bookmarkStart w:id="766" w:name="_Toc337558811"/>
      <w:bookmarkStart w:id="767" w:name="_Toc351203594"/>
      <w:r>
        <w:rPr>
          <w:rFonts w:hint="eastAsia"/>
          <w:color w:val="auto"/>
          <w:sz w:val="21"/>
          <w:szCs w:val="21"/>
          <w:highlight w:val="none"/>
        </w:rPr>
        <w:t>14.1 竣工结算申请</w:t>
      </w:r>
      <w:bookmarkEnd w:id="765"/>
      <w:bookmarkEnd w:id="766"/>
      <w:bookmarkEnd w:id="767"/>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承包人应在工程竣工验收合格后28天内向发包人和监理人提交竣工结算申请单，并提交完整的结算资料，有关竣工结算申请单的资料清单和份数等要求由合同当事人在专用合同条款中约定。</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除专用合同条款另有约定外，竣工结算申请单应包括以下内容：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（1）竣工结算合同价格；</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（2）发包人已支付承包人的款项；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（3）应扣留的质量保证金。已缴纳履约保证金的或提供其他工程质量担保方式的除外； </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（4）发包人应支付承包人的合同价款。</w:t>
      </w:r>
    </w:p>
    <w:p>
      <w:pPr>
        <w:pStyle w:val="7"/>
        <w:spacing w:before="0" w:beforeAutospacing="0" w:after="0" w:afterAutospacing="0" w:line="360" w:lineRule="auto"/>
        <w:ind w:firstLine="422" w:firstLineChars="200"/>
        <w:rPr>
          <w:color w:val="auto"/>
          <w:sz w:val="21"/>
          <w:szCs w:val="21"/>
          <w:highlight w:val="none"/>
        </w:rPr>
      </w:pPr>
      <w:bookmarkStart w:id="768" w:name="_Toc532377283"/>
      <w:bookmarkStart w:id="769" w:name="_Toc337558812"/>
      <w:bookmarkStart w:id="770" w:name="_Toc351203595"/>
      <w:r>
        <w:rPr>
          <w:rFonts w:hint="eastAsia"/>
          <w:color w:val="auto"/>
          <w:sz w:val="21"/>
          <w:szCs w:val="21"/>
          <w:highlight w:val="none"/>
        </w:rPr>
        <w:t>14.2 竣工结算审核</w:t>
      </w:r>
      <w:bookmarkEnd w:id="768"/>
      <w:bookmarkEnd w:id="769"/>
      <w:bookmarkEnd w:id="770"/>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除专用合同条款另有约定外，监理人应在收到竣工结算申请单后14天内完成核查并报送发包人。发包人应在收到监理人提交的经审核的竣工结算申请单后14天内完成审批，并由监理人向承包人签发经发包人签认的竣工付款证书。监理人或发包人对竣工结算申请单有异议的，有权要求承包人进行修正和提供补充资料，承包人应提交修正后的竣工结算申请单。</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发包人在收到承包人提交竣工结算申请书后28天内未完成审批且未提出异议的，视为发包人认可承包人提交的竣工结算申请单，并自发包人收到承包人提交的竣工结算申请单后第29天起视为已签发竣工付款证书。</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（2）除专用合同条款另有约定外，发包人应在签发竣工付款证书后的14 天内，完成对承包人的竣工付款。发包人逾期支付的，按照中国人民银行发布的同期同类贷款基准利率支付违约金；逾期支付超过56天的，按照中国人民银行发布的同期同类贷款基准利率的两倍支付违约金。</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承包人对发包人签认的竣工付款证书有异议的，对于有异议部分应在收到发包人签认的竣工付款证书后7天内提出异议，并由合同当事人按照专用合同条款约定的方式和程序进行复核，或按照第20条〔争议解决〕约定处理。对于无异议部分，发包人应签发临时竣工付款证书，并按本款第（2）项完成付款。承包人逾期未提出异议的，视为认可发包人的审批结果。</w:t>
      </w:r>
    </w:p>
    <w:p>
      <w:pPr>
        <w:pStyle w:val="7"/>
        <w:spacing w:before="0" w:beforeAutospacing="0" w:after="0" w:afterAutospacing="0" w:line="360" w:lineRule="auto"/>
        <w:ind w:firstLine="422" w:firstLineChars="200"/>
        <w:rPr>
          <w:color w:val="auto"/>
          <w:sz w:val="21"/>
          <w:szCs w:val="21"/>
          <w:highlight w:val="none"/>
        </w:rPr>
      </w:pPr>
      <w:bookmarkStart w:id="771" w:name="_Toc337558813"/>
      <w:bookmarkStart w:id="772" w:name="_Toc532377284"/>
      <w:bookmarkStart w:id="773" w:name="_Toc351203596"/>
      <w:r>
        <w:rPr>
          <w:rFonts w:hint="eastAsia"/>
          <w:color w:val="auto"/>
          <w:sz w:val="21"/>
          <w:szCs w:val="21"/>
          <w:highlight w:val="none"/>
        </w:rPr>
        <w:t>14.3 甩项竣工协议</w:t>
      </w:r>
      <w:bookmarkEnd w:id="771"/>
      <w:bookmarkEnd w:id="772"/>
      <w:bookmarkEnd w:id="773"/>
    </w:p>
    <w:p>
      <w:pPr>
        <w:autoSpaceDE w:val="0"/>
        <w:autoSpaceDN w:val="0"/>
        <w:spacing w:line="360" w:lineRule="auto"/>
        <w:ind w:firstLine="411" w:firstLineChars="196"/>
        <w:jc w:val="left"/>
        <w:rPr>
          <w:rFonts w:ascii="宋体" w:hAnsi="宋体"/>
          <w:color w:val="auto"/>
          <w:kern w:val="0"/>
          <w:szCs w:val="21"/>
          <w:highlight w:val="none"/>
        </w:rPr>
      </w:pPr>
      <w:r>
        <w:rPr>
          <w:rFonts w:hint="eastAsia" w:ascii="宋体" w:hAnsi="宋体"/>
          <w:color w:val="auto"/>
          <w:kern w:val="0"/>
          <w:szCs w:val="21"/>
          <w:highlight w:val="none"/>
        </w:rPr>
        <w:t>发包人要求甩项竣工的，合同当事人应签订甩项竣工协议。在甩项竣工协议中应明确，合同当事人按照第14.1款〔竣工结算申请〕及14.2款〔竣工结算审核〕的约定，对已完合格工程进行结算，并支付相应合同价款。</w:t>
      </w:r>
    </w:p>
    <w:p>
      <w:pPr>
        <w:pStyle w:val="7"/>
        <w:spacing w:before="0" w:beforeAutospacing="0" w:after="0" w:afterAutospacing="0" w:line="360" w:lineRule="auto"/>
        <w:ind w:firstLine="422" w:firstLineChars="200"/>
        <w:rPr>
          <w:color w:val="auto"/>
          <w:sz w:val="21"/>
          <w:szCs w:val="21"/>
          <w:highlight w:val="none"/>
        </w:rPr>
      </w:pPr>
      <w:bookmarkStart w:id="774" w:name="_Toc532377285"/>
      <w:bookmarkStart w:id="775" w:name="_Toc337558814"/>
      <w:bookmarkStart w:id="776" w:name="_Toc351203597"/>
      <w:r>
        <w:rPr>
          <w:rFonts w:hint="eastAsia"/>
          <w:color w:val="auto"/>
          <w:sz w:val="21"/>
          <w:szCs w:val="21"/>
          <w:highlight w:val="none"/>
        </w:rPr>
        <w:t>14.4 最终结清</w:t>
      </w:r>
      <w:bookmarkEnd w:id="774"/>
      <w:bookmarkEnd w:id="775"/>
      <w:bookmarkEnd w:id="776"/>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14.4.1 最终结清申请单</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（1）除专用合同条款另有约定外，承包人应在缺陷责任期终止证书颁发后7天内，按专用合同条款约定的份数向发包人提交最终结清申请单，并提供相关证明材料。</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除专用合同条款另有约定外，最终结清申请单应列明质量保证金、应扣除的质量保证金、缺陷责任期内发生的增减费用。</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（2）发包人对最终结清申请单内容有异议的，有权要求承包人进行修正和提供补充资料，承包人应向发包人提交修正后的最终结清申请单。</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14.4.2 最终结清证书和支付</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除专用合同条款另有约定外，发包人应在收到承包人提交的最终结清申请单后14天内完成审批并向承包人颁发最终结清证书。发包人逾期未完成审批，又未提出修改意见的，视为发包人同意承包人提交的最终结清申请单，且自发包人收到承包人提交的最终结清申请单后15天起视为已颁发最终结清证书。</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除专用合同条款另有约定外，发包人应在颁发最终结清证书后7天内完成支付。发包人逾期支付的，按照中国人民银行发布的同期同类贷款基准利率支付违约金；逾期支付超过56天的，按照中国人民银行发布的同期同类贷款基准利率的两倍支付违约金。</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（3）承包人对发包人颁发的最终结清证书有异议的，按第20条〔争议解决〕的约定办理。</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777" w:name="_Toc532377286"/>
      <w:bookmarkStart w:id="778" w:name="_Toc351203598"/>
      <w:bookmarkStart w:id="779" w:name="_Toc532375601"/>
      <w:bookmarkStart w:id="780" w:name="_Toc337558815"/>
      <w:r>
        <w:rPr>
          <w:rFonts w:hint="eastAsia"/>
          <w:color w:val="auto"/>
          <w:kern w:val="2"/>
          <w:sz w:val="21"/>
          <w:szCs w:val="21"/>
          <w:highlight w:val="none"/>
        </w:rPr>
        <w:t>15. 缺陷责任与保修</w:t>
      </w:r>
      <w:bookmarkEnd w:id="763"/>
      <w:bookmarkEnd w:id="764"/>
      <w:bookmarkEnd w:id="777"/>
      <w:bookmarkEnd w:id="778"/>
      <w:bookmarkEnd w:id="779"/>
      <w:bookmarkEnd w:id="780"/>
    </w:p>
    <w:p>
      <w:pPr>
        <w:pStyle w:val="7"/>
        <w:spacing w:before="0" w:beforeAutospacing="0" w:after="0" w:afterAutospacing="0" w:line="360" w:lineRule="auto"/>
        <w:ind w:firstLine="422" w:firstLineChars="200"/>
        <w:rPr>
          <w:color w:val="auto"/>
          <w:sz w:val="21"/>
          <w:szCs w:val="21"/>
          <w:highlight w:val="none"/>
        </w:rPr>
      </w:pPr>
      <w:bookmarkStart w:id="781" w:name="_Toc337558816"/>
      <w:bookmarkStart w:id="782" w:name="_Toc351203599"/>
      <w:bookmarkStart w:id="783" w:name="_Toc532377287"/>
      <w:bookmarkStart w:id="784" w:name="_Toc296503114"/>
      <w:bookmarkStart w:id="785" w:name="_Toc296346615"/>
      <w:r>
        <w:rPr>
          <w:rFonts w:hint="eastAsia"/>
          <w:color w:val="auto"/>
          <w:sz w:val="21"/>
          <w:szCs w:val="21"/>
          <w:highlight w:val="none"/>
        </w:rPr>
        <w:t>15.1 工程保修的原则</w:t>
      </w:r>
      <w:bookmarkEnd w:id="781"/>
      <w:bookmarkEnd w:id="782"/>
      <w:bookmarkEnd w:id="783"/>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在工程移交发包人后，因承包人原因产生的质量缺陷，承包人应承担质量缺陷责任和保修义务。缺陷责任期届满，承包人仍应按合同约定的工程各部位保修年限承担保修义务。</w:t>
      </w:r>
    </w:p>
    <w:p>
      <w:pPr>
        <w:pStyle w:val="7"/>
        <w:spacing w:before="0" w:beforeAutospacing="0" w:after="0" w:afterAutospacing="0" w:line="360" w:lineRule="auto"/>
        <w:ind w:firstLine="422" w:firstLineChars="200"/>
        <w:rPr>
          <w:color w:val="auto"/>
          <w:sz w:val="21"/>
          <w:szCs w:val="21"/>
          <w:highlight w:val="none"/>
        </w:rPr>
      </w:pPr>
      <w:bookmarkStart w:id="786" w:name="_Toc351203600"/>
      <w:bookmarkStart w:id="787" w:name="_Toc337558817"/>
      <w:bookmarkStart w:id="788" w:name="_Toc532377288"/>
      <w:r>
        <w:rPr>
          <w:rFonts w:hint="eastAsia"/>
          <w:color w:val="auto"/>
          <w:sz w:val="21"/>
          <w:szCs w:val="21"/>
          <w:highlight w:val="none"/>
        </w:rPr>
        <w:t>15.2 缺陷责任期</w:t>
      </w:r>
      <w:bookmarkEnd w:id="784"/>
      <w:bookmarkEnd w:id="785"/>
      <w:bookmarkEnd w:id="786"/>
      <w:bookmarkEnd w:id="787"/>
      <w:bookmarkEnd w:id="788"/>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15.2.1 缺陷责任期从工程通过竣工验收之日起计算，合同当事人应在专用合同条款约定缺陷责任期的具体期限，但该期限最长不超过24个月。</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单位工程先于全部工程进行验收，经验收合格并交付使用的，该单位工程缺陷责任期自单位工程验收合格之日起算。因承包人原因导致工程无法按合同约定期限进行竣工验收的，缺陷责任期从实际通过竣工验收之日起计算。因发包人原因导致工程无法按合同约定期限进行竣工验收的，在承包人提交竣工验收报告90天后，工程自动进入缺陷责任期；发包人未经竣工验收擅自使用工程的，缺陷责任期自工程转移占有之日起开始计算。</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15.2.2缺陷责任期内，由承包人原因造成的缺陷，承包人应负责维修，并承担鉴定及维修费用。如承包人不维修也不承担费用，发包人可按合同约定从保证金或银行保函中扣除，费用超出保证金额的，发包人可按合同约定向承包人进行索赔。承包人维修并承担相应费用后，不免除对工程的损失赔偿责任。发包人有权要求承包人延长缺陷责任期，并应在原缺陷责任期届满前发出延长通知。但缺陷责任期（含延长部分）最长不能超过24个月。</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由他人原因造成的缺陷，发包人负责组织维修，承包人不承担费用，且发包人不得从保证金中扣除费用。</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15.2.3 任何一项缺陷或损坏修复后，经检查证明其影响了工程或工程设备的使用性能，承包人应重新进行合同约定的试验和试运行，试验和试运行的全部费用应由责任方承担。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15.2.4 除专用合同条款另有约定外，承包人应于缺陷责任期届满后7天内向发包人发出缺陷责任期届满通知，发包人应在收到缺陷责任期满通知后14天内核实承包人是否履行缺陷修复义务，承包人未能履行缺陷修复义务的，发包人有权扣除相应金额的维修费用。发包人应在收到缺陷责任期届满通知后14天内，向承包人颁发缺陷责任期终止证书。</w:t>
      </w:r>
    </w:p>
    <w:p>
      <w:pPr>
        <w:pStyle w:val="7"/>
        <w:spacing w:before="0" w:beforeAutospacing="0" w:after="0" w:afterAutospacing="0" w:line="360" w:lineRule="auto"/>
        <w:ind w:firstLine="422" w:firstLineChars="200"/>
        <w:rPr>
          <w:color w:val="auto"/>
          <w:sz w:val="21"/>
          <w:szCs w:val="21"/>
          <w:highlight w:val="none"/>
        </w:rPr>
      </w:pPr>
      <w:bookmarkStart w:id="789" w:name="_Toc532377289"/>
      <w:bookmarkStart w:id="790" w:name="_Toc351203601"/>
      <w:bookmarkStart w:id="791" w:name="_Toc337558818"/>
      <w:bookmarkStart w:id="792" w:name="_Toc296346616"/>
      <w:bookmarkStart w:id="793" w:name="_Toc296503115"/>
      <w:r>
        <w:rPr>
          <w:rFonts w:hint="eastAsia"/>
          <w:color w:val="auto"/>
          <w:sz w:val="21"/>
          <w:szCs w:val="21"/>
          <w:highlight w:val="none"/>
        </w:rPr>
        <w:t>15.3 质量保证金</w:t>
      </w:r>
      <w:bookmarkEnd w:id="789"/>
      <w:bookmarkEnd w:id="790"/>
      <w:bookmarkEnd w:id="791"/>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经合同当事人协商一致扣留质量保证金的，应在专用合同条款中予以明确。</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在工程项目竣工前，承包人已经提供履约担保的，发包人不得同时预留工程质量保证金。</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15.3.1 承包人提供质量保证金的方式</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承包人提供质量保证金有以下三种方式：</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（1）质量保证金保函；</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（2）相应比例的工程款；</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（3）双方约定的其他方式。</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除专用合同条款另有约定外，质量保证金原则上采用上述第（1）种方式。</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15.3.2 质量保证金的扣留</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质量保证金的扣留有以下三种方式：</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（1）在支付工程进度款时逐次扣留，在此情形下，质量保证金的计算基数不包括预付款的支付、扣回以及价格调整的金额；</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（2）工</w:t>
      </w:r>
      <w:bookmarkStart w:id="794" w:name="#go6"/>
      <w:bookmarkEnd w:id="794"/>
      <w:r>
        <w:rPr>
          <w:rFonts w:hint="eastAsia" w:ascii="宋体" w:hAnsi="宋体"/>
          <w:color w:val="auto"/>
          <w:kern w:val="0"/>
          <w:szCs w:val="21"/>
          <w:highlight w:val="none"/>
        </w:rPr>
        <w:t>程竣工结算时一次性扣留质量保证金；</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（3）双方约定的其他扣留方式。</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除专用合同条款另有约定外，质量保证金的扣留原则上采用上述第（1）种方式。</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w:t>
      </w:r>
      <w:bookmarkStart w:id="795" w:name="#go4"/>
      <w:bookmarkEnd w:id="795"/>
      <w:r>
        <w:rPr>
          <w:rFonts w:hint="eastAsia" w:ascii="宋体" w:hAnsi="宋体"/>
          <w:color w:val="auto"/>
          <w:kern w:val="0"/>
          <w:szCs w:val="21"/>
          <w:highlight w:val="none"/>
        </w:rPr>
        <w:t>包人累计扣留的质量保证金不得超过工程价款结算总额的3%。如承包人在发包人签发竣工付款证书后28天内提交质量保证金保函，发包人应同时退还扣留的作为质量保证金的工程价款；保函金额不得超过工程价款结算总额的3%。</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发包人在退还质量保证金的同时按照中国人民银行发布的同期同类贷款基准利率支付利息。</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15.3.3 质量保证金的退还</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缺陷责任期内，承包人认真履行合同约定的责任，到期后，承包人可向发包人申请返还保证金。</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在接到承包人返还保证金申请后，应于14天内会同承包人按照合同约定的内容进行核实。如无异议，发包人应当按照约定将保证金返还给承包人。对返还期限没有约定或者约定不明确的，发包人应当在核实后14天内将保证金返还承包人，逾期未返还的，依法承担违约责任。发包人在接到承包人返还保证金申请后14天内不予答复，经催告后14天内仍不予答复，视同认可承包人的返还保证金申请。</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发包人和承包人对保证金预留、返还以及工程维修质量、费用有争议的，按合同第20条约定的争议和纠纷解决程序处理。</w:t>
      </w:r>
    </w:p>
    <w:p>
      <w:pPr>
        <w:pStyle w:val="7"/>
        <w:spacing w:before="0" w:beforeAutospacing="0" w:after="0" w:afterAutospacing="0" w:line="360" w:lineRule="auto"/>
        <w:ind w:firstLine="422" w:firstLineChars="200"/>
        <w:rPr>
          <w:color w:val="auto"/>
          <w:sz w:val="21"/>
          <w:szCs w:val="21"/>
          <w:highlight w:val="none"/>
        </w:rPr>
      </w:pPr>
      <w:bookmarkStart w:id="796" w:name="_Toc351203602"/>
      <w:bookmarkStart w:id="797" w:name="_Toc337558819"/>
      <w:bookmarkStart w:id="798" w:name="_Toc532377290"/>
      <w:r>
        <w:rPr>
          <w:rFonts w:hint="eastAsia"/>
          <w:color w:val="auto"/>
          <w:sz w:val="21"/>
          <w:szCs w:val="21"/>
          <w:highlight w:val="none"/>
        </w:rPr>
        <w:t>15.4 保修</w:t>
      </w:r>
      <w:bookmarkEnd w:id="792"/>
      <w:bookmarkEnd w:id="793"/>
      <w:bookmarkEnd w:id="796"/>
      <w:bookmarkEnd w:id="797"/>
      <w:bookmarkEnd w:id="798"/>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15.4.1保修责任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工程保修期从工程竣工验收合格之日起算，具体分部分项工程的保修期由合同当事人在专用合同条款中约定，但不得低于法定最低保修年限。在工程保修期内，承包人应当根据有关法律规定以及合同约定承担保修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发包人未经竣工验收擅自使用工程的，保修期自转移占有之日起算。</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15.4.2 修复费用</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保修期内，修复的费用按照以下约定处理：</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（1）保修期内，因承包人原因造成工程的缺陷、损坏，承包人应负责修复，并承担修复的费用以及因工程的缺陷、损坏造成的人身伤害和财产损失；</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（2）保修期内，因发包人使用不当造成工程的缺陷、损坏，可以委托承包人修复，但发包人应承担修复的费用，并支付承包人合理利润；</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（3）因其他原因造成工程的缺陷、损坏，可以委托承包人修复，发包人应承担修复的费用，并支付承包人合理的利润，因工程的缺陷、损坏造成的人身伤害和财产损失由责任方承担。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15.4.3 修复通知</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保修期内，发包人在使用过程中，发现已接收的工程存在缺陷或损坏的，应书面通知承包人予以修复，但情况紧急必须立即修复缺陷或损坏的，发包人可以口头通知承包人并在口头通知后48小时内书面确认，承包人应在专用合同条款约定的合理期限内到达工程现场并修复缺陷或损坏。</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15.4.4 未能修复</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承包人原因造成工程的缺陷或损坏，承包人拒绝维修或未能在合理期限内修复缺陷或损坏，且经发包人书面催告后仍未修复的，发包人有权自行修复或委托第三方修复，所需费用由承包人承担。但修复范围超出缺陷或损坏范围的，超出范围部分的修复费用由发包人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15.4.5 承包人出入权</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保修期内，为了修复缺陷或损坏，承包人有权出入工程现场，除情况紧急必须立即修复缺陷或损坏外，承包人应提前24小时通知发包人进场修复的时间。承包人进入工程现场前应获得发包人同意，且不应影响发包人正常的生产经营，并应遵守发包人有关保安和保密等规定。</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799" w:name="_Toc532377291"/>
      <w:bookmarkStart w:id="800" w:name="_Toc337558820"/>
      <w:bookmarkStart w:id="801" w:name="_Toc532375602"/>
      <w:bookmarkStart w:id="802" w:name="_Toc351203603"/>
      <w:r>
        <w:rPr>
          <w:rFonts w:hint="eastAsia"/>
          <w:color w:val="auto"/>
          <w:kern w:val="2"/>
          <w:sz w:val="21"/>
          <w:szCs w:val="21"/>
          <w:highlight w:val="none"/>
        </w:rPr>
        <w:t>16. 违约</w:t>
      </w:r>
      <w:bookmarkEnd w:id="799"/>
      <w:bookmarkEnd w:id="800"/>
      <w:bookmarkEnd w:id="801"/>
      <w:bookmarkEnd w:id="802"/>
    </w:p>
    <w:p>
      <w:pPr>
        <w:pStyle w:val="7"/>
        <w:spacing w:before="0" w:beforeAutospacing="0" w:after="0" w:afterAutospacing="0" w:line="360" w:lineRule="auto"/>
        <w:ind w:firstLine="422" w:firstLineChars="200"/>
        <w:rPr>
          <w:color w:val="auto"/>
          <w:sz w:val="21"/>
          <w:szCs w:val="21"/>
          <w:highlight w:val="none"/>
        </w:rPr>
      </w:pPr>
      <w:bookmarkStart w:id="803" w:name="_Toc296503129"/>
      <w:bookmarkStart w:id="804" w:name="_Toc296346630"/>
      <w:bookmarkStart w:id="805" w:name="_Toc351203604"/>
      <w:bookmarkStart w:id="806" w:name="_Toc337558821"/>
      <w:bookmarkStart w:id="807" w:name="_Toc532377292"/>
      <w:r>
        <w:rPr>
          <w:rFonts w:hint="eastAsia"/>
          <w:color w:val="auto"/>
          <w:sz w:val="21"/>
          <w:szCs w:val="21"/>
          <w:highlight w:val="none"/>
        </w:rPr>
        <w:t>16.1 发</w:t>
      </w:r>
      <w:bookmarkEnd w:id="803"/>
      <w:bookmarkEnd w:id="804"/>
      <w:r>
        <w:rPr>
          <w:rFonts w:hint="eastAsia"/>
          <w:color w:val="auto"/>
          <w:sz w:val="21"/>
          <w:szCs w:val="21"/>
          <w:highlight w:val="none"/>
        </w:rPr>
        <w:t>包人违约</w:t>
      </w:r>
      <w:bookmarkEnd w:id="805"/>
      <w:bookmarkEnd w:id="806"/>
      <w:bookmarkEnd w:id="807"/>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16.1.1 发包人违约的情形</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在合同履行过程中发生的下列情形，属于发包人违约：</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（1）因发包人原因未能在计划开工日期前7天内下达开工通知的；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（2）因发包人原因未能按合同约定支付合同价款的；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（3）发包人违反第10.1款〔变更的范围〕第（2）项约定，自行实施被取消的工作或转由他人实施的；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（4）发包人提供的材料、工程设备的规格、数量或质量不符合合同约定，或因发包人原因导致交货日期延误或交货地点变更等情况的；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（5）因发包人违反合同约定造成暂停施工的；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（6）发包人无正当理由没有在约定期限内发出复工指示，导致承包人无法复工的；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（7）发包人明确表示或者以其行为表明不履行合同主要义务的；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（8）发包人未能按照合同约定履行其他义务的。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发生除本项第（7）目以外的违约情况时，承包人可向发包人发出通知，要求发包人采取有效措施纠正违约行为。发包人收到承包人通知后28天内仍不纠正违约行为的，承包人有权暂停相应部位工程施工，并通知监理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16.1.2 发包人违约的责任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发包人应承担因其违约给承包人增加的费用和（或）延误的工期，并支付承包人合理的利润。此外，合同当事人可在专用合同条款中另行约定发包人违约责任的承担方式和计算方法。</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16.1.3 因发包人违约解除合同</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承包人按第16.1.1项〔发包人违约的情形〕约定暂停施工满28天后，发包人仍不纠正其违约行为并致使合同目的不能实现的，或出现第16.1.1项〔发包人违约的情形〕第（7）目约定的违约情况，承包人有权解除合同，发包人应承担由此增加的费用，并支付承包人合理的利润。</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16.1.4 因发包人违约解除合同后的付款</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承包人按照本款约定解除合同的，发包人应在解除合同后28天内支付下列款项，并解除履约担保：</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（1）合同解除前所完成工作的价款；</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（2）承包人为工程施工订购并已付款的材料、工程设备和其他物品的价款；</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（3）承包人撤离施工现场以及遣散承包人人员的款项；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（4）按照合同约定在合同解除前应支付的违约金；</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（5）按照合同约定应当支付给承包人的其他款项；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（6）按照合同约定应退还的质量保证金；</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（7）因解除合同给承包人造成的损失。</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合同当事人未能就解除合同后的结清达成一致的，按照第20条〔争议解决〕的约定处理。</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承包人应妥善做好已完工程和与工程有关的已购材料、工程设备的保护和移交工作，并将施工设备和人员撤出施工现场，发包人应为承包人撤出提供必要条件。</w:t>
      </w:r>
    </w:p>
    <w:p>
      <w:pPr>
        <w:pStyle w:val="7"/>
        <w:spacing w:before="0" w:beforeAutospacing="0" w:after="0" w:afterAutospacing="0" w:line="360" w:lineRule="auto"/>
        <w:ind w:firstLine="422" w:firstLineChars="200"/>
        <w:rPr>
          <w:color w:val="auto"/>
          <w:sz w:val="21"/>
          <w:szCs w:val="21"/>
          <w:highlight w:val="none"/>
        </w:rPr>
      </w:pPr>
      <w:bookmarkStart w:id="808" w:name="_Toc296503131"/>
      <w:bookmarkStart w:id="809" w:name="_Toc337558822"/>
      <w:bookmarkStart w:id="810" w:name="_Toc351203605"/>
      <w:bookmarkStart w:id="811" w:name="_Toc296346632"/>
      <w:bookmarkStart w:id="812" w:name="_Toc532377293"/>
      <w:r>
        <w:rPr>
          <w:rFonts w:hint="eastAsia"/>
          <w:color w:val="auto"/>
          <w:sz w:val="21"/>
          <w:szCs w:val="21"/>
          <w:highlight w:val="none"/>
        </w:rPr>
        <w:t>16.2 承包人违约</w:t>
      </w:r>
      <w:bookmarkEnd w:id="808"/>
      <w:bookmarkEnd w:id="809"/>
      <w:bookmarkEnd w:id="810"/>
      <w:bookmarkEnd w:id="811"/>
      <w:bookmarkEnd w:id="812"/>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16.2.1 承包人违约的情形</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在合同履行过程中发生的下列情形，属于承包人违约：</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（1）承包人违反合同约定进行转包或违法分包的；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（2）承包人违反合同约定采购和使用不合格的材料和工程设备的；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（3）因承包人原因导致工程质量不符合合同要求的； </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（4）承包人违反第8.9款〔材料与设备专用要求〕的约定，未经批准，私自将已按照合同约定进入施工现场的材料或设备撤离施工现场的；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（5）承包人未能按施工进度计划及时完成合同约定的工作，造成工期延误的；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（6）承包人在缺陷责任期及保修期内，未能在合理期限对工程缺陷进行修复，或拒绝按发包人要求进行修复的；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（7）承包人明确表示或者以其行为表明不履行合同主要义务的；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（8）承包人未能按照合同约定履行其他义务的。</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承包人发生除本项第（7）目约定以外的其他违约情况时，监理人可向承包人发出整改通知，要求其在指定的期限内改正。</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16.2.2 承包人违约的责任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承包人应承担因其违约行为而增加的费用和（或）延误的工期。此外，合同当事人可在专用合同条款中另行约定承包人违约责任的承担方式和计算方法。</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16.2.3 因承包人违约解除合同</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出现第16.2.1项〔承包人违约的情形〕第（7）目约定的违约情况时，或监理人发出整改通知后，承包人在指定的合理期限内仍不纠正违约行为并致使合同目的不能实现的，发包人有权解除合同。合同解除后，因继续完成工程的需要，发包人有权使用承包人在施工现场的材料、设备、临时工程、承包人文件和由承包人或以其名义编制的其他文件，合同当事人应在专用合同条款约定相应费用的承担方式。发包人继续使用的行为不免除或减轻承包人应承担的违约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16.2.4因承包人违约解除合同后的处理</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因承包人原因导致合同解除的，则合同当事人应在合同解除后28天内完成估价、付款和清算，并按以下约定执行：</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（1）合同解除后，按第4.4款〔商定或确定〕商定或确定承包人实际完成工作对应的合同价款，以及承包人已提供的材料、工程设备、施工设备和临时工程等的价值；</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（2）合同解除后，承包人应支付的违约金；</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（3）合同解除后，因解除合同给发包人造成的损失；</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（4）合同解除后，承包人应按照发包人要求和监理人的指示完成现场的清理和撤离；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（5）发包人和承包人应在合同解除后进行清算，出具最终结清付款证书，结清全部款项。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因承包人违约解除合同的，发包人有权暂停对承包人的付款，查清各项付款和已扣款项。发包人和承包人未能就合同解除后的清算和款项支付达成一致的，按照第20条〔争议解决〕的约定处理。</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16.2.5采购合同权益转让</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承包人违约解除合同的，发包人有权要求承包人将其为实施合同而签订的材料和设备的采购合同的权益转让给发包人，承包人应在收到解除合同通知后14天内，协助发包人与采购合同的供应商达成相关的转让协议。</w:t>
      </w:r>
    </w:p>
    <w:p>
      <w:pPr>
        <w:pStyle w:val="7"/>
        <w:spacing w:before="0" w:beforeAutospacing="0" w:after="0" w:afterAutospacing="0" w:line="360" w:lineRule="auto"/>
        <w:ind w:firstLine="422" w:firstLineChars="200"/>
        <w:rPr>
          <w:color w:val="auto"/>
          <w:sz w:val="21"/>
          <w:szCs w:val="21"/>
          <w:highlight w:val="none"/>
        </w:rPr>
      </w:pPr>
      <w:bookmarkStart w:id="813" w:name="_Toc351203606"/>
      <w:bookmarkStart w:id="814" w:name="_Toc532377294"/>
      <w:r>
        <w:rPr>
          <w:rFonts w:hint="eastAsia"/>
          <w:color w:val="auto"/>
          <w:sz w:val="21"/>
          <w:szCs w:val="21"/>
          <w:highlight w:val="none"/>
        </w:rPr>
        <w:t>16.3 第三人造成的违约</w:t>
      </w:r>
      <w:bookmarkEnd w:id="813"/>
      <w:bookmarkEnd w:id="814"/>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在履行合同过程中，一方当事人因第三人的原因造成违约的，应当向对方当事人承担违约责任。一方当事人和第三人之间的纠纷，依照法律规定或者按照约定解决。</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815" w:name="_Toc296346617"/>
      <w:bookmarkStart w:id="816" w:name="_Toc296503116"/>
      <w:bookmarkStart w:id="817" w:name="_Toc351203607"/>
      <w:bookmarkStart w:id="818" w:name="_Toc532377295"/>
      <w:bookmarkStart w:id="819" w:name="_Toc337558823"/>
      <w:bookmarkStart w:id="820" w:name="_Toc532375603"/>
      <w:r>
        <w:rPr>
          <w:rFonts w:hint="eastAsia"/>
          <w:color w:val="auto"/>
          <w:kern w:val="2"/>
          <w:sz w:val="21"/>
          <w:szCs w:val="21"/>
          <w:highlight w:val="none"/>
        </w:rPr>
        <w:t>17. 不可抗力</w:t>
      </w:r>
      <w:bookmarkEnd w:id="815"/>
      <w:bookmarkEnd w:id="816"/>
      <w:bookmarkEnd w:id="817"/>
      <w:bookmarkEnd w:id="818"/>
      <w:bookmarkEnd w:id="819"/>
      <w:bookmarkEnd w:id="820"/>
    </w:p>
    <w:p>
      <w:pPr>
        <w:pStyle w:val="7"/>
        <w:spacing w:before="0" w:beforeAutospacing="0" w:after="0" w:afterAutospacing="0" w:line="360" w:lineRule="auto"/>
        <w:ind w:firstLine="422" w:firstLineChars="200"/>
        <w:rPr>
          <w:color w:val="auto"/>
          <w:sz w:val="21"/>
          <w:szCs w:val="21"/>
          <w:highlight w:val="none"/>
        </w:rPr>
      </w:pPr>
      <w:bookmarkStart w:id="821" w:name="_Toc532377296"/>
      <w:bookmarkStart w:id="822" w:name="_Toc296346618"/>
      <w:bookmarkStart w:id="823" w:name="_Toc337558824"/>
      <w:bookmarkStart w:id="824" w:name="_Toc351203608"/>
      <w:bookmarkStart w:id="825" w:name="_Toc296503117"/>
      <w:r>
        <w:rPr>
          <w:rFonts w:hint="eastAsia"/>
          <w:color w:val="auto"/>
          <w:sz w:val="21"/>
          <w:szCs w:val="21"/>
          <w:highlight w:val="none"/>
        </w:rPr>
        <w:t>17.1 不可抗力的确认</w:t>
      </w:r>
      <w:bookmarkEnd w:id="821"/>
      <w:bookmarkEnd w:id="822"/>
      <w:bookmarkEnd w:id="823"/>
      <w:bookmarkEnd w:id="824"/>
      <w:bookmarkEnd w:id="825"/>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不可抗力是指合同当事人在签订合同时不可预见，在合同履行过程中不可避免且不能克服的自然灾害和社会性突发事件，如地震、海啸、瘟疫、骚乱、戒严、暴动、战争和专用合同条款中约定的其他情形。</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不可抗力发生后，发包人和承包人应收集证明不可抗力发生及不可抗力造成损失的证据，并及时认真统计所造成的损失。合同当事人对是否属于不可抗力或其损失的意见不一致的，由监理人按第4.4款〔商定或确定〕的约定处理。发生争议时，按第20条〔争议解决〕的约定处理。</w:t>
      </w:r>
    </w:p>
    <w:p>
      <w:pPr>
        <w:pStyle w:val="7"/>
        <w:spacing w:before="0" w:beforeAutospacing="0" w:after="0" w:afterAutospacing="0" w:line="360" w:lineRule="auto"/>
        <w:ind w:firstLine="422" w:firstLineChars="200"/>
        <w:rPr>
          <w:color w:val="auto"/>
          <w:sz w:val="21"/>
          <w:szCs w:val="21"/>
          <w:highlight w:val="none"/>
        </w:rPr>
      </w:pPr>
      <w:bookmarkStart w:id="826" w:name="_Toc351203609"/>
      <w:bookmarkStart w:id="827" w:name="_Toc296503118"/>
      <w:bookmarkStart w:id="828" w:name="_Toc296346619"/>
      <w:bookmarkStart w:id="829" w:name="_Toc532377297"/>
      <w:bookmarkStart w:id="830" w:name="_Toc337558825"/>
      <w:r>
        <w:rPr>
          <w:rFonts w:hint="eastAsia"/>
          <w:color w:val="auto"/>
          <w:sz w:val="21"/>
          <w:szCs w:val="21"/>
          <w:highlight w:val="none"/>
        </w:rPr>
        <w:t>17.2 不可抗力的通知</w:t>
      </w:r>
      <w:bookmarkEnd w:id="826"/>
      <w:bookmarkEnd w:id="827"/>
      <w:bookmarkEnd w:id="828"/>
      <w:bookmarkEnd w:id="829"/>
      <w:bookmarkEnd w:id="830"/>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合同一方当事人遇到不可抗力事件，使其履行合同义务受到阻碍时，应立即通知合同另一方当事人和监理人，书面说明不可抗力和受阻碍的详细情况，并提供必要的证明。</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不可抗力持续发生的，合同一方当事人应及时向合同另一方当事人和监理人提交中间报告，说明不可抗力和履行合同受阻的情况，并于不可抗力事件结束后28天内提交最终报告及有关资料。</w:t>
      </w:r>
    </w:p>
    <w:p>
      <w:pPr>
        <w:pStyle w:val="7"/>
        <w:spacing w:before="0" w:beforeAutospacing="0" w:after="0" w:afterAutospacing="0" w:line="360" w:lineRule="auto"/>
        <w:ind w:firstLine="422" w:firstLineChars="200"/>
        <w:rPr>
          <w:color w:val="auto"/>
          <w:sz w:val="21"/>
          <w:szCs w:val="21"/>
          <w:highlight w:val="none"/>
        </w:rPr>
      </w:pPr>
      <w:bookmarkStart w:id="831" w:name="_Toc532377298"/>
      <w:r>
        <w:rPr>
          <w:rFonts w:hint="eastAsia"/>
          <w:color w:val="auto"/>
          <w:sz w:val="21"/>
          <w:szCs w:val="21"/>
          <w:highlight w:val="none"/>
        </w:rPr>
        <w:t>17.3 不可抗力后果的承担</w:t>
      </w:r>
      <w:bookmarkEnd w:id="831"/>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17.3.1 不可抗力引起的后果及造成的损失由合同当事人按照法律规定及合同约定各自承担。不可抗力发生前已完成的工程应当按照合同约定进行计量支付。</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17.3.2 不可抗力导致的人员伤亡、财产损失、费用增加和（或）工期延误等后果，由合同当事人按以下原则承担：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（1）永久工程、已运至施工现场的材料和工程设备的损坏，以及因工程损坏造成的第三人人员伤亡和财产损失由发包人承担；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（2）承包人施工设备的损坏由承包人承担；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（3）发包人和承包人承担各自人员伤亡和财产的损失；</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（4）因不可抗力影响承包人履行合同约定的义务，已经引起或将引起工期延误的，应当顺延工期，由此导致承包人停工的费用损失由发包人和承包人合理分担，停工期间必须支付的工人工资由发包人承担；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（5）因不可抗力引起或将引起工期延误，发包人要求赶工的，由此增加的赶工费用由发包人承担；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（6）承包人在停工期间按照发包人要求照管、清理和修复工程的费用由发包人承担。</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不可抗力发生后，合同当事人均应采取措施尽量避免和减少损失的扩大，任何一方当事人没有采取有效措施导致损失扩大的，应对扩大的损失承担责任。</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因合同一方迟延履行合同义务，在迟延履行期间遭遇不可抗力的，不免除其违约责任。</w:t>
      </w:r>
    </w:p>
    <w:p>
      <w:pPr>
        <w:pStyle w:val="7"/>
        <w:spacing w:before="0" w:beforeAutospacing="0" w:after="0" w:afterAutospacing="0" w:line="360" w:lineRule="auto"/>
        <w:ind w:firstLine="422" w:firstLineChars="200"/>
        <w:rPr>
          <w:color w:val="auto"/>
          <w:sz w:val="21"/>
          <w:szCs w:val="21"/>
          <w:highlight w:val="none"/>
        </w:rPr>
      </w:pPr>
      <w:bookmarkStart w:id="832" w:name="_Toc337558827"/>
      <w:bookmarkStart w:id="833" w:name="_Toc532377299"/>
      <w:bookmarkStart w:id="834" w:name="_Toc351203611"/>
      <w:r>
        <w:rPr>
          <w:rFonts w:hint="eastAsia"/>
          <w:color w:val="auto"/>
          <w:sz w:val="21"/>
          <w:szCs w:val="21"/>
          <w:highlight w:val="none"/>
        </w:rPr>
        <w:t>17.4 因不可抗力解除合同</w:t>
      </w:r>
      <w:bookmarkEnd w:id="832"/>
      <w:bookmarkEnd w:id="833"/>
      <w:bookmarkEnd w:id="834"/>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因不可抗力导致合同无法履行连续超过84天或累计超过140天的，发包人和承包人均有权解除合同。合同解除后，由双方当事人按照第4.4款〔商定或确定〕商定或确定发包人应支付的款项，该款项包括：</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（1）合同解除前承包人已完成工作的价款；</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（2）承包人为工程订购的并已交付给承包人，或承包人有责任接受交付的材料、工程设备和其他物品的价款；</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（3）发包人要求承包人退货或解除订货合同而产生的费用，或因不能退货或解除合同而产生的损失；</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（4）承包人撤离施工现场以及遣散承包人人员的费用；</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（5）按照合同约定在合同解除前应支付给承包人的其他款项；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（6）扣减承包人按照合同约定应向发包人支付的款项；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（7）双方商定或确定的其他款项。</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除专用合同条款另有约定外，合同解除后，发包人应在商定或确定上述款项后28天内完成上述款项的支付。</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835" w:name="_Toc532375604"/>
      <w:bookmarkStart w:id="836" w:name="_Toc337558828"/>
      <w:bookmarkStart w:id="837" w:name="_Toc532377300"/>
      <w:bookmarkStart w:id="838" w:name="_Toc296346621"/>
      <w:bookmarkStart w:id="839" w:name="_Toc351203612"/>
      <w:bookmarkStart w:id="840" w:name="_Toc296503120"/>
      <w:r>
        <w:rPr>
          <w:rFonts w:hint="eastAsia"/>
          <w:color w:val="auto"/>
          <w:kern w:val="2"/>
          <w:sz w:val="21"/>
          <w:szCs w:val="21"/>
          <w:highlight w:val="none"/>
        </w:rPr>
        <w:t>18. 保险</w:t>
      </w:r>
      <w:bookmarkEnd w:id="835"/>
      <w:bookmarkEnd w:id="836"/>
      <w:bookmarkEnd w:id="837"/>
      <w:bookmarkEnd w:id="838"/>
      <w:bookmarkEnd w:id="839"/>
      <w:bookmarkEnd w:id="840"/>
    </w:p>
    <w:p>
      <w:pPr>
        <w:pStyle w:val="7"/>
        <w:spacing w:before="0" w:beforeAutospacing="0" w:after="0" w:afterAutospacing="0" w:line="360" w:lineRule="auto"/>
        <w:ind w:firstLine="422" w:firstLineChars="200"/>
        <w:rPr>
          <w:color w:val="auto"/>
          <w:sz w:val="21"/>
          <w:szCs w:val="21"/>
          <w:highlight w:val="none"/>
        </w:rPr>
      </w:pPr>
      <w:bookmarkStart w:id="841" w:name="_Toc337558829"/>
      <w:bookmarkStart w:id="842" w:name="_Toc296503121"/>
      <w:bookmarkStart w:id="843" w:name="_Toc351203613"/>
      <w:bookmarkStart w:id="844" w:name="_Toc296346622"/>
      <w:bookmarkStart w:id="845" w:name="_Toc532377301"/>
      <w:r>
        <w:rPr>
          <w:rFonts w:hint="eastAsia"/>
          <w:color w:val="auto"/>
          <w:sz w:val="21"/>
          <w:szCs w:val="21"/>
          <w:highlight w:val="none"/>
        </w:rPr>
        <w:t>18.1 工程保险</w:t>
      </w:r>
      <w:bookmarkEnd w:id="841"/>
      <w:bookmarkEnd w:id="842"/>
      <w:bookmarkEnd w:id="843"/>
      <w:bookmarkEnd w:id="844"/>
      <w:bookmarkEnd w:id="845"/>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除专用合同条款另有约定外，发包人应投保建筑工程一切险或安装工程一切险；发包人委托承包人投保的，因投保产生的保险费和其他相关费用由发包人承担。</w:t>
      </w:r>
    </w:p>
    <w:p>
      <w:pPr>
        <w:pStyle w:val="7"/>
        <w:spacing w:before="0" w:beforeAutospacing="0" w:after="0" w:afterAutospacing="0" w:line="360" w:lineRule="auto"/>
        <w:ind w:firstLine="422" w:firstLineChars="200"/>
        <w:rPr>
          <w:color w:val="auto"/>
          <w:sz w:val="21"/>
          <w:szCs w:val="21"/>
          <w:highlight w:val="none"/>
        </w:rPr>
      </w:pPr>
      <w:bookmarkStart w:id="846" w:name="_Toc296346623"/>
      <w:bookmarkStart w:id="847" w:name="_Toc351203614"/>
      <w:bookmarkStart w:id="848" w:name="_Toc337558830"/>
      <w:bookmarkStart w:id="849" w:name="_Toc296503122"/>
      <w:bookmarkStart w:id="850" w:name="_Toc532377302"/>
      <w:r>
        <w:rPr>
          <w:rFonts w:hint="eastAsia"/>
          <w:color w:val="auto"/>
          <w:sz w:val="21"/>
          <w:szCs w:val="21"/>
          <w:highlight w:val="none"/>
        </w:rPr>
        <w:t>18.2 工伤保险</w:t>
      </w:r>
      <w:bookmarkEnd w:id="846"/>
      <w:bookmarkEnd w:id="847"/>
      <w:bookmarkEnd w:id="848"/>
      <w:bookmarkEnd w:id="849"/>
      <w:bookmarkEnd w:id="850"/>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18.2.1 发包人应依照法律规定参加工伤保险，并为在施工现场的全部员工办理工伤保险，缴纳工伤保险费，并要求监理人及由发包人为履行合同聘请的第三方依法参加工伤保险。</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18.2.2 承包人应依照法律规定参加工伤保险，并为其履行合同的全部员工办理工伤保险，缴纳工伤保险费，并要求分包人及由承包人为履行合同聘请的第三方依法参加工伤保险。</w:t>
      </w:r>
    </w:p>
    <w:p>
      <w:pPr>
        <w:pStyle w:val="7"/>
        <w:spacing w:before="0" w:beforeAutospacing="0" w:after="0" w:afterAutospacing="0" w:line="360" w:lineRule="auto"/>
        <w:ind w:firstLine="422" w:firstLineChars="200"/>
        <w:rPr>
          <w:color w:val="auto"/>
          <w:sz w:val="21"/>
          <w:szCs w:val="21"/>
          <w:highlight w:val="none"/>
        </w:rPr>
      </w:pPr>
      <w:bookmarkStart w:id="851" w:name="_Toc351203615"/>
      <w:bookmarkStart w:id="852" w:name="_Toc296346626"/>
      <w:bookmarkStart w:id="853" w:name="_Toc532377303"/>
      <w:bookmarkStart w:id="854" w:name="_Toc296503125"/>
      <w:bookmarkStart w:id="855" w:name="_Toc337558831"/>
      <w:r>
        <w:rPr>
          <w:rFonts w:hint="eastAsia"/>
          <w:color w:val="auto"/>
          <w:sz w:val="21"/>
          <w:szCs w:val="21"/>
          <w:highlight w:val="none"/>
        </w:rPr>
        <w:t>18.3其他保险</w:t>
      </w:r>
      <w:bookmarkEnd w:id="851"/>
      <w:bookmarkEnd w:id="852"/>
      <w:bookmarkEnd w:id="853"/>
      <w:bookmarkEnd w:id="854"/>
      <w:bookmarkEnd w:id="855"/>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发包人和承包人可以为其施工现场的全部人员办理意外伤害保险并支付保险费，包括其员工及为履行合同聘请的第三方的人员，具体事项由合同当事人在专用合同条款约定。</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除专用合同条款另有约定外，承包人应为其施工设备等办理财产保险。</w:t>
      </w:r>
    </w:p>
    <w:p>
      <w:pPr>
        <w:pStyle w:val="7"/>
        <w:spacing w:before="0" w:beforeAutospacing="0" w:after="0" w:afterAutospacing="0" w:line="360" w:lineRule="auto"/>
        <w:ind w:firstLine="422" w:firstLineChars="200"/>
        <w:rPr>
          <w:color w:val="auto"/>
          <w:sz w:val="21"/>
          <w:szCs w:val="21"/>
          <w:highlight w:val="none"/>
        </w:rPr>
      </w:pPr>
      <w:bookmarkStart w:id="856" w:name="_Toc532377304"/>
      <w:bookmarkStart w:id="857" w:name="_Toc351203616"/>
      <w:r>
        <w:rPr>
          <w:rFonts w:hint="eastAsia"/>
          <w:color w:val="auto"/>
          <w:sz w:val="21"/>
          <w:szCs w:val="21"/>
          <w:highlight w:val="none"/>
        </w:rPr>
        <w:t>18.4持续保险</w:t>
      </w:r>
      <w:bookmarkEnd w:id="856"/>
      <w:bookmarkEnd w:id="857"/>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合同当事人应与保险人保持联系，使保险人能够随时了解工程实施中的变动，并确保按保险合同条款要求持续保险。</w:t>
      </w:r>
    </w:p>
    <w:p>
      <w:pPr>
        <w:pStyle w:val="7"/>
        <w:spacing w:before="0" w:beforeAutospacing="0" w:after="0" w:afterAutospacing="0" w:line="360" w:lineRule="auto"/>
        <w:ind w:firstLine="422" w:firstLineChars="200"/>
        <w:rPr>
          <w:color w:val="auto"/>
          <w:sz w:val="21"/>
          <w:szCs w:val="21"/>
          <w:highlight w:val="none"/>
        </w:rPr>
      </w:pPr>
      <w:bookmarkStart w:id="858" w:name="_Toc351203617"/>
      <w:bookmarkStart w:id="859" w:name="_Toc296346627"/>
      <w:bookmarkStart w:id="860" w:name="_Toc296503126"/>
      <w:bookmarkStart w:id="861" w:name="_Toc337558832"/>
      <w:bookmarkStart w:id="862" w:name="_Toc532377305"/>
      <w:r>
        <w:rPr>
          <w:rFonts w:hint="eastAsia"/>
          <w:color w:val="auto"/>
          <w:sz w:val="21"/>
          <w:szCs w:val="21"/>
          <w:highlight w:val="none"/>
        </w:rPr>
        <w:t>18.5 保险凭证</w:t>
      </w:r>
      <w:bookmarkEnd w:id="858"/>
      <w:bookmarkEnd w:id="859"/>
      <w:bookmarkEnd w:id="860"/>
      <w:bookmarkEnd w:id="861"/>
      <w:bookmarkEnd w:id="862"/>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合同当事人应及时向另一方当事人提交其已投保的各项保险的凭证和保险单复印件。</w:t>
      </w:r>
    </w:p>
    <w:p>
      <w:pPr>
        <w:pStyle w:val="7"/>
        <w:spacing w:before="0" w:beforeAutospacing="0" w:after="0" w:afterAutospacing="0" w:line="360" w:lineRule="auto"/>
        <w:ind w:firstLine="422" w:firstLineChars="200"/>
        <w:rPr>
          <w:color w:val="auto"/>
          <w:sz w:val="21"/>
          <w:szCs w:val="21"/>
          <w:highlight w:val="none"/>
        </w:rPr>
      </w:pPr>
      <w:bookmarkStart w:id="863" w:name="_Toc351203618"/>
      <w:bookmarkStart w:id="864" w:name="_Toc296346628"/>
      <w:bookmarkStart w:id="865" w:name="_Toc337558833"/>
      <w:bookmarkStart w:id="866" w:name="_Toc532377306"/>
      <w:bookmarkStart w:id="867" w:name="_Toc296503127"/>
      <w:r>
        <w:rPr>
          <w:rFonts w:hint="eastAsia"/>
          <w:color w:val="auto"/>
          <w:sz w:val="21"/>
          <w:szCs w:val="21"/>
          <w:highlight w:val="none"/>
        </w:rPr>
        <w:t>18.6 未按约定投保的补救</w:t>
      </w:r>
      <w:bookmarkEnd w:id="863"/>
      <w:bookmarkEnd w:id="864"/>
      <w:bookmarkEnd w:id="865"/>
      <w:bookmarkEnd w:id="866"/>
      <w:bookmarkEnd w:id="867"/>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18.6.1发包人未按合同约定办理保险，或未能使保险持续有效的，则承包人可代为办理，所需费用由发包人承担。发包人未按合同约定办理保险，导致未能得到足额赔偿的，由发包人负责补足。</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18.6.2承包人未按合同约定办理保险，或未能使保险持续有效的，则发包人可代为办理，所需费用由承包人承担。承包人未按合同约定办理保险，导致未能得到足额赔偿的，由承包人负责补足。</w:t>
      </w:r>
    </w:p>
    <w:p>
      <w:pPr>
        <w:pStyle w:val="7"/>
        <w:spacing w:before="0" w:beforeAutospacing="0" w:after="0" w:afterAutospacing="0" w:line="360" w:lineRule="auto"/>
        <w:ind w:firstLine="422" w:firstLineChars="200"/>
        <w:rPr>
          <w:color w:val="auto"/>
          <w:sz w:val="21"/>
          <w:szCs w:val="21"/>
          <w:highlight w:val="none"/>
        </w:rPr>
      </w:pPr>
      <w:bookmarkStart w:id="868" w:name="_Toc532377307"/>
      <w:bookmarkStart w:id="869" w:name="_Toc337558834"/>
      <w:bookmarkStart w:id="870" w:name="_Toc351203619"/>
      <w:r>
        <w:rPr>
          <w:rFonts w:hint="eastAsia"/>
          <w:color w:val="auto"/>
          <w:sz w:val="21"/>
          <w:szCs w:val="21"/>
          <w:highlight w:val="none"/>
        </w:rPr>
        <w:t>18.7 通知义务</w:t>
      </w:r>
      <w:bookmarkEnd w:id="868"/>
      <w:bookmarkEnd w:id="869"/>
      <w:bookmarkEnd w:id="870"/>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除专用合同条款另有约定外，发包人变更除工伤保险之外的保险合同时，应事先征得承包人同意，并通知监理人；承包人变更除工伤保险之外的保险合同时，应事先征得发包人同意，并通知监理人。</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保险事故发生时，投保人应按照保险合同规定的条件和期限及时向保险人报告。发包人和承包人应当在知道保险事故发生后及时通知对方。</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871" w:name="_Toc532377308"/>
      <w:bookmarkStart w:id="872" w:name="_Toc532375605"/>
      <w:r>
        <w:rPr>
          <w:rFonts w:hint="eastAsia"/>
          <w:color w:val="auto"/>
          <w:kern w:val="2"/>
          <w:sz w:val="21"/>
          <w:szCs w:val="21"/>
          <w:highlight w:val="none"/>
        </w:rPr>
        <w:t>19. 索赔</w:t>
      </w:r>
      <w:bookmarkEnd w:id="871"/>
      <w:bookmarkEnd w:id="872"/>
    </w:p>
    <w:p>
      <w:pPr>
        <w:pStyle w:val="7"/>
        <w:spacing w:before="0" w:beforeAutospacing="0" w:after="0" w:afterAutospacing="0" w:line="360" w:lineRule="auto"/>
        <w:ind w:firstLine="422" w:firstLineChars="200"/>
        <w:rPr>
          <w:color w:val="auto"/>
          <w:sz w:val="21"/>
          <w:szCs w:val="21"/>
          <w:highlight w:val="none"/>
        </w:rPr>
      </w:pPr>
      <w:bookmarkStart w:id="873" w:name="_Toc532377309"/>
      <w:r>
        <w:rPr>
          <w:rFonts w:hint="eastAsia"/>
          <w:color w:val="auto"/>
          <w:sz w:val="21"/>
          <w:szCs w:val="21"/>
          <w:highlight w:val="none"/>
        </w:rPr>
        <w:t>19.1承包人的索赔</w:t>
      </w:r>
      <w:bookmarkEnd w:id="873"/>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根据合同约定，承包人认为有权得到追加付款和（或）延长工期的，应按以下程序向发包人提出索赔：</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（1）承包人应在知道或应当知道索赔事件发生后28天内，向监理人递交索赔意向通知书，并说明发生索赔事件的事由；承包人未在前述28天内发出索赔意向通知书的，丧失要求追加付款和（或）延长工期的权利；</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（2）承包人应在发出索赔意向通知书后28天内，向监理人正式递交索赔报告；索赔报告应详细说明索赔理由以及要求追加的付款金额和（或）延长的工期，并附必要的记录和证明材料；</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（3）索赔事件具有持续影响的，承包人应按合理时间间隔继续递交延续索赔通知，说明持续影响的实际情况和记录，列出累计的追加付款金额和（或）工期延长天数；</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（4）在索赔事件影响结束后28天内，承包人应向监理人递交最终索赔报告，说明最终要求索赔的追加付款金额和（或）延长的工期，并附必要的记录和证明材料。</w:t>
      </w:r>
    </w:p>
    <w:p>
      <w:pPr>
        <w:pStyle w:val="7"/>
        <w:spacing w:before="0" w:beforeAutospacing="0" w:after="0" w:afterAutospacing="0" w:line="360" w:lineRule="auto"/>
        <w:ind w:firstLine="422" w:firstLineChars="200"/>
        <w:rPr>
          <w:color w:val="auto"/>
          <w:sz w:val="21"/>
          <w:szCs w:val="21"/>
          <w:highlight w:val="none"/>
        </w:rPr>
      </w:pPr>
      <w:bookmarkStart w:id="874" w:name="_Toc296346643"/>
      <w:bookmarkStart w:id="875" w:name="_Toc351203622"/>
      <w:bookmarkStart w:id="876" w:name="_Toc296503142"/>
      <w:bookmarkStart w:id="877" w:name="_Toc532377310"/>
      <w:bookmarkStart w:id="878" w:name="_Toc337558837"/>
      <w:r>
        <w:rPr>
          <w:rFonts w:hint="eastAsia"/>
          <w:color w:val="auto"/>
          <w:sz w:val="21"/>
          <w:szCs w:val="21"/>
          <w:highlight w:val="none"/>
        </w:rPr>
        <w:t>19.2 对承包人索赔的处理</w:t>
      </w:r>
      <w:bookmarkEnd w:id="874"/>
      <w:bookmarkEnd w:id="875"/>
      <w:bookmarkEnd w:id="876"/>
      <w:bookmarkEnd w:id="877"/>
      <w:bookmarkEnd w:id="878"/>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对承包人索赔的处理如下：</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（1）监理人应在收到索赔报告后14天内完成审查并报送发包人。监理人对索赔报告存在异议的，有权要求承包人提交全部原始记录副本；</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（2）发包人应在监理人收到索赔报告或有关索赔的进一步证明材料后的28天内，由监理人向承包人出具经发包人签认的索赔处理结果。发包人逾期答复的，则视为认可承包人的索赔要求；</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（3）承包人接受索赔处理结果的，索赔款项在当期进度款中进行支付；承包人不接受索赔处理结果的，按照第20条〔争议解决〕约定处理。</w:t>
      </w:r>
    </w:p>
    <w:p>
      <w:pPr>
        <w:pStyle w:val="7"/>
        <w:spacing w:before="0" w:beforeAutospacing="0" w:after="0" w:afterAutospacing="0" w:line="360" w:lineRule="auto"/>
        <w:ind w:firstLine="422" w:firstLineChars="200"/>
        <w:rPr>
          <w:color w:val="auto"/>
          <w:sz w:val="21"/>
          <w:szCs w:val="21"/>
          <w:highlight w:val="none"/>
        </w:rPr>
      </w:pPr>
      <w:bookmarkStart w:id="879" w:name="_Toc296503143"/>
      <w:bookmarkStart w:id="880" w:name="_Toc351203623"/>
      <w:bookmarkStart w:id="881" w:name="_Toc337558838"/>
      <w:bookmarkStart w:id="882" w:name="_Toc532377311"/>
      <w:bookmarkStart w:id="883" w:name="_Toc296346644"/>
      <w:r>
        <w:rPr>
          <w:rFonts w:hint="eastAsia"/>
          <w:color w:val="auto"/>
          <w:sz w:val="21"/>
          <w:szCs w:val="21"/>
          <w:highlight w:val="none"/>
        </w:rPr>
        <w:t>19.3发包人的索赔</w:t>
      </w:r>
      <w:bookmarkEnd w:id="879"/>
      <w:bookmarkEnd w:id="880"/>
      <w:bookmarkEnd w:id="881"/>
      <w:bookmarkEnd w:id="882"/>
      <w:bookmarkEnd w:id="883"/>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根据合同约定，发包人认为有权得到赔付金额和（或）延长缺陷责任期的，监理人应向承包人发出通知并附有详细的证明。</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在知道或应当知道索赔事件发生后28天内通过监理人向承包人提出索赔意向通知书，发包人未在前述28天内发出索赔意向通知书的，丧失要求赔付金额和（或）延长缺陷责任期的权利。发包人应在发出索赔意向通知书后28天内，通过监理人向承包人正式递交索赔报告。</w:t>
      </w:r>
    </w:p>
    <w:p>
      <w:pPr>
        <w:pStyle w:val="7"/>
        <w:spacing w:before="0" w:beforeAutospacing="0" w:after="0" w:afterAutospacing="0" w:line="360" w:lineRule="auto"/>
        <w:ind w:firstLine="422" w:firstLineChars="200"/>
        <w:rPr>
          <w:color w:val="auto"/>
          <w:sz w:val="21"/>
          <w:szCs w:val="21"/>
          <w:highlight w:val="none"/>
        </w:rPr>
      </w:pPr>
      <w:bookmarkStart w:id="884" w:name="_Toc296503144"/>
      <w:bookmarkStart w:id="885" w:name="_Toc351203624"/>
      <w:bookmarkStart w:id="886" w:name="_Toc337558839"/>
      <w:bookmarkStart w:id="887" w:name="_Toc296346645"/>
      <w:bookmarkStart w:id="888" w:name="_Toc532377312"/>
      <w:r>
        <w:rPr>
          <w:rFonts w:hint="eastAsia"/>
          <w:color w:val="auto"/>
          <w:sz w:val="21"/>
          <w:szCs w:val="21"/>
          <w:highlight w:val="none"/>
        </w:rPr>
        <w:t>19.4 对发包人索赔的处理</w:t>
      </w:r>
      <w:bookmarkEnd w:id="884"/>
      <w:bookmarkEnd w:id="885"/>
      <w:bookmarkEnd w:id="886"/>
      <w:bookmarkEnd w:id="887"/>
      <w:bookmarkEnd w:id="888"/>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对发包人索赔的处理如下：</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（1）承包人收到发包人提交的索赔报告后，应及时审查索赔报告的内容、查验发包人证明材料；</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（2）承包人应在收到索赔报告或有关索赔的进一步证明材料后28天内，将索赔处理结果答复发包人。如果承包人未在上述期限内作出答复的，则视为对发包人索赔要求的认可；</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（3）承包人接受索赔处理结果的，发包人可从应支付给承包人的合同价款中扣除赔付的金额或延长缺陷责任期；发包人不接受索赔处理结果的，按第20条〔争议解决〕约定处理。</w:t>
      </w:r>
    </w:p>
    <w:p>
      <w:pPr>
        <w:pStyle w:val="7"/>
        <w:spacing w:before="0" w:beforeAutospacing="0" w:after="0" w:afterAutospacing="0" w:line="360" w:lineRule="auto"/>
        <w:ind w:firstLine="420" w:firstLineChars="200"/>
        <w:rPr>
          <w:b w:val="0"/>
          <w:color w:val="auto"/>
          <w:sz w:val="21"/>
          <w:szCs w:val="21"/>
          <w:highlight w:val="none"/>
        </w:rPr>
      </w:pPr>
      <w:bookmarkStart w:id="889" w:name="_Toc532377313"/>
      <w:bookmarkStart w:id="890" w:name="_Toc351203625"/>
      <w:r>
        <w:rPr>
          <w:rFonts w:hint="eastAsia"/>
          <w:b w:val="0"/>
          <w:color w:val="auto"/>
          <w:sz w:val="21"/>
          <w:szCs w:val="21"/>
          <w:highlight w:val="none"/>
        </w:rPr>
        <w:t>19.5 提出索赔的期限</w:t>
      </w:r>
      <w:bookmarkEnd w:id="889"/>
      <w:bookmarkEnd w:id="890"/>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（1）承包人按第14.2款〔竣工结算审核〕约定接收竣工付款证书后，应被视为已无权再提出在工程接收证书颁发前所发生的任何索赔。</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（2）承包人按第14.4款〔最终结清〕提交的最终结清申请单中，只限于提出工程接收证书颁发后发生的索赔。提出索赔的期限自接受最终结清证书时终止。</w:t>
      </w:r>
    </w:p>
    <w:p>
      <w:pPr>
        <w:pStyle w:val="6"/>
        <w:keepNext/>
        <w:keepLines/>
        <w:spacing w:beforeLines="50" w:beforeAutospacing="0" w:afterLines="50" w:afterAutospacing="0" w:line="360" w:lineRule="auto"/>
        <w:jc w:val="both"/>
        <w:rPr>
          <w:bCs w:val="0"/>
          <w:color w:val="auto"/>
          <w:kern w:val="2"/>
          <w:sz w:val="21"/>
          <w:szCs w:val="21"/>
          <w:highlight w:val="none"/>
        </w:rPr>
      </w:pPr>
      <w:bookmarkStart w:id="891" w:name="_Toc351203626"/>
      <w:bookmarkStart w:id="892" w:name="_Toc532375606"/>
      <w:bookmarkStart w:id="893" w:name="_Toc532377314"/>
      <w:r>
        <w:rPr>
          <w:rFonts w:hint="eastAsia"/>
          <w:color w:val="auto"/>
          <w:kern w:val="2"/>
          <w:sz w:val="21"/>
          <w:szCs w:val="21"/>
          <w:highlight w:val="none"/>
        </w:rPr>
        <w:t>20</w:t>
      </w:r>
      <w:bookmarkStart w:id="894" w:name="_Toc296503146"/>
      <w:bookmarkStart w:id="895" w:name="_Toc337558840"/>
      <w:bookmarkStart w:id="896" w:name="_Toc296346647"/>
      <w:r>
        <w:rPr>
          <w:rFonts w:hint="eastAsia"/>
          <w:color w:val="auto"/>
          <w:kern w:val="2"/>
          <w:sz w:val="21"/>
          <w:szCs w:val="21"/>
          <w:highlight w:val="none"/>
        </w:rPr>
        <w:t>. 争议解决</w:t>
      </w:r>
      <w:bookmarkEnd w:id="891"/>
      <w:bookmarkEnd w:id="892"/>
      <w:bookmarkEnd w:id="893"/>
      <w:bookmarkEnd w:id="894"/>
      <w:bookmarkEnd w:id="895"/>
      <w:bookmarkEnd w:id="896"/>
    </w:p>
    <w:p>
      <w:pPr>
        <w:pStyle w:val="7"/>
        <w:spacing w:before="0" w:beforeAutospacing="0" w:after="0" w:afterAutospacing="0" w:line="360" w:lineRule="auto"/>
        <w:ind w:firstLine="422" w:firstLineChars="200"/>
        <w:rPr>
          <w:color w:val="auto"/>
          <w:sz w:val="21"/>
          <w:szCs w:val="21"/>
          <w:highlight w:val="none"/>
        </w:rPr>
      </w:pPr>
      <w:bookmarkStart w:id="897" w:name="_Toc296503147"/>
      <w:bookmarkStart w:id="898" w:name="_Toc532377315"/>
      <w:bookmarkStart w:id="899" w:name="_Toc337558841"/>
      <w:bookmarkStart w:id="900" w:name="_Toc296346648"/>
      <w:bookmarkStart w:id="901" w:name="_Toc351203627"/>
      <w:r>
        <w:rPr>
          <w:rFonts w:hint="eastAsia"/>
          <w:color w:val="auto"/>
          <w:sz w:val="21"/>
          <w:szCs w:val="21"/>
          <w:highlight w:val="none"/>
        </w:rPr>
        <w:t>20.1和解</w:t>
      </w:r>
      <w:bookmarkEnd w:id="897"/>
      <w:bookmarkEnd w:id="898"/>
      <w:bookmarkEnd w:id="899"/>
      <w:bookmarkEnd w:id="900"/>
      <w:bookmarkEnd w:id="901"/>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合同当事人可以就争议自行和解，自行和解达成协议的经双方签名并盖章后作为合同补充文件，双方均应遵照执行。</w:t>
      </w:r>
    </w:p>
    <w:p>
      <w:pPr>
        <w:pStyle w:val="7"/>
        <w:spacing w:before="0" w:beforeAutospacing="0" w:after="0" w:afterAutospacing="0" w:line="360" w:lineRule="auto"/>
        <w:ind w:firstLine="422" w:firstLineChars="200"/>
        <w:rPr>
          <w:color w:val="auto"/>
          <w:sz w:val="21"/>
          <w:szCs w:val="21"/>
          <w:highlight w:val="none"/>
        </w:rPr>
      </w:pPr>
      <w:bookmarkStart w:id="902" w:name="_Toc532377316"/>
      <w:bookmarkStart w:id="903" w:name="_Toc351203628"/>
      <w:r>
        <w:rPr>
          <w:rFonts w:hint="eastAsia"/>
          <w:color w:val="auto"/>
          <w:sz w:val="21"/>
          <w:szCs w:val="21"/>
          <w:highlight w:val="none"/>
        </w:rPr>
        <w:t>20</w:t>
      </w:r>
      <w:bookmarkStart w:id="904" w:name="_Toc296346649"/>
      <w:bookmarkStart w:id="905" w:name="_Toc296503148"/>
      <w:bookmarkStart w:id="906" w:name="_Toc337558842"/>
      <w:r>
        <w:rPr>
          <w:rFonts w:hint="eastAsia"/>
          <w:color w:val="auto"/>
          <w:sz w:val="21"/>
          <w:szCs w:val="21"/>
          <w:highlight w:val="none"/>
        </w:rPr>
        <w:t>.2调解</w:t>
      </w:r>
      <w:bookmarkEnd w:id="902"/>
      <w:bookmarkEnd w:id="903"/>
      <w:bookmarkEnd w:id="904"/>
      <w:bookmarkEnd w:id="905"/>
      <w:bookmarkEnd w:id="906"/>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合同当事人可以就争议请求建设行政主管部门、行业协会或其他第三方进行调解，调解达成协议的，经双方签名并盖章后作为合同补充文件，双方均应遵照执行。</w:t>
      </w:r>
    </w:p>
    <w:p>
      <w:pPr>
        <w:pStyle w:val="7"/>
        <w:spacing w:before="0" w:beforeAutospacing="0" w:after="0" w:afterAutospacing="0" w:line="360" w:lineRule="auto"/>
        <w:ind w:firstLine="422" w:firstLineChars="200"/>
        <w:rPr>
          <w:color w:val="auto"/>
          <w:sz w:val="21"/>
          <w:szCs w:val="21"/>
          <w:highlight w:val="none"/>
        </w:rPr>
      </w:pPr>
      <w:bookmarkStart w:id="907" w:name="_Toc532377317"/>
      <w:bookmarkStart w:id="908" w:name="_Toc296346650"/>
      <w:bookmarkStart w:id="909" w:name="_Toc296503149"/>
      <w:bookmarkStart w:id="910" w:name="_Toc351203629"/>
      <w:bookmarkStart w:id="911" w:name="_Toc337558843"/>
      <w:r>
        <w:rPr>
          <w:rFonts w:hint="eastAsia"/>
          <w:color w:val="auto"/>
          <w:sz w:val="21"/>
          <w:szCs w:val="21"/>
          <w:highlight w:val="none"/>
        </w:rPr>
        <w:t>20.3争议评审</w:t>
      </w:r>
      <w:bookmarkEnd w:id="907"/>
      <w:bookmarkEnd w:id="908"/>
      <w:bookmarkEnd w:id="909"/>
      <w:bookmarkEnd w:id="910"/>
      <w:bookmarkEnd w:id="911"/>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合同当事人在专用合同条款中约定采取争议评审方式解决争议以及评审规则，并按下列约定执行： </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20.3.1 争议评审小组的确定</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合同当事人可以共同选择一名或三名争议评审员，组成争议评审小组。除专用合同条款另有约定外，合同当事人应当自合同签订后28天内，或者争议发生后14天内，选定争议评审员。</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选择一名争议评审员的，由合同当事人共同确定；选择三名争议评审员的，各自选定一名，第三名成员为首席争议评审员，由合同当事人共同确定或由合同当事人委托已选定的争议评审员共同确定，或由专用合同条款约定的评审机构指定第三名首席争议评审员。 </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除专用合同条款另有约定外，评审员报酬由发包人和承包人各承担一半。</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20.3.2 争议评审小组的决定</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当事人可在任何时间将与合同有关的任何争议共同提请争议评审小组进行评审。争议评审小组应秉持客观、公正原则，充分听取合同当事人的意见，依据相关法律、规范、标准、案例经验及商业惯例等，自收到争议评审申请报告后14天内作出书面决定，并说明理由。合同当事人可以在专用合同条款中对本项事项另行约定。</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20.3.3 争议评审小组决定的效力</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争议评审小组作出的书面决定经合同当事人签名确认后，对双方具有约束力，双方应遵照执行。</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任何一方当事人不接受争议评审小组决定或不履行争议评审小组决定的，双方可选择采用其他争议解决方式。</w:t>
      </w:r>
    </w:p>
    <w:p>
      <w:pPr>
        <w:pStyle w:val="7"/>
        <w:spacing w:before="0" w:beforeAutospacing="0" w:after="0" w:afterAutospacing="0" w:line="360" w:lineRule="auto"/>
        <w:ind w:firstLine="422" w:firstLineChars="200"/>
        <w:rPr>
          <w:color w:val="auto"/>
          <w:sz w:val="21"/>
          <w:szCs w:val="21"/>
          <w:highlight w:val="none"/>
        </w:rPr>
      </w:pPr>
      <w:bookmarkStart w:id="912" w:name="_Toc351203630"/>
      <w:bookmarkStart w:id="913" w:name="_Toc337558844"/>
      <w:bookmarkStart w:id="914" w:name="_Toc532377318"/>
      <w:bookmarkStart w:id="915" w:name="_Toc296346651"/>
      <w:bookmarkStart w:id="916" w:name="_Toc296503150"/>
      <w:r>
        <w:rPr>
          <w:rFonts w:hint="eastAsia"/>
          <w:color w:val="auto"/>
          <w:sz w:val="21"/>
          <w:szCs w:val="21"/>
          <w:highlight w:val="none"/>
        </w:rPr>
        <w:t>20.4仲裁或诉讼</w:t>
      </w:r>
      <w:bookmarkEnd w:id="912"/>
      <w:bookmarkEnd w:id="913"/>
      <w:bookmarkEnd w:id="914"/>
      <w:bookmarkEnd w:id="915"/>
      <w:bookmarkEnd w:id="916"/>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因合同及合同有关事项产生的争议，合同当事人可以在专用合同条款中约定以下一种方式解决争议：</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（1）向约定的仲裁委员会申请仲裁；</w:t>
      </w:r>
    </w:p>
    <w:p>
      <w:pPr>
        <w:autoSpaceDE w:val="0"/>
        <w:autoSpaceDN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（2）向有管辖权的人民法院起诉。</w:t>
      </w:r>
    </w:p>
    <w:p>
      <w:pPr>
        <w:pStyle w:val="7"/>
        <w:spacing w:before="0" w:beforeAutospacing="0" w:after="0" w:afterAutospacing="0" w:line="360" w:lineRule="auto"/>
        <w:ind w:firstLine="420" w:firstLineChars="200"/>
        <w:rPr>
          <w:b w:val="0"/>
          <w:color w:val="auto"/>
          <w:sz w:val="21"/>
          <w:szCs w:val="21"/>
          <w:highlight w:val="none"/>
        </w:rPr>
      </w:pPr>
      <w:bookmarkStart w:id="917" w:name="_Toc296503152"/>
      <w:bookmarkStart w:id="918" w:name="_Toc296346653"/>
      <w:bookmarkStart w:id="919" w:name="_Toc532377319"/>
      <w:bookmarkStart w:id="920" w:name="_Toc351203631"/>
      <w:bookmarkStart w:id="921" w:name="_Toc337558845"/>
      <w:r>
        <w:rPr>
          <w:rFonts w:hint="eastAsia"/>
          <w:b w:val="0"/>
          <w:color w:val="auto"/>
          <w:sz w:val="21"/>
          <w:szCs w:val="21"/>
          <w:highlight w:val="none"/>
        </w:rPr>
        <w:t>20.5争议解决条款效力</w:t>
      </w:r>
      <w:bookmarkEnd w:id="917"/>
      <w:bookmarkEnd w:id="918"/>
      <w:bookmarkEnd w:id="919"/>
      <w:bookmarkEnd w:id="920"/>
      <w:bookmarkEnd w:id="921"/>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合同有关争议解决的条款独立存在，合同的变更、解除、终止、无效或者被撤销均不影响其效力。</w:t>
      </w:r>
    </w:p>
    <w:p>
      <w:pPr>
        <w:keepNext/>
        <w:keepLines/>
        <w:snapToGrid w:val="0"/>
        <w:spacing w:before="260" w:after="260" w:line="360" w:lineRule="auto"/>
        <w:outlineLvl w:val="2"/>
        <w:rPr>
          <w:rFonts w:ascii="宋体" w:hAnsi="宋体"/>
          <w:b/>
          <w:bCs/>
          <w:color w:val="auto"/>
          <w:szCs w:val="21"/>
          <w:highlight w:val="none"/>
          <w:lang w:val="zh-CN"/>
        </w:rPr>
      </w:pPr>
      <w:r>
        <w:rPr>
          <w:rFonts w:hint="eastAsia" w:ascii="宋体" w:hAnsi="宋体"/>
          <w:b/>
          <w:bCs/>
          <w:color w:val="auto"/>
          <w:szCs w:val="21"/>
          <w:highlight w:val="none"/>
          <w:lang w:val="zh-CN"/>
        </w:rPr>
        <w:br w:type="page"/>
      </w:r>
    </w:p>
    <w:p>
      <w:pPr>
        <w:pStyle w:val="5"/>
        <w:jc w:val="center"/>
        <w:rPr>
          <w:rFonts w:ascii="宋体" w:hAnsi="宋体"/>
          <w:color w:val="auto"/>
          <w:sz w:val="44"/>
          <w:szCs w:val="44"/>
          <w:highlight w:val="none"/>
        </w:rPr>
      </w:pPr>
      <w:bookmarkStart w:id="922" w:name="_Toc57820639"/>
      <w:bookmarkStart w:id="923" w:name="_Toc18559"/>
      <w:r>
        <w:rPr>
          <w:rFonts w:hint="eastAsia" w:ascii="宋体" w:hAnsi="宋体"/>
          <w:color w:val="auto"/>
          <w:sz w:val="44"/>
          <w:szCs w:val="44"/>
          <w:highlight w:val="none"/>
        </w:rPr>
        <w:t>第三部分 专用合同条款</w:t>
      </w:r>
      <w:bookmarkEnd w:id="922"/>
      <w:bookmarkEnd w:id="923"/>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1. 一般约定</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1.1词语定义与解释</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 合同</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1.1.1.6技术标准和要求：</w:t>
      </w:r>
      <w:r>
        <w:rPr>
          <w:rFonts w:hint="eastAsia" w:ascii="宋体" w:hAnsi="宋体"/>
          <w:color w:val="auto"/>
          <w:kern w:val="0"/>
          <w:szCs w:val="21"/>
          <w:highlight w:val="none"/>
          <w:u w:val="single"/>
        </w:rPr>
        <w:t>本目中的技术标准和要求是指技术规范，即合同所约定的技术标准和要求，是合同文件的组成部分。与通用合同条款中“技术标准和要求”一词具有相同含义，包括合同双方当事人约定对其所作的修改或补充</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1.1.1.8 已标价工程量清单：</w:t>
      </w:r>
      <w:r>
        <w:rPr>
          <w:rFonts w:hint="eastAsia" w:ascii="宋体" w:hAnsi="宋体"/>
          <w:color w:val="auto"/>
          <w:kern w:val="0"/>
          <w:szCs w:val="21"/>
          <w:highlight w:val="none"/>
          <w:u w:val="single"/>
        </w:rPr>
        <w:t>指构成合同的由承包人按照发包人规定的格式和要求填写并标明价格、经算术性错误修订及其他错误修订（如有）且承包人已确认的工程量清单</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kern w:val="0"/>
          <w:szCs w:val="21"/>
          <w:highlight w:val="none"/>
        </w:rPr>
        <w:t>1.1.1.10 其他合同文件包括：</w:t>
      </w:r>
      <w:r>
        <w:rPr>
          <w:rFonts w:hint="eastAsia" w:ascii="宋体" w:hAnsi="宋体"/>
          <w:color w:val="auto"/>
          <w:szCs w:val="21"/>
          <w:highlight w:val="none"/>
          <w:u w:val="single"/>
        </w:rPr>
        <w:t>按照合同协议书</w:t>
      </w:r>
      <w:r>
        <w:rPr>
          <w:rFonts w:hint="eastAsia" w:ascii="宋体" w:hAnsi="宋体"/>
          <w:bCs/>
          <w:color w:val="auto"/>
          <w:szCs w:val="21"/>
          <w:highlight w:val="none"/>
          <w:u w:val="single"/>
        </w:rPr>
        <w:t>〔</w:t>
      </w:r>
      <w:r>
        <w:rPr>
          <w:rFonts w:hint="eastAsia" w:ascii="宋体" w:hAnsi="宋体"/>
          <w:color w:val="auto"/>
          <w:szCs w:val="21"/>
          <w:highlight w:val="none"/>
          <w:u w:val="single"/>
        </w:rPr>
        <w:t>第六条</w:t>
      </w:r>
      <w:r>
        <w:rPr>
          <w:rFonts w:hint="eastAsia" w:ascii="宋体" w:hAnsi="宋体"/>
          <w:bCs/>
          <w:color w:val="auto"/>
          <w:szCs w:val="21"/>
          <w:highlight w:val="none"/>
          <w:u w:val="single"/>
        </w:rPr>
        <w:t>〕</w:t>
      </w:r>
      <w:r>
        <w:rPr>
          <w:rFonts w:hint="eastAsia" w:ascii="宋体" w:hAnsi="宋体"/>
          <w:color w:val="auto"/>
          <w:szCs w:val="21"/>
          <w:highlight w:val="none"/>
          <w:u w:val="single"/>
        </w:rPr>
        <w:t>约定执行</w:t>
      </w:r>
      <w:r>
        <w:rPr>
          <w:rFonts w:hint="eastAsia" w:ascii="宋体" w:hAnsi="宋体"/>
          <w:color w:val="auto"/>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本项补充1.1.1.11～1.1.1.16目：</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1.1.1.11 招标文件：</w:t>
      </w:r>
      <w:r>
        <w:rPr>
          <w:rFonts w:hint="eastAsia" w:ascii="宋体" w:hAnsi="宋体"/>
          <w:color w:val="auto"/>
          <w:kern w:val="0"/>
          <w:szCs w:val="21"/>
          <w:highlight w:val="none"/>
          <w:u w:val="single"/>
        </w:rPr>
        <w:t>指本工程的招标文件、图纸、其他技术资料及招标人发出的对招标文件所作的澄清、修改等资料</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1.1.1.12 工作：</w:t>
      </w:r>
      <w:r>
        <w:rPr>
          <w:rFonts w:hint="eastAsia" w:ascii="宋体" w:hAnsi="宋体"/>
          <w:color w:val="auto"/>
          <w:kern w:val="0"/>
          <w:szCs w:val="21"/>
          <w:highlight w:val="none"/>
          <w:u w:val="single"/>
        </w:rPr>
        <w:t>指根据合同条款规定，或根据合同合理推及的，为本工程（包括永久工程和临时工程）施工与维护所需要的管理、劳务、材料、施工设备和其他物品的提供</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1.1.1.13 重大设计变更：按照规定需要重新报建设行政主管部门批准的设计变更。</w:t>
      </w:r>
    </w:p>
    <w:p>
      <w:pPr>
        <w:spacing w:line="360" w:lineRule="auto"/>
        <w:ind w:firstLine="420" w:firstLineChars="200"/>
        <w:jc w:val="left"/>
        <w:rPr>
          <w:rFonts w:ascii="宋体" w:hAnsi="宋体"/>
          <w:color w:val="auto"/>
          <w:szCs w:val="21"/>
          <w:highlight w:val="none"/>
        </w:rPr>
      </w:pPr>
      <w:r>
        <w:rPr>
          <w:rFonts w:ascii="宋体" w:hAnsi="宋体"/>
          <w:color w:val="auto"/>
          <w:szCs w:val="21"/>
          <w:highlight w:val="none"/>
        </w:rPr>
        <w:t>1.1.1.</w:t>
      </w:r>
      <w:r>
        <w:rPr>
          <w:rFonts w:hint="eastAsia" w:ascii="宋体" w:hAnsi="宋体"/>
          <w:color w:val="auto"/>
          <w:szCs w:val="21"/>
          <w:highlight w:val="none"/>
        </w:rPr>
        <w:t>14 公章：专指法定单位名称章</w:t>
      </w:r>
      <w:r>
        <w:rPr>
          <w:rFonts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1.1.1.15 到岗：指承包人按照到岗履职承诺安排满足办理施工许可手续相关要求的项目主要管理人员实际到施工现场就职履约的行为。</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1.1.1.16 项目法人：指具有民事权利能力和民事行为能力，依法独立享有民事权利和承担民事义务，以建设项目为目的，从事项目管理的机构、单位或组织。</w:t>
      </w:r>
    </w:p>
    <w:p>
      <w:pPr>
        <w:spacing w:line="360" w:lineRule="auto"/>
        <w:ind w:firstLine="420" w:firstLineChars="200"/>
        <w:jc w:val="left"/>
        <w:rPr>
          <w:rFonts w:ascii="宋体" w:hAnsi="宋体"/>
          <w:color w:val="auto"/>
          <w:szCs w:val="21"/>
          <w:highlight w:val="none"/>
        </w:rPr>
      </w:pPr>
      <w:r>
        <w:rPr>
          <w:rFonts w:ascii="宋体" w:hAnsi="宋体"/>
          <w:color w:val="auto"/>
          <w:szCs w:val="21"/>
          <w:highlight w:val="none"/>
        </w:rPr>
        <w:t xml:space="preserve">1.1.2 </w:t>
      </w:r>
      <w:r>
        <w:rPr>
          <w:rFonts w:hint="eastAsia" w:ascii="宋体" w:hAnsi="宋体"/>
          <w:color w:val="auto"/>
          <w:szCs w:val="21"/>
          <w:highlight w:val="none"/>
        </w:rPr>
        <w:t>合同当事人及其他相关方</w:t>
      </w:r>
    </w:p>
    <w:p>
      <w:pPr>
        <w:spacing w:line="360" w:lineRule="auto"/>
        <w:ind w:firstLine="420" w:firstLineChars="200"/>
        <w:jc w:val="left"/>
        <w:rPr>
          <w:rFonts w:ascii="宋体" w:hAnsi="宋体"/>
          <w:color w:val="auto"/>
          <w:szCs w:val="21"/>
          <w:highlight w:val="none"/>
        </w:rPr>
      </w:pPr>
      <w:r>
        <w:rPr>
          <w:rFonts w:ascii="宋体" w:hAnsi="宋体"/>
          <w:color w:val="auto"/>
          <w:szCs w:val="21"/>
          <w:highlight w:val="none"/>
        </w:rPr>
        <w:t xml:space="preserve">1.1.2.4 </w:t>
      </w:r>
      <w:r>
        <w:rPr>
          <w:rFonts w:hint="eastAsia" w:ascii="宋体" w:hAnsi="宋体"/>
          <w:color w:val="auto"/>
          <w:szCs w:val="21"/>
          <w:highlight w:val="none"/>
        </w:rPr>
        <w:t>监理人：</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名</w:t>
      </w:r>
      <w:r>
        <w:rPr>
          <w:rFonts w:ascii="宋体" w:hAnsi="宋体"/>
          <w:color w:val="auto"/>
          <w:szCs w:val="21"/>
          <w:highlight w:val="none"/>
        </w:rPr>
        <w:t xml:space="preserve">    </w:t>
      </w:r>
      <w:r>
        <w:rPr>
          <w:rFonts w:hint="eastAsia" w:ascii="宋体" w:hAnsi="宋体"/>
          <w:color w:val="auto"/>
          <w:szCs w:val="21"/>
          <w:highlight w:val="none"/>
        </w:rPr>
        <w:t>称：</w:t>
      </w:r>
      <w:r>
        <w:rPr>
          <w:rFonts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资质类别和等级：</w:t>
      </w:r>
      <w:r>
        <w:rPr>
          <w:rFonts w:ascii="宋体" w:hAnsi="宋体"/>
          <w:color w:val="auto"/>
          <w:szCs w:val="21"/>
          <w:highlight w:val="none"/>
          <w:u w:val="single"/>
        </w:rPr>
        <w:t></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联系方式：</w:t>
      </w:r>
      <w:r>
        <w:rPr>
          <w:rFonts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ascii="宋体" w:hAnsi="宋体"/>
          <w:color w:val="auto"/>
          <w:szCs w:val="21"/>
          <w:highlight w:val="none"/>
        </w:rPr>
        <w:t xml:space="preserve">1.1.2.5 </w:t>
      </w:r>
      <w:r>
        <w:rPr>
          <w:rFonts w:hint="eastAsia" w:ascii="宋体" w:hAnsi="宋体"/>
          <w:color w:val="auto"/>
          <w:szCs w:val="21"/>
          <w:highlight w:val="none"/>
        </w:rPr>
        <w:t>设计人：</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名</w:t>
      </w:r>
      <w:r>
        <w:rPr>
          <w:rFonts w:ascii="宋体" w:hAnsi="宋体"/>
          <w:color w:val="auto"/>
          <w:szCs w:val="21"/>
          <w:highlight w:val="none"/>
        </w:rPr>
        <w:t xml:space="preserve">    </w:t>
      </w:r>
      <w:r>
        <w:rPr>
          <w:rFonts w:hint="eastAsia" w:ascii="宋体" w:hAnsi="宋体"/>
          <w:color w:val="auto"/>
          <w:szCs w:val="21"/>
          <w:highlight w:val="none"/>
        </w:rPr>
        <w:t>称：</w:t>
      </w:r>
      <w:r>
        <w:rPr>
          <w:rFonts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资质类别和等级：</w:t>
      </w:r>
      <w:r>
        <w:rPr>
          <w:rFonts w:ascii="宋体" w:hAnsi="宋体"/>
          <w:color w:val="auto"/>
          <w:szCs w:val="21"/>
          <w:highlight w:val="none"/>
          <w:u w:val="single"/>
        </w:rPr>
        <w:t></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联系方式：</w:t>
      </w:r>
      <w:r>
        <w:rPr>
          <w:rFonts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1.1.3 工程和设备</w:t>
      </w:r>
    </w:p>
    <w:p>
      <w:pPr>
        <w:spacing w:line="360" w:lineRule="auto"/>
        <w:ind w:firstLine="420" w:firstLineChars="200"/>
        <w:jc w:val="left"/>
        <w:rPr>
          <w:rFonts w:ascii="宋体" w:hAnsi="宋体"/>
          <w:color w:val="auto"/>
          <w:szCs w:val="21"/>
          <w:highlight w:val="none"/>
        </w:rPr>
      </w:pPr>
      <w:r>
        <w:rPr>
          <w:rFonts w:hint="eastAsia" w:ascii="宋体" w:hAnsi="宋体"/>
          <w:color w:val="auto"/>
          <w:kern w:val="0"/>
          <w:szCs w:val="21"/>
          <w:highlight w:val="none"/>
        </w:rPr>
        <w:t>1.1.3.7 作为施工现场组成部分的其他场所包括：</w:t>
      </w:r>
      <w:r>
        <w:rPr>
          <w:rFonts w:hint="eastAsia" w:ascii="宋体" w:hAnsi="宋体"/>
          <w:color w:val="auto"/>
          <w:kern w:val="0"/>
          <w:szCs w:val="21"/>
          <w:highlight w:val="none"/>
          <w:u w:val="single"/>
        </w:rPr>
        <w:t>永久占地、临时占地以及为修建临时工程而租用、占用的土地</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kern w:val="0"/>
          <w:szCs w:val="21"/>
          <w:highlight w:val="none"/>
        </w:rPr>
        <w:t>1.1.3.9 永久占地包括：</w:t>
      </w:r>
      <w:r>
        <w:rPr>
          <w:rFonts w:hint="eastAsia" w:ascii="宋体" w:hAnsi="宋体"/>
          <w:color w:val="auto"/>
          <w:kern w:val="0"/>
          <w:szCs w:val="21"/>
          <w:highlight w:val="none"/>
          <w:u w:val="single"/>
        </w:rPr>
        <w:t>为实施合同工程而需要的一切永久占用的土地，即合同工程</w:t>
      </w:r>
      <w:r>
        <w:rPr>
          <w:rFonts w:hint="eastAsia" w:ascii="宋体" w:hAnsi="宋体"/>
          <w:color w:val="auto"/>
          <w:szCs w:val="21"/>
          <w:highlight w:val="none"/>
          <w:u w:val="single"/>
        </w:rPr>
        <w:t>用地红线范围内的土地</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1.1.3.10 临时占地包括：</w:t>
      </w:r>
      <w:r>
        <w:rPr>
          <w:rFonts w:hint="eastAsia" w:ascii="宋体" w:hAnsi="宋体"/>
          <w:color w:val="auto"/>
          <w:szCs w:val="21"/>
          <w:highlight w:val="none"/>
          <w:u w:val="single"/>
        </w:rPr>
        <w:t>为实施合同工程而需要</w:t>
      </w:r>
      <w:r>
        <w:rPr>
          <w:rFonts w:hint="eastAsia" w:ascii="宋体" w:hAnsi="宋体"/>
          <w:color w:val="auto"/>
          <w:kern w:val="0"/>
          <w:szCs w:val="21"/>
          <w:highlight w:val="none"/>
          <w:u w:val="single"/>
        </w:rPr>
        <w:t>的一切</w:t>
      </w:r>
      <w:r>
        <w:rPr>
          <w:rFonts w:hint="eastAsia" w:ascii="宋体" w:hAnsi="宋体"/>
          <w:color w:val="auto"/>
          <w:szCs w:val="21"/>
          <w:highlight w:val="none"/>
          <w:u w:val="single"/>
        </w:rPr>
        <w:t>临时占用的土地，包括施工所用的临时便道等的临时出入道，以及生产（办公）、生活等临时设施用地</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1.1.6 其他</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本项补充1.1.6.2～1.1.6.3目：</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1.1.6.2 转包、违法分包及挂靠：指符合《住房和城乡建设部关于印发建筑工程施工发包与承包违法行为认定查处管理办法的通知》（建市规〔2019〕1号）规定认定条件的</w:t>
      </w:r>
      <w:r>
        <w:rPr>
          <w:rFonts w:hint="eastAsia" w:ascii="宋体" w:hAnsi="宋体"/>
          <w:color w:val="auto"/>
          <w:kern w:val="0"/>
          <w:szCs w:val="21"/>
          <w:highlight w:val="none"/>
        </w:rPr>
        <w:t>违法行为</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1.1.6.3 危险性较大的分部分项工程（以下简称“危大工程”）：指住房和城乡建设部令第37号《危险性较大的分部分项工程安全管理规定》规定的房屋建筑和市政基础设施工程在施工过程中，容易导致人员群死群伤或者造成重大经济损失的分部分项工程。危大工程及超过一定规模的危大工程范围以国务院住房城乡建设主管部门制定及重庆市住房和城乡建设委员会补充的范围为准。</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1.4 标准和规范</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1.4.1 适用于工程的标准规范包括：</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（1）施工图所涉及的技术标准、规范、规程、图集等；</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（2）国家、行业或重庆市与本工程有关的标准，以及相应的规范、规程等，当这些标准、规范、规程不一致时，以标准、规范、规程要求最高的为准。</w:t>
      </w:r>
    </w:p>
    <w:p>
      <w:pPr>
        <w:spacing w:line="360" w:lineRule="auto"/>
        <w:ind w:firstLine="420" w:firstLineChars="200"/>
        <w:jc w:val="left"/>
        <w:rPr>
          <w:rFonts w:ascii="宋体" w:hAnsi="宋体"/>
          <w:color w:val="auto"/>
          <w:szCs w:val="21"/>
          <w:highlight w:val="none"/>
          <w:u w:val="single"/>
        </w:rPr>
      </w:pPr>
      <w:r>
        <w:rPr>
          <w:rFonts w:ascii="宋体" w:hAnsi="宋体"/>
          <w:color w:val="auto"/>
          <w:szCs w:val="21"/>
          <w:highlight w:val="none"/>
        </w:rPr>
        <w:t>（</w:t>
      </w:r>
      <w:r>
        <w:rPr>
          <w:rFonts w:hint="eastAsia" w:ascii="宋体" w:hAnsi="宋体"/>
          <w:color w:val="auto"/>
          <w:szCs w:val="21"/>
          <w:highlight w:val="none"/>
        </w:rPr>
        <w:t>3</w:t>
      </w:r>
      <w:r>
        <w:rPr>
          <w:rFonts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1.4.2 发包人提供国外标准、规范的名称：</w:t>
      </w:r>
      <w:r>
        <w:rPr>
          <w:rFonts w:hint="eastAsia" w:ascii="宋体" w:hAnsi="宋体"/>
          <w:color w:val="auto"/>
          <w:kern w:val="0"/>
          <w:szCs w:val="21"/>
          <w:highlight w:val="none"/>
          <w:u w:val="single"/>
        </w:rPr>
        <w:t xml:space="preserve"> / </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发包人提供国外标准、规范的份数：</w:t>
      </w:r>
      <w:r>
        <w:rPr>
          <w:rFonts w:hint="eastAsia" w:ascii="宋体" w:hAnsi="宋体"/>
          <w:color w:val="auto"/>
          <w:kern w:val="0"/>
          <w:szCs w:val="21"/>
          <w:highlight w:val="none"/>
          <w:u w:val="single"/>
        </w:rPr>
        <w:t xml:space="preserve"> / </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发包人提供国外标准、规范的名称：</w:t>
      </w:r>
      <w:r>
        <w:rPr>
          <w:rFonts w:hint="eastAsia" w:ascii="宋体" w:hAnsi="宋体"/>
          <w:color w:val="auto"/>
          <w:kern w:val="0"/>
          <w:szCs w:val="21"/>
          <w:highlight w:val="none"/>
          <w:u w:val="single"/>
        </w:rPr>
        <w:t xml:space="preserve"> / </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1.4.3 发包人对工程的技术标准和功能要求的特殊要求：</w:t>
      </w:r>
      <w:r>
        <w:rPr>
          <w:rFonts w:hint="eastAsia" w:ascii="宋体" w:hAnsi="宋体"/>
          <w:color w:val="auto"/>
          <w:kern w:val="0"/>
          <w:szCs w:val="21"/>
          <w:highlight w:val="none"/>
          <w:u w:val="single"/>
        </w:rPr>
        <w:t xml:space="preserve">/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1.5 合同文件的优先顺序</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合同文件组成及优先顺序为：</w:t>
      </w:r>
      <w:r>
        <w:rPr>
          <w:rFonts w:hint="eastAsia" w:ascii="宋体" w:hAnsi="宋体"/>
          <w:color w:val="auto"/>
          <w:szCs w:val="21"/>
          <w:highlight w:val="none"/>
          <w:u w:val="single"/>
        </w:rPr>
        <w:t>按照合同协议书</w:t>
      </w:r>
      <w:r>
        <w:rPr>
          <w:rFonts w:hint="eastAsia" w:ascii="宋体" w:hAnsi="宋体"/>
          <w:bCs/>
          <w:color w:val="auto"/>
          <w:szCs w:val="21"/>
          <w:highlight w:val="none"/>
          <w:u w:val="single"/>
        </w:rPr>
        <w:t>〔</w:t>
      </w:r>
      <w:r>
        <w:rPr>
          <w:rFonts w:hint="eastAsia" w:ascii="宋体" w:hAnsi="宋体"/>
          <w:color w:val="auto"/>
          <w:szCs w:val="21"/>
          <w:highlight w:val="none"/>
          <w:u w:val="single"/>
        </w:rPr>
        <w:t>第六条</w:t>
      </w:r>
      <w:r>
        <w:rPr>
          <w:rFonts w:hint="eastAsia" w:ascii="宋体" w:hAnsi="宋体"/>
          <w:bCs/>
          <w:color w:val="auto"/>
          <w:szCs w:val="21"/>
          <w:highlight w:val="none"/>
          <w:u w:val="single"/>
        </w:rPr>
        <w:t>〕</w:t>
      </w:r>
      <w:r>
        <w:rPr>
          <w:rFonts w:hint="eastAsia" w:ascii="宋体" w:hAnsi="宋体"/>
          <w:color w:val="auto"/>
          <w:szCs w:val="21"/>
          <w:highlight w:val="none"/>
          <w:u w:val="single"/>
        </w:rPr>
        <w:t>约定执行</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1.6 图纸和承包人文件</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1.6.1 图纸的提供和交底</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发包人向承包人提供图纸的期限：</w:t>
      </w:r>
      <w:r>
        <w:rPr>
          <w:rFonts w:hint="eastAsia" w:ascii="宋体" w:hAnsi="宋体"/>
          <w:color w:val="auto"/>
          <w:szCs w:val="21"/>
          <w:highlight w:val="none"/>
          <w:u w:val="single"/>
        </w:rPr>
        <w:t>通用合同条款第7.3.2款</w:t>
      </w:r>
      <w:r>
        <w:rPr>
          <w:rFonts w:hint="eastAsia" w:ascii="宋体" w:hAnsi="宋体"/>
          <w:bCs/>
          <w:color w:val="auto"/>
          <w:szCs w:val="21"/>
          <w:highlight w:val="none"/>
          <w:u w:val="single"/>
        </w:rPr>
        <w:t>〔</w:t>
      </w:r>
      <w:r>
        <w:rPr>
          <w:rFonts w:hint="eastAsia" w:ascii="宋体" w:hAnsi="宋体"/>
          <w:color w:val="auto"/>
          <w:szCs w:val="21"/>
          <w:highlight w:val="none"/>
          <w:u w:val="single"/>
        </w:rPr>
        <w:t>开工通知</w:t>
      </w:r>
      <w:r>
        <w:rPr>
          <w:rFonts w:hint="eastAsia" w:ascii="宋体" w:hAnsi="宋体"/>
          <w:bCs/>
          <w:color w:val="auto"/>
          <w:szCs w:val="21"/>
          <w:highlight w:val="none"/>
          <w:u w:val="single"/>
        </w:rPr>
        <w:t>〕</w:t>
      </w:r>
      <w:r>
        <w:rPr>
          <w:rFonts w:hint="eastAsia" w:ascii="宋体" w:hAnsi="宋体"/>
          <w:color w:val="auto"/>
          <w:szCs w:val="21"/>
          <w:highlight w:val="none"/>
          <w:u w:val="single"/>
        </w:rPr>
        <w:t>载明的开工日期前14天</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发包人向承包人提供图纸的数量：</w:t>
      </w:r>
      <w:r>
        <w:rPr>
          <w:rFonts w:hint="eastAsia" w:ascii="宋体" w:hAnsi="宋体"/>
          <w:color w:val="auto"/>
          <w:szCs w:val="21"/>
          <w:highlight w:val="none"/>
          <w:u w:val="single"/>
        </w:rPr>
        <w:t xml:space="preserve"> 1套</w:t>
      </w:r>
      <w:r>
        <w:rPr>
          <w:rFonts w:hint="eastAsia" w:ascii="宋体" w:hAnsi="宋体"/>
          <w:color w:val="auto"/>
          <w:szCs w:val="21"/>
          <w:highlight w:val="none"/>
        </w:rPr>
        <w:t xml:space="preserve">； </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发包人向承包人提供图纸的内容：</w:t>
      </w:r>
      <w:r>
        <w:rPr>
          <w:rFonts w:hint="eastAsia" w:ascii="宋体" w:hAnsi="宋体"/>
          <w:color w:val="auto"/>
          <w:szCs w:val="21"/>
          <w:highlight w:val="none"/>
          <w:u w:val="single"/>
        </w:rPr>
        <w:t>工程承包范围内工程的施工图设计文件</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发包人组织承包人、监理人和设计人进行图纸会审和设计交底的时间：</w:t>
      </w:r>
      <w:r>
        <w:rPr>
          <w:rFonts w:hint="eastAsia" w:ascii="宋体" w:hAnsi="宋体"/>
          <w:color w:val="auto"/>
          <w:szCs w:val="21"/>
          <w:highlight w:val="none"/>
          <w:u w:val="single"/>
        </w:rPr>
        <w:t>提供施工图后7天内</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承包人可以书面方式通过监理人向发包人申请进行紧急的设计交底，发包人认为确有必要且条件许可时，应尽快组织实施承包人申请的设计交底。</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1.6.2 图纸的错误</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在收到发包人提供的图纸后，承包人应对收到的图纸进行仔细核查，并在开始施工前，将发现的图纸存在的差错、遗漏或缺陷及时通知监理人。监理人接到该通知后，应附相关意见并立即报送发包人，发包人应在收到监理人报送的通知后作出决定。</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承包人不得利用图纸的差错、遗漏或缺陷，从中获得不正当的利益。</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1.6.4 承包人文件</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需要由承包人提供的书面文件，包括：</w:t>
      </w:r>
      <w:r>
        <w:rPr>
          <w:rFonts w:hint="eastAsia" w:ascii="宋体" w:hAnsi="宋体"/>
          <w:color w:val="auto"/>
          <w:szCs w:val="21"/>
          <w:highlight w:val="none"/>
          <w:u w:val="single"/>
        </w:rPr>
        <w:t>施工组织设计、专项施工方案、</w:t>
      </w:r>
      <w:r>
        <w:rPr>
          <w:rFonts w:ascii="宋体" w:hAnsi="宋体"/>
          <w:color w:val="auto"/>
          <w:szCs w:val="21"/>
          <w:highlight w:val="none"/>
          <w:u w:val="single"/>
        </w:rPr>
        <w:t>危险性较大分部分项工程施工方案</w:t>
      </w:r>
      <w:r>
        <w:rPr>
          <w:rFonts w:hint="eastAsia" w:ascii="宋体" w:hAnsi="宋体"/>
          <w:color w:val="auto"/>
          <w:szCs w:val="21"/>
          <w:highlight w:val="none"/>
          <w:u w:val="single"/>
        </w:rPr>
        <w:t>（如有）、安全应急方案、进度计划、报表及计划、竣工资料及施工过程中因工程变更需要报送的施工方案、施工过程中涉及工程价款变更的相关资料、完整的竣工结算资料等</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承包人提供文件的期限、数量：</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（1）</w:t>
      </w:r>
      <w:r>
        <w:rPr>
          <w:rFonts w:hint="eastAsia" w:ascii="宋体" w:hAnsi="宋体"/>
          <w:color w:val="auto"/>
          <w:szCs w:val="21"/>
          <w:highlight w:val="none"/>
          <w:u w:val="single"/>
        </w:rPr>
        <w:t>图纸会审及设计交底后7天内，向监理人、发包人提交经优化完善的施工组织设计和工程总体进度计划及当年年度施工进度计划。进度计划安排必须符合发包人对本工程总体进度计划的安排。专项施工方案应在专项施工7日前通过审查（含专家论证）。施工组织设计和专项施工方案经监理人审批同意后执行。承包人应接受监理人、发包人对其提交的施工组织设计和专项施工方案中不合理的工期安排及技术措施、方案的修改意见，并修改完善后重新报批，直至获得批准</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w:t>
      </w:r>
      <w:r>
        <w:rPr>
          <w:rFonts w:hint="eastAsia" w:ascii="宋体" w:hAnsi="宋体"/>
          <w:color w:val="auto"/>
          <w:szCs w:val="21"/>
          <w:highlight w:val="none"/>
          <w:u w:val="single"/>
        </w:rPr>
        <w:t>每月25日前报送月工程进度完成报表</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（3）合同另有约定的，按照其约定。</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承包人提供的文件的形式：□采用电子招标的，投标文件以电子文档为准，其他文件以书面文件为准；□采用纸质招标的，当书面文件与电子文档不一致的，以书面文件为准。监理人审批承包人文件的期限：</w:t>
      </w:r>
      <w:r>
        <w:rPr>
          <w:rFonts w:hint="eastAsia" w:ascii="宋体" w:hAnsi="宋体"/>
          <w:color w:val="auto"/>
          <w:szCs w:val="21"/>
          <w:highlight w:val="none"/>
          <w:u w:val="single"/>
        </w:rPr>
        <w:t>收到施工组织设计和工程总体进度计划及当年年度施工进度计划后7天内；合同另有约定的，从其约定</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承包人提供的文件的费用：</w:t>
      </w:r>
      <w:r>
        <w:rPr>
          <w:rFonts w:hint="eastAsia" w:ascii="宋体" w:hAnsi="宋体"/>
          <w:color w:val="auto"/>
          <w:szCs w:val="21"/>
          <w:highlight w:val="none"/>
          <w:u w:val="single"/>
        </w:rPr>
        <w:t>由承包人承担</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发包人审批承包人文件的期限：</w:t>
      </w:r>
      <w:r>
        <w:rPr>
          <w:rFonts w:hint="eastAsia" w:ascii="宋体" w:hAnsi="宋体"/>
          <w:color w:val="auto"/>
          <w:szCs w:val="21"/>
          <w:highlight w:val="none"/>
          <w:u w:val="single"/>
        </w:rPr>
        <w:t>收到后14天内；合同另有约定的，从其约定</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监理人、发包人的修改意见和审批，不免除或减轻承包人对该工作、工程、材料、工程设备等应承担的责任和义务</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1.7 联络</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1.7.1 发包人和承包人应当在</w:t>
      </w:r>
      <w:r>
        <w:rPr>
          <w:rFonts w:hint="eastAsia" w:ascii="宋体" w:hAnsi="宋体"/>
          <w:color w:val="auto"/>
          <w:szCs w:val="21"/>
          <w:highlight w:val="none"/>
          <w:u w:val="single"/>
        </w:rPr>
        <w:t xml:space="preserve"> 1 </w:t>
      </w:r>
      <w:r>
        <w:rPr>
          <w:rFonts w:hint="eastAsia" w:ascii="宋体" w:hAnsi="宋体"/>
          <w:color w:val="auto"/>
          <w:kern w:val="0"/>
          <w:szCs w:val="21"/>
          <w:highlight w:val="none"/>
        </w:rPr>
        <w:t>天内将与合同有关的通知、批准、证明、证书、指示、指令、要求、请求、同意、意见、确定和决定等书面函件送达对方当事人，并办理书面签收手续。</w:t>
      </w:r>
    </w:p>
    <w:p>
      <w:pPr>
        <w:tabs>
          <w:tab w:val="left" w:pos="7513"/>
        </w:tabs>
        <w:spacing w:line="360" w:lineRule="auto"/>
        <w:ind w:firstLine="420" w:firstLineChars="200"/>
        <w:jc w:val="left"/>
        <w:rPr>
          <w:rFonts w:ascii="宋体" w:hAnsi="宋体"/>
          <w:color w:val="auto"/>
          <w:kern w:val="0"/>
          <w:szCs w:val="21"/>
          <w:highlight w:val="none"/>
        </w:rPr>
      </w:pPr>
      <w:r>
        <w:rPr>
          <w:rFonts w:ascii="宋体" w:hAnsi="宋体"/>
          <w:color w:val="auto"/>
          <w:kern w:val="0"/>
          <w:szCs w:val="21"/>
          <w:highlight w:val="none"/>
        </w:rPr>
        <w:t xml:space="preserve">1.7.2 </w:t>
      </w:r>
      <w:r>
        <w:rPr>
          <w:rFonts w:hint="eastAsia" w:ascii="宋体" w:hAnsi="宋体"/>
          <w:color w:val="auto"/>
          <w:kern w:val="0"/>
          <w:szCs w:val="21"/>
          <w:highlight w:val="none"/>
        </w:rPr>
        <w:t>发包人接收文件地点：</w:t>
      </w:r>
      <w:r>
        <w:rPr>
          <w:rFonts w:ascii="宋体" w:hAnsi="宋体"/>
          <w:color w:val="auto"/>
          <w:kern w:val="0"/>
          <w:szCs w:val="21"/>
          <w:highlight w:val="none"/>
          <w:u w:val="single"/>
        </w:rPr>
        <w:t xml:space="preserve">         </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发包人指定的接收人：</w:t>
      </w:r>
      <w:r>
        <w:rPr>
          <w:rFonts w:ascii="宋体" w:hAnsi="宋体"/>
          <w:color w:val="auto"/>
          <w:kern w:val="0"/>
          <w:szCs w:val="21"/>
          <w:highlight w:val="none"/>
          <w:u w:val="single"/>
        </w:rPr>
        <w:t xml:space="preserve">    </w:t>
      </w:r>
      <w:r>
        <w:rPr>
          <w:rFonts w:hint="eastAsia" w:ascii="宋体" w:hAnsi="宋体"/>
          <w:color w:val="auto"/>
          <w:kern w:val="0"/>
          <w:szCs w:val="21"/>
          <w:highlight w:val="none"/>
          <w:u w:val="single"/>
        </w:rPr>
        <w:t>现场代表</w:t>
      </w:r>
      <w:r>
        <w:rPr>
          <w:rFonts w:ascii="宋体" w:hAnsi="宋体"/>
          <w:color w:val="auto"/>
          <w:kern w:val="0"/>
          <w:szCs w:val="21"/>
          <w:highlight w:val="none"/>
          <w:u w:val="single"/>
        </w:rPr>
        <w:t xml:space="preserve">       </w:t>
      </w:r>
      <w:r>
        <w:rPr>
          <w:rFonts w:hint="eastAsia" w:ascii="宋体" w:hAnsi="宋体"/>
          <w:color w:val="auto"/>
          <w:kern w:val="0"/>
          <w:szCs w:val="21"/>
          <w:highlight w:val="none"/>
        </w:rPr>
        <w:t>；</w:t>
      </w:r>
    </w:p>
    <w:p>
      <w:pPr>
        <w:tabs>
          <w:tab w:val="left" w:pos="7513"/>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承包人接收文件地点：</w:t>
      </w:r>
      <w:r>
        <w:rPr>
          <w:rFonts w:ascii="宋体" w:hAnsi="宋体"/>
          <w:color w:val="auto"/>
          <w:kern w:val="0"/>
          <w:szCs w:val="21"/>
          <w:highlight w:val="none"/>
          <w:u w:val="single"/>
        </w:rPr>
        <w:t xml:space="preserve">                             </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承包人指定的接收人：</w:t>
      </w:r>
      <w:r>
        <w:rPr>
          <w:rFonts w:ascii="宋体" w:hAnsi="宋体"/>
          <w:color w:val="auto"/>
          <w:kern w:val="0"/>
          <w:szCs w:val="21"/>
          <w:highlight w:val="none"/>
          <w:u w:val="single"/>
        </w:rPr>
        <w:t xml:space="preserve">                             </w:t>
      </w:r>
      <w:r>
        <w:rPr>
          <w:rFonts w:hint="eastAsia" w:ascii="宋体" w:hAnsi="宋体"/>
          <w:color w:val="auto"/>
          <w:kern w:val="0"/>
          <w:szCs w:val="21"/>
          <w:highlight w:val="none"/>
        </w:rPr>
        <w:t>；</w:t>
      </w:r>
    </w:p>
    <w:p>
      <w:pPr>
        <w:tabs>
          <w:tab w:val="left" w:pos="7371"/>
        </w:tabs>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监理人接收文件地点：</w:t>
      </w:r>
      <w:r>
        <w:rPr>
          <w:rFonts w:ascii="宋体" w:hAnsi="宋体"/>
          <w:color w:val="auto"/>
          <w:kern w:val="0"/>
          <w:szCs w:val="21"/>
          <w:highlight w:val="none"/>
          <w:u w:val="single"/>
        </w:rPr>
        <w:t xml:space="preserve">                             </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监理人指定的接收人：</w:t>
      </w:r>
      <w:r>
        <w:rPr>
          <w:rFonts w:ascii="宋体" w:hAnsi="宋体"/>
          <w:color w:val="auto"/>
          <w:kern w:val="0"/>
          <w:szCs w:val="21"/>
          <w:highlight w:val="none"/>
          <w:u w:val="single"/>
        </w:rPr>
        <w:t xml:space="preserve">                             </w:t>
      </w:r>
      <w:r>
        <w:rPr>
          <w:rFonts w:hint="eastAsia" w:ascii="宋体" w:hAnsi="宋体"/>
          <w:color w:val="auto"/>
          <w:kern w:val="0"/>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1.8 严禁贿赂</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本款补充以下内容：</w:t>
      </w:r>
    </w:p>
    <w:p>
      <w:pPr>
        <w:spacing w:line="360" w:lineRule="auto"/>
        <w:ind w:firstLine="420" w:firstLineChars="200"/>
        <w:jc w:val="left"/>
        <w:rPr>
          <w:rFonts w:ascii="宋体" w:hAnsi="宋体"/>
          <w:color w:val="auto"/>
          <w:kern w:val="0"/>
          <w:szCs w:val="21"/>
          <w:highlight w:val="none"/>
          <w:u w:val="single"/>
        </w:rPr>
      </w:pPr>
      <w:r>
        <w:rPr>
          <w:rFonts w:hint="eastAsia" w:ascii="宋体" w:hAnsi="宋体"/>
          <w:color w:val="auto"/>
          <w:kern w:val="0"/>
          <w:szCs w:val="21"/>
          <w:highlight w:val="none"/>
        </w:rPr>
        <w:t>在合同执行过程中，合同当事人应严格履行附件8《廉洁从业协议》。</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1.10 交通运输</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1.10.1 出入现场的权利</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szCs w:val="21"/>
          <w:highlight w:val="none"/>
        </w:rPr>
        <w:t>关于出入现场的权利的约定：</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1.10.2 场外交通</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承包人应遵守有关交通法规，执行有关道路限速、限行、禁止超载的规定，并配合交通管理部门的监督和检查。场外交通以施工场地移交时的现状为准。</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1.10.3 场内交通</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kern w:val="0"/>
          <w:szCs w:val="21"/>
          <w:highlight w:val="none"/>
        </w:rPr>
        <w:t>关于场外交通和场内交通的边界的约定：</w:t>
      </w:r>
      <w:r>
        <w:rPr>
          <w:rFonts w:hint="eastAsia" w:ascii="宋体" w:hAnsi="宋体"/>
          <w:color w:val="auto"/>
          <w:szCs w:val="21"/>
          <w:highlight w:val="none"/>
          <w:u w:val="single"/>
        </w:rPr>
        <w:t>以合同工程用地红线为界，用地红线外为场外交通，用地红线范围内为场内交通（场外道路穿越场内的除外）</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kern w:val="0"/>
          <w:szCs w:val="21"/>
          <w:highlight w:val="none"/>
        </w:rPr>
        <w:t>关于发包人向承包人免费提供满足工程施工需要的场内道路和交通设施的约定：</w:t>
      </w:r>
      <w:r>
        <w:rPr>
          <w:rFonts w:hint="eastAsia" w:ascii="宋体" w:hAnsi="宋体"/>
          <w:color w:val="auto"/>
          <w:kern w:val="0"/>
          <w:szCs w:val="21"/>
          <w:highlight w:val="none"/>
          <w:u w:val="single"/>
        </w:rPr>
        <w:t>以施工场地移交时的现状为准</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1.10.4 超大件和超重件的运输</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运输超大件或超重件所需的道路和桥梁临时加固改造费用和其他有关费用由</w:t>
      </w:r>
      <w:r>
        <w:rPr>
          <w:rFonts w:hint="eastAsia" w:ascii="宋体" w:hAnsi="宋体"/>
          <w:color w:val="auto"/>
          <w:szCs w:val="21"/>
          <w:highlight w:val="none"/>
          <w:u w:val="single"/>
        </w:rPr>
        <w:t>承包人</w:t>
      </w:r>
      <w:r>
        <w:rPr>
          <w:rFonts w:hint="eastAsia" w:ascii="宋体" w:hAnsi="宋体"/>
          <w:color w:val="auto"/>
          <w:szCs w:val="21"/>
          <w:highlight w:val="none"/>
        </w:rPr>
        <w:t>承担。</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1.11 知识产权</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1.11.1 关于发包人提供给承包人的图纸、发包人为实施工程自行编制或委托编制的技术规范以及反映发包人关于合同要求或其他类似性质的文件的著作权的归属：</w:t>
      </w:r>
      <w:r>
        <w:rPr>
          <w:rFonts w:hint="eastAsia" w:ascii="宋体" w:hAnsi="宋体"/>
          <w:color w:val="auto"/>
          <w:szCs w:val="21"/>
          <w:highlight w:val="none"/>
          <w:u w:val="single"/>
        </w:rPr>
        <w:t>属于发包人</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关于发包人提供的上述文件的使用限制的要求：</w:t>
      </w:r>
      <w:r>
        <w:rPr>
          <w:rFonts w:hint="eastAsia" w:ascii="宋体" w:hAnsi="宋体"/>
          <w:color w:val="auto"/>
          <w:szCs w:val="21"/>
          <w:highlight w:val="none"/>
          <w:u w:val="single"/>
        </w:rPr>
        <w:t>按通用合同条款执行</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1.11.4 承包人在施工过程中所采用的专利、专有技术、技术秘密的使用费的承担方式：</w:t>
      </w:r>
      <w:r>
        <w:rPr>
          <w:rFonts w:hint="eastAsia" w:ascii="宋体" w:hAnsi="宋体"/>
          <w:color w:val="auto"/>
          <w:szCs w:val="21"/>
          <w:highlight w:val="none"/>
          <w:u w:val="single"/>
        </w:rPr>
        <w:t xml:space="preserve"> 由承包人在投标报价或投标比例中综合考虑，发包人不再支付相关费用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1.13工程量清单错误的修正</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出现工程量清单错误时，责任和权利划分：</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出现工程量清单错误时，是否调整合同价格：</w:t>
      </w:r>
      <w:r>
        <w:rPr>
          <w:rFonts w:hint="eastAsia" w:ascii="宋体" w:hAnsi="宋体"/>
          <w:color w:val="auto"/>
          <w:szCs w:val="21"/>
          <w:highlight w:val="none"/>
          <w:u w:val="single"/>
        </w:rPr>
        <w:t xml:space="preserve">    /    </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允许调整合同价格的工程量偏差范围：</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2</w:t>
      </w:r>
      <w:r>
        <w:rPr>
          <w:color w:val="auto"/>
          <w:kern w:val="2"/>
          <w:sz w:val="21"/>
          <w:szCs w:val="21"/>
          <w:highlight w:val="none"/>
        </w:rPr>
        <w:t xml:space="preserve">. </w:t>
      </w:r>
      <w:r>
        <w:rPr>
          <w:rFonts w:hint="eastAsia"/>
          <w:color w:val="auto"/>
          <w:kern w:val="2"/>
          <w:sz w:val="21"/>
          <w:szCs w:val="21"/>
          <w:highlight w:val="none"/>
        </w:rPr>
        <w:t>发包人</w:t>
      </w:r>
    </w:p>
    <w:p>
      <w:pPr>
        <w:spacing w:line="360" w:lineRule="auto"/>
        <w:ind w:firstLine="420" w:firstLineChars="200"/>
        <w:jc w:val="left"/>
        <w:rPr>
          <w:rFonts w:ascii="宋体" w:hAnsi="宋体"/>
          <w:color w:val="auto"/>
          <w:szCs w:val="21"/>
          <w:highlight w:val="none"/>
        </w:rPr>
      </w:pPr>
      <w:r>
        <w:rPr>
          <w:rFonts w:ascii="宋体" w:hAnsi="宋体"/>
          <w:color w:val="auto"/>
          <w:szCs w:val="21"/>
          <w:highlight w:val="none"/>
        </w:rPr>
        <w:t xml:space="preserve">2.2.1 </w:t>
      </w:r>
      <w:r>
        <w:rPr>
          <w:rFonts w:hint="eastAsia" w:ascii="宋体" w:hAnsi="宋体"/>
          <w:color w:val="auto"/>
          <w:szCs w:val="21"/>
          <w:highlight w:val="none"/>
        </w:rPr>
        <w:t>发包人代表</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发包人代表：</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姓</w:t>
      </w:r>
      <w:r>
        <w:rPr>
          <w:rFonts w:ascii="宋体" w:hAnsi="宋体"/>
          <w:color w:val="auto"/>
          <w:szCs w:val="21"/>
          <w:highlight w:val="none"/>
        </w:rPr>
        <w:t xml:space="preserve">    </w:t>
      </w:r>
      <w:r>
        <w:rPr>
          <w:rFonts w:hint="eastAsia" w:ascii="宋体" w:hAnsi="宋体"/>
          <w:color w:val="auto"/>
          <w:szCs w:val="21"/>
          <w:highlight w:val="none"/>
        </w:rPr>
        <w:t>名：</w:t>
      </w:r>
      <w:r>
        <w:rPr>
          <w:rFonts w:ascii="宋体" w:hAnsi="宋体"/>
          <w:color w:val="auto"/>
          <w:szCs w:val="21"/>
          <w:highlight w:val="none"/>
          <w:u w:val="single"/>
        </w:rPr>
        <w:t></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身份证号：</w:t>
      </w:r>
      <w:r>
        <w:rPr>
          <w:rFonts w:ascii="宋体" w:hAnsi="宋体"/>
          <w:color w:val="auto"/>
          <w:szCs w:val="21"/>
          <w:highlight w:val="none"/>
          <w:u w:val="single"/>
        </w:rPr>
        <w:t></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职</w:t>
      </w:r>
      <w:r>
        <w:rPr>
          <w:rFonts w:ascii="宋体" w:hAnsi="宋体"/>
          <w:color w:val="auto"/>
          <w:szCs w:val="21"/>
          <w:highlight w:val="none"/>
        </w:rPr>
        <w:t xml:space="preserve">    </w:t>
      </w:r>
      <w:r>
        <w:rPr>
          <w:rFonts w:hint="eastAsia" w:ascii="宋体" w:hAnsi="宋体"/>
          <w:color w:val="auto"/>
          <w:szCs w:val="21"/>
          <w:highlight w:val="none"/>
        </w:rPr>
        <w:t>务：</w:t>
      </w:r>
      <w:r>
        <w:rPr>
          <w:rFonts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联系方式：</w:t>
      </w:r>
      <w:r>
        <w:rPr>
          <w:rFonts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邮</w:t>
      </w:r>
      <w:r>
        <w:rPr>
          <w:rFonts w:ascii="宋体" w:hAnsi="宋体"/>
          <w:color w:val="auto"/>
          <w:szCs w:val="21"/>
          <w:highlight w:val="none"/>
        </w:rPr>
        <w:t xml:space="preserve">    </w:t>
      </w:r>
      <w:r>
        <w:rPr>
          <w:rFonts w:hint="eastAsia" w:ascii="宋体" w:hAnsi="宋体"/>
          <w:color w:val="auto"/>
          <w:szCs w:val="21"/>
          <w:highlight w:val="none"/>
        </w:rPr>
        <w:t>编：</w:t>
      </w:r>
      <w:r>
        <w:rPr>
          <w:rFonts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发包人对发包人代表的授权范围如下：</w:t>
      </w:r>
      <w:r>
        <w:rPr>
          <w:rFonts w:hint="eastAsia" w:ascii="宋体" w:hAnsi="宋体"/>
          <w:color w:val="auto"/>
          <w:szCs w:val="21"/>
          <w:highlight w:val="none"/>
          <w:u w:val="single"/>
        </w:rPr>
        <w:t>代表发包人对项目建设进行协调、管控、审查，确保安全、质量、环保、进度、成本可控，及时处理项目相关问题，向承包人、监理人等下达各类指令。由发包人授权的，以授权书载明的授权范围为准</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2.4 施工现场、施工条件和基础资料的提供</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2.4.1 提供施工现场</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2.4.1.1 提供场地：</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施工场地的提供采用以下第</w:t>
      </w:r>
      <w:r>
        <w:rPr>
          <w:rFonts w:hint="eastAsia" w:ascii="宋体" w:hAnsi="宋体"/>
          <w:color w:val="auto"/>
          <w:szCs w:val="21"/>
          <w:highlight w:val="none"/>
          <w:u w:val="single"/>
        </w:rPr>
        <w:t xml:space="preserve"> （2）  </w:t>
      </w:r>
      <w:r>
        <w:rPr>
          <w:rFonts w:hint="eastAsia" w:ascii="宋体" w:hAnsi="宋体"/>
          <w:color w:val="auto"/>
          <w:szCs w:val="21"/>
          <w:highlight w:val="none"/>
        </w:rPr>
        <w:t>种方式：</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（1）一次提供全部施工场地：发包人于</w:t>
      </w:r>
      <w:r>
        <w:rPr>
          <w:rFonts w:hint="eastAsia" w:ascii="宋体" w:hAnsi="宋体"/>
          <w:color w:val="auto"/>
          <w:szCs w:val="21"/>
          <w:highlight w:val="none"/>
          <w:u w:val="single"/>
        </w:rPr>
        <w:t>开工</w:t>
      </w:r>
      <w:r>
        <w:rPr>
          <w:rFonts w:hint="eastAsia" w:ascii="宋体" w:hAnsi="宋体"/>
          <w:color w:val="auto"/>
          <w:szCs w:val="21"/>
          <w:highlight w:val="none"/>
        </w:rPr>
        <w:t>前向承包人提供合同工程用地红线范围内的施工场地。</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（2）分次提供全部施工场地：</w:t>
      </w:r>
      <w:r>
        <w:rPr>
          <w:rFonts w:hint="eastAsia" w:ascii="宋体" w:hAnsi="宋体"/>
          <w:color w:val="auto"/>
          <w:szCs w:val="21"/>
          <w:highlight w:val="none"/>
          <w:u w:val="single"/>
        </w:rPr>
        <w:t>发包人按约定的时间分次向承包人提供合同工程用地红线范围内的施工场地</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承包人编制的施工组织计划已充分考虑了施工场地提供的因素</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施工场地未能按约定提供的，承包人应结合施工场地实际交地情况，优化施工组织计划。施工场地未能按约定提供，影响项目关键线路的，承包人可提交索赔申请，并经监理人、发包人审批后可按约定顺延项目工期，否则工期不予顺延</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2.4.2 提供施工条件</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关于发包人应负责提供施工所需要的条件：</w:t>
      </w:r>
      <w:r>
        <w:rPr>
          <w:rFonts w:hint="eastAsia" w:ascii="宋体" w:hAnsi="宋体"/>
          <w:color w:val="auto"/>
          <w:szCs w:val="21"/>
          <w:highlight w:val="none"/>
          <w:u w:val="single"/>
        </w:rPr>
        <w:t xml:space="preserve"> （1）将施工用水、电力等施工所必需的条件接至施工现场内，由承包人根据本工程实际情况，自行向相关部门申请安装，相关费用由承包人自行承担，发包人不再另行支付。工程完工后，由承包人自行拆除和回收。施工用水接入点及用量应征求发包人意见。</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（2）承包人自行负责正常施工所需要的进入施工现场的交通条件，相关费用由承包人自行承担，发包人不再另行支付。</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 xml:space="preserve">（3）委托承包人协调处理施工现场周围地下管线和邻近建筑物、构筑物、古树名木、文物、化石及坟墓等的保护工作，并承担相关费用，相关费用由承包人自行承担，发包人不再另行支付。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2.5 资金来源证明及支付担保</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发包人提供资金来源证明的期限要求：</w:t>
      </w:r>
      <w:r>
        <w:rPr>
          <w:rFonts w:hint="eastAsia" w:ascii="宋体" w:hAnsi="宋体"/>
          <w:color w:val="auto"/>
          <w:szCs w:val="21"/>
          <w:highlight w:val="none"/>
          <w:u w:val="single"/>
        </w:rPr>
        <w:t>不采用</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发包人是否提供支付担保：不</w:t>
      </w:r>
      <w:r>
        <w:rPr>
          <w:rFonts w:hint="eastAsia" w:ascii="宋体" w:hAnsi="宋体"/>
          <w:color w:val="auto"/>
          <w:szCs w:val="21"/>
          <w:highlight w:val="none"/>
          <w:u w:val="single"/>
        </w:rPr>
        <w:t>提供</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支付担保的形式：</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支付担保的金额：</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支付担保的时间：</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支付担保的期限：</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支付担保的退还时间：</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3. 承包人</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3.1 承包人的一般义务</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本款细化为3.1.1～3.1.10项：</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3.1.1办理法律规定和合同约定应由承包人办理的许可和批准，并将办理结果书面报送发包人留存；协助发包人办理施工所需的工程质量监督、安全监督、施工许可证等相关证件及手续。</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3.1.2按法律规定和合同约定完成工程，包括满足合同所必需的或合同隐含的以及由承包人义务而产生的任何工程，还应包括合同根据相关法律法规、技术规范等对工程的稳定性、完整性或安全、可靠、有效运行所必需的所有工程，并在保修期内承担保修义务。</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3.1.3按法律规定和合同约定采取施工安全和环境保护措施，办理工伤保险，确保工程及人员、材料、设备和设施的安全。施工期间，承包人应避免因施工危及红线范围外的邻近道路、建筑安全；应注意做好对周边建（构）筑物、绿化、设施设备的保护，做好围挡、监测以及安全防护，采取有效的防尘及降低噪声的措施，减小施工噪音及污水等对周边环境的影响包括对居民生活、工作、生产和经营等的影响；对不实施拆迁的建、构筑物应采取保护措施，并保证既有道路的正常通行。</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3.1.4按合同约定的工作内容和施工进度要求，编制施工组织设计和施工措施计划，并对所有施工作业和施工方法的完备性和安全可靠性负责。施工组织设计中的措施保障水平应满足工程按合同进度实施的需要，且不得低于投标时施工组织设计的措施保障水平。</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3.1.5在进行合同约定的各项工作时，不得侵害发包人与他人使用公用道路、水源、市政管网等公共设施的权利，避免对邻近的公共设施产生干扰。承包人占用或使用他人的施工场地，影响他人作业或生活的，应承担相应责任。</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3.1.6按照第6.3款〔环境保护〕约定负责施工场地及其周边环境与生态的保护工作。</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3.1.7按照第6.1款〔安全文明施工〕约定采取施工安全措施，确保工程及其人员、材料、设备和设施的安全，防止因工程施工造成的人身伤害和财产损失。</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3.1.8将发包人按合同约定支付的各项价款专用于合同工程，且应及时支付其雇用人员工资，并及时向分包人支付合同价款。</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3.1.9承包人提交的竣工资料的内容：</w:t>
      </w:r>
      <w:r>
        <w:rPr>
          <w:rFonts w:hint="eastAsia" w:ascii="宋体" w:hAnsi="宋体"/>
          <w:color w:val="auto"/>
          <w:szCs w:val="21"/>
          <w:highlight w:val="none"/>
          <w:u w:val="single"/>
        </w:rPr>
        <w:t>工程施工技术资料、工程质量保证资料、工程检验评定资料、竣工图及其他应交资料，应符合《建设工程文件归档整理规范》（GB/T50328-2014）和重庆市有关文件规定</w:t>
      </w:r>
      <w:r>
        <w:rPr>
          <w:rFonts w:hint="eastAsia" w:ascii="宋体" w:hAnsi="宋体"/>
          <w:color w:val="auto"/>
          <w:szCs w:val="21"/>
          <w:highlight w:val="none"/>
        </w:rPr>
        <w:t>。</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需要提交的竣工资料套数：承包人在工程相关资料归档时，由承包人提交合格的纸质竣工图三套，纸质技术文字材料竣工档案三套及竣工图AutoCAD光盘或U盘、电子扫描光盘或U盘各二套。同时按《重庆市建设工程档案编制验收标准》DBJ50-129-2011附表A建设工程文件归档内容一览表中应由承包人提供的相关资料原件两份（不装订）、折叠装订好的施工图纸一套以及发包人要求提供的其他资料。</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承包人提交的竣工资料的费用承担：</w:t>
      </w:r>
      <w:r>
        <w:rPr>
          <w:rFonts w:hint="eastAsia" w:ascii="宋体" w:hAnsi="宋体"/>
          <w:color w:val="auto"/>
          <w:szCs w:val="21"/>
          <w:highlight w:val="none"/>
          <w:u w:val="single"/>
        </w:rPr>
        <w:t>由承包人承担</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承包人提交的竣工资料移交时间：</w:t>
      </w:r>
      <w:r>
        <w:rPr>
          <w:rFonts w:hint="eastAsia" w:ascii="宋体" w:hAnsi="宋体"/>
          <w:color w:val="auto"/>
          <w:szCs w:val="21"/>
          <w:highlight w:val="none"/>
          <w:u w:val="single"/>
        </w:rPr>
        <w:t>工程竣工验收合格后1个月内移交给发包人</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承包人提交的竣工资料形式要求：</w:t>
      </w:r>
      <w:r>
        <w:rPr>
          <w:rFonts w:hint="eastAsia" w:ascii="宋体" w:hAnsi="宋体"/>
          <w:color w:val="auto"/>
          <w:szCs w:val="21"/>
          <w:highlight w:val="none"/>
          <w:u w:val="single"/>
        </w:rPr>
        <w:t>满足重庆市档案馆存档要求的完整的书面文件及电子文档。</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3.1.10承包人应履行的其他义务：</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3.1.10.1在开始施工之前，承包人应核查、复测本工程的各种基准标志。承包人应及时将上述基准标志中存在的错误、不完整或其他缺陷通知发包人，以便发包人核实后重新确认。</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3.1.10.2承包人应负责合同工程范围内测量控制网的测量设定和管理工作，为控制施工造成测量控制网误差累加，每月承包人复测一次测量控制网，并将修正数据及时通知发包人。经监理人批准，其他相关承包人可免费使用施工控制网。</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3.1.10.3承包人应在开始施工之前对本工程进行排查，补充完善遗漏的危大工程重点部位及环节。危大工程施工前，承包人应对危大工程编制专项施工方案，对于超过一定规模的危大工程，承包人还应组织召开专家论证会对专项施工方案进行论证，通过后方可实施。</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3.1.10.4承包人应服从发包人要求的管理模式、工作方式和工作要求，同时接受监理人、跟审单位的管理和全程监督，配合项目结、决算的办理。</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3.1.10.5</w:t>
      </w:r>
      <w:r>
        <w:rPr>
          <w:rFonts w:hint="eastAsia" w:ascii="宋体" w:hAnsi="宋体"/>
          <w:color w:val="auto"/>
          <w:szCs w:val="21"/>
          <w:highlight w:val="none"/>
          <w:u w:val="single"/>
        </w:rPr>
        <w:t>承包人应为本工程开立专用账户，接受发包人的监管</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3.1.10.6</w:t>
      </w:r>
      <w:r>
        <w:rPr>
          <w:rFonts w:hint="eastAsia" w:ascii="宋体" w:hAnsi="宋体"/>
          <w:color w:val="auto"/>
          <w:szCs w:val="21"/>
          <w:highlight w:val="none"/>
          <w:u w:val="single"/>
        </w:rPr>
        <w:t xml:space="preserve">        。</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3.2 项目经理</w:t>
      </w:r>
    </w:p>
    <w:p>
      <w:pPr>
        <w:spacing w:line="360" w:lineRule="auto"/>
        <w:ind w:firstLine="420" w:firstLineChars="200"/>
        <w:jc w:val="left"/>
        <w:rPr>
          <w:rFonts w:ascii="宋体" w:hAnsi="宋体"/>
          <w:color w:val="auto"/>
          <w:szCs w:val="21"/>
          <w:highlight w:val="none"/>
        </w:rPr>
      </w:pPr>
      <w:r>
        <w:rPr>
          <w:rFonts w:hint="eastAsia" w:ascii="宋体" w:hAnsi="宋体"/>
          <w:color w:val="auto"/>
          <w:kern w:val="0"/>
          <w:szCs w:val="21"/>
          <w:highlight w:val="none"/>
        </w:rPr>
        <w:t xml:space="preserve">3.2.1 </w:t>
      </w:r>
      <w:r>
        <w:rPr>
          <w:rFonts w:hint="eastAsia" w:ascii="宋体" w:hAnsi="宋体"/>
          <w:color w:val="auto"/>
          <w:szCs w:val="21"/>
          <w:highlight w:val="none"/>
        </w:rPr>
        <w:t>项目经理：</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姓    名：</w:t>
      </w:r>
      <w:r>
        <w:rPr>
          <w:rFonts w:ascii="宋体" w:hAnsi="宋体"/>
          <w:color w:val="auto"/>
          <w:szCs w:val="21"/>
          <w:highlight w:val="none"/>
          <w:u w:val="single"/>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hint="eastAsia" w:ascii="宋体" w:hAnsi="宋体"/>
          <w:color w:val="auto"/>
          <w:szCs w:val="21"/>
          <w:highlight w:val="none"/>
          <w:u w:val="single"/>
        </w:rPr>
        <w:t xml:space="preserve">   </w:t>
      </w:r>
      <w:r>
        <w:rPr>
          <w:rFonts w:ascii="宋体" w:hAnsi="宋体"/>
          <w:color w:val="auto"/>
          <w:szCs w:val="21"/>
          <w:highlight w:val="none"/>
          <w:u w:val="single"/>
        </w:rPr>
        <w:t></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身份证号：</w:t>
      </w:r>
      <w:r>
        <w:rPr>
          <w:rFonts w:ascii="宋体" w:hAnsi="宋体"/>
          <w:color w:val="auto"/>
          <w:szCs w:val="21"/>
          <w:highlight w:val="none"/>
          <w:u w:val="single"/>
        </w:rPr>
        <w:t></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hint="eastAsia" w:ascii="宋体" w:hAnsi="宋体"/>
          <w:color w:val="auto"/>
          <w:szCs w:val="21"/>
          <w:highlight w:val="none"/>
          <w:u w:val="single"/>
        </w:rPr>
        <w:t xml:space="preserve"> </w:t>
      </w:r>
      <w:r>
        <w:rPr>
          <w:rFonts w:ascii="宋体" w:hAnsi="宋体"/>
          <w:color w:val="auto"/>
          <w:szCs w:val="21"/>
          <w:highlight w:val="none"/>
          <w:u w:val="single"/>
        </w:rPr>
        <w:t></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建造师执业资格等级：</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建造师注册证书号：</w:t>
      </w:r>
      <w:r>
        <w:rPr>
          <w:rFonts w:ascii="宋体" w:hAnsi="宋体"/>
          <w:color w:val="auto"/>
          <w:szCs w:val="21"/>
          <w:highlight w:val="none"/>
          <w:u w:val="single"/>
        </w:rPr>
        <w:t></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建造师执业印章号：</w:t>
      </w:r>
      <w:r>
        <w:rPr>
          <w:rFonts w:ascii="宋体" w:hAnsi="宋体"/>
          <w:color w:val="auto"/>
          <w:szCs w:val="21"/>
          <w:highlight w:val="none"/>
          <w:u w:val="single"/>
        </w:rPr>
        <w:t></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安全生产考核合格证书号：</w:t>
      </w:r>
      <w:r>
        <w:rPr>
          <w:rFonts w:ascii="宋体" w:hAnsi="宋体"/>
          <w:color w:val="auto"/>
          <w:szCs w:val="21"/>
          <w:highlight w:val="none"/>
          <w:u w:val="single"/>
        </w:rPr>
        <w:t></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联系方式：</w:t>
      </w:r>
      <w:r>
        <w:rPr>
          <w:rFonts w:ascii="宋体" w:hAnsi="宋体"/>
          <w:color w:val="auto"/>
          <w:szCs w:val="21"/>
          <w:highlight w:val="none"/>
          <w:u w:val="single"/>
        </w:rPr>
        <w:t></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承包人对项目经理的授权范围如下：</w:t>
      </w:r>
      <w:r>
        <w:rPr>
          <w:rFonts w:hint="eastAsia" w:ascii="宋体" w:hAnsi="宋体"/>
          <w:color w:val="auto"/>
          <w:szCs w:val="21"/>
          <w:highlight w:val="none"/>
          <w:u w:val="single"/>
        </w:rPr>
        <w:t>严格按设计图纸、现行国家施工规范及验收规范组织施工，保证工程质量、进度、安全；及时向监理人、发包人报告现场情况（以承包人书面授权范围为准）</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关于项目经理每月在施工现场的时间要求：</w:t>
      </w:r>
      <w:r>
        <w:rPr>
          <w:rFonts w:hint="eastAsia" w:ascii="宋体" w:hAnsi="宋体"/>
          <w:color w:val="auto"/>
          <w:szCs w:val="21"/>
          <w:highlight w:val="none"/>
          <w:u w:val="single"/>
        </w:rPr>
        <w:t>不少于22天，由监理人负责项目经理的考勤</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承包人应在合同签订后7天内提交与项目经理签订的劳动合同及为项目经理缴纳社会保险的证明，承包人未在限期内提交的，项目经理无权履行职责，发包人有权要求更换项目经理</w:t>
      </w:r>
      <w:r>
        <w:rPr>
          <w:rFonts w:ascii="宋体" w:hAnsi="宋体"/>
          <w:color w:val="auto"/>
          <w:szCs w:val="21"/>
          <w:highlight w:val="none"/>
          <w:u w:val="single"/>
        </w:rPr>
        <w:t>，承包人应将更换后</w:t>
      </w:r>
      <w:r>
        <w:rPr>
          <w:rFonts w:hint="eastAsia" w:ascii="宋体" w:hAnsi="宋体"/>
          <w:color w:val="auto"/>
          <w:szCs w:val="21"/>
          <w:highlight w:val="none"/>
          <w:u w:val="single"/>
        </w:rPr>
        <w:t>的项目经理</w:t>
      </w:r>
      <w:r>
        <w:rPr>
          <w:rFonts w:ascii="宋体" w:hAnsi="宋体"/>
          <w:color w:val="auto"/>
          <w:szCs w:val="21"/>
          <w:highlight w:val="none"/>
          <w:u w:val="single"/>
        </w:rPr>
        <w:t>资料提交发包人处审批备案</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3.2.2 技术负责人</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姓    名：</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  </w:t>
      </w:r>
      <w:r>
        <w:rPr>
          <w:rFonts w:hint="eastAsia" w:ascii="宋体" w:hAnsi="宋体"/>
          <w:color w:val="auto"/>
          <w:szCs w:val="21"/>
          <w:highlight w:val="none"/>
          <w:u w:val="single"/>
        </w:rPr>
        <w:t xml:space="preserve">  </w:t>
      </w:r>
      <w:r>
        <w:rPr>
          <w:rFonts w:ascii="宋体" w:hAnsi="宋体"/>
          <w:color w:val="auto"/>
          <w:szCs w:val="21"/>
          <w:highlight w:val="none"/>
          <w:u w:val="single"/>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身份证号：</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hint="eastAsia" w:ascii="宋体" w:hAnsi="宋体"/>
          <w:color w:val="auto"/>
          <w:szCs w:val="21"/>
          <w:highlight w:val="none"/>
          <w:u w:val="single"/>
        </w:rPr>
        <w:t xml:space="preserve"> </w:t>
      </w:r>
      <w:r>
        <w:rPr>
          <w:rFonts w:ascii="宋体" w:hAnsi="宋体"/>
          <w:color w:val="auto"/>
          <w:szCs w:val="21"/>
          <w:highlight w:val="none"/>
          <w:u w:val="single"/>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联系方式：</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   </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专     业：</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 </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证书名称及号码：</w:t>
      </w:r>
      <w:r>
        <w:rPr>
          <w:rFonts w:ascii="宋体" w:hAnsi="宋体"/>
          <w:color w:val="auto"/>
          <w:szCs w:val="21"/>
          <w:highlight w:val="none"/>
          <w:u w:val="single"/>
        </w:rPr>
        <w:t xml:space="preserve">   </w:t>
      </w:r>
      <w:r>
        <w:rPr>
          <w:rFonts w:hint="eastAsia" w:ascii="宋体" w:hAnsi="宋体"/>
          <w:color w:val="auto"/>
          <w:szCs w:val="21"/>
          <w:highlight w:val="none"/>
          <w:u w:val="single"/>
          <w:lang w:val="en-US" w:eastAsia="zh-CN"/>
        </w:rPr>
        <w:t xml:space="preserve">                  </w:t>
      </w:r>
      <w:r>
        <w:rPr>
          <w:rFonts w:ascii="宋体" w:hAnsi="宋体"/>
          <w:color w:val="auto"/>
          <w:szCs w:val="21"/>
          <w:highlight w:val="none"/>
          <w:u w:val="single"/>
        </w:rPr>
        <w:t xml:space="preserve">  </w:t>
      </w:r>
      <w:r>
        <w:rPr>
          <w:rFonts w:hint="eastAsia" w:ascii="宋体" w:hAnsi="宋体"/>
          <w:color w:val="auto"/>
          <w:szCs w:val="21"/>
          <w:highlight w:val="none"/>
        </w:rPr>
        <w:t>；</w:t>
      </w:r>
    </w:p>
    <w:p>
      <w:pPr>
        <w:pStyle w:val="2"/>
        <w:spacing w:after="0" w:line="360" w:lineRule="auto"/>
        <w:rPr>
          <w:rFonts w:ascii="宋体" w:hAnsi="宋体"/>
          <w:color w:val="auto"/>
          <w:szCs w:val="21"/>
          <w:highlight w:val="none"/>
        </w:rPr>
      </w:pPr>
      <w:r>
        <w:rPr>
          <w:rFonts w:hint="eastAsia" w:ascii="宋体" w:hAnsi="宋体"/>
          <w:color w:val="auto"/>
          <w:szCs w:val="21"/>
          <w:highlight w:val="none"/>
        </w:rPr>
        <w:t xml:space="preserve">    </w:t>
      </w:r>
      <w:r>
        <w:rPr>
          <w:rFonts w:ascii="宋体" w:hAnsi="宋体"/>
          <w:color w:val="auto"/>
          <w:szCs w:val="21"/>
          <w:highlight w:val="none"/>
        </w:rPr>
        <w:t>联系方式：</w:t>
      </w:r>
      <w:r>
        <w:rPr>
          <w:rFonts w:ascii="宋体" w:hAnsi="宋体"/>
          <w:color w:val="auto"/>
          <w:szCs w:val="21"/>
          <w:highlight w:val="none"/>
          <w:u w:val="single"/>
        </w:rPr>
        <w:t></w:t>
      </w:r>
      <w:r>
        <w:rPr>
          <w:rFonts w:hint="eastAsia" w:ascii="宋体" w:hAnsi="宋体"/>
          <w:color w:val="auto"/>
          <w:szCs w:val="21"/>
          <w:highlight w:val="none"/>
          <w:u w:val="single"/>
        </w:rPr>
        <w:t xml:space="preserve">  </w:t>
      </w:r>
      <w:r>
        <w:rPr>
          <w:rFonts w:ascii="宋体" w:hAnsi="宋体"/>
          <w:color w:val="auto"/>
          <w:szCs w:val="21"/>
          <w:highlight w:val="none"/>
          <w:u w:val="single"/>
        </w:rPr>
        <w:t></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u w:val="single"/>
        </w:rPr>
        <w:t xml:space="preserve">   </w:t>
      </w:r>
      <w:r>
        <w:rPr>
          <w:rFonts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kern w:val="0"/>
          <w:szCs w:val="21"/>
          <w:highlight w:val="none"/>
        </w:rPr>
        <w:t>关于技</w:t>
      </w:r>
      <w:r>
        <w:rPr>
          <w:rFonts w:hint="eastAsia" w:ascii="宋体" w:hAnsi="宋体"/>
          <w:color w:val="auto"/>
          <w:szCs w:val="21"/>
          <w:highlight w:val="none"/>
        </w:rPr>
        <w:t>术负责人每月在施工现场的时间要求：</w:t>
      </w:r>
      <w:r>
        <w:rPr>
          <w:rFonts w:hint="eastAsia" w:ascii="宋体" w:hAnsi="宋体"/>
          <w:color w:val="auto"/>
          <w:szCs w:val="21"/>
          <w:highlight w:val="none"/>
          <w:u w:val="single"/>
        </w:rPr>
        <w:t>不少于22天，由监理人负责技术负责人的考勤</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承包人应在合同签订后7天内提交与技术负责人签订的劳动合同及为技术负责人缴纳社会保险的证明，承包人未在限期内提交的，技术负责人无权履行职责，发包人有权要求更换技术负责人</w:t>
      </w:r>
      <w:r>
        <w:rPr>
          <w:rFonts w:ascii="宋体" w:hAnsi="宋体"/>
          <w:color w:val="auto"/>
          <w:szCs w:val="21"/>
          <w:highlight w:val="none"/>
          <w:u w:val="single"/>
        </w:rPr>
        <w:t>，</w:t>
      </w:r>
      <w:r>
        <w:rPr>
          <w:rFonts w:hint="eastAsia" w:ascii="宋体" w:hAnsi="宋体"/>
          <w:color w:val="auto"/>
          <w:highlight w:val="none"/>
          <w:u w:val="single"/>
        </w:rPr>
        <w:t>承包人应将更换后</w:t>
      </w:r>
      <w:r>
        <w:rPr>
          <w:rFonts w:ascii="宋体" w:hAnsi="宋体"/>
          <w:color w:val="auto"/>
          <w:highlight w:val="none"/>
          <w:u w:val="single"/>
        </w:rPr>
        <w:t>技术负责人</w:t>
      </w:r>
      <w:r>
        <w:rPr>
          <w:rFonts w:hint="eastAsia" w:ascii="宋体" w:hAnsi="宋体"/>
          <w:color w:val="auto"/>
          <w:highlight w:val="none"/>
          <w:u w:val="single"/>
        </w:rPr>
        <w:t>资料提交发包人处审批备案</w:t>
      </w:r>
      <w:r>
        <w:rPr>
          <w:rFonts w:ascii="宋体" w:hAnsi="宋体"/>
          <w:color w:val="auto"/>
          <w:szCs w:val="21"/>
          <w:highlight w:val="none"/>
          <w:u w:val="single"/>
        </w:rPr>
        <w:t>，</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3.2.3 发包人有权书面通知承包人更换其认为不称职/不履职的项目经理和（或）技术负责人，通知中应当载明要求更换的理由。承包人应在接到更换通知后7天内向发包人提出书面的改进报告。发包人收到改进报告后仍要求更换的，承包人应在接到第二次更换通知的14天内进行更换，并将新任命的项目经理和（或）技术负责人的注册执业资格、职称证书、管理经验等资料书面报送发包人审核批准。继任项目经理和（或）技术负责人继续履行合同约定的职责。</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若项目经理和技术负责人出现下列情形需更换的，承包人按通用条款第3.2.3项的规定向发包人发出通知，经发包人领导班子集体决策同意后予以批准，并将变更信息推送给行业主管部门：</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1、死亡；</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2、非承包人原因导致工期延长，而致使项目经理和技术负责人达到法定退休年龄且确需退休；</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3、按《职工非因工伤残或因病丧失劳动能力程度鉴定标准（试行）》规定鉴定为完全丧失劳动能力和大部分丧失劳动能力；</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4、非承包人原因导致中标3个月不能开工；</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5、被公安或者司法机关限制人身自由；</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6、被取消职称或者执业资格，不满足项目管理要求；</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7、非承包人原因导致确需变更的其它情形。</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本款补充3.2.6项</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3.2.6 国有资金投资项目其他主要人员变更参照《重庆市政府投资项目合同变更管理暂行办法》的规定。</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3.3 承包人人员</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3.3.1 承包人应按建设行政主管部门现行规定配备现场施工从业人员，具体要求如下：</w:t>
      </w:r>
      <w:r>
        <w:rPr>
          <w:rFonts w:hint="eastAsia" w:ascii="宋体" w:hAnsi="宋体"/>
          <w:color w:val="auto"/>
          <w:szCs w:val="21"/>
          <w:highlight w:val="none"/>
          <w:u w:val="single"/>
        </w:rPr>
        <w:t xml:space="preserve"> 按现行文件执行。       </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3.3.2承包人派驻到施工现场的主要施工管理人员在施工过程中如有变动，承包人应及时向监理人提交施工现场人员变动情况的报告。承包人更换主要施工管理人员时，应提前7天书面通知监理人，并征得发包人书面同意。通知中应当载明继任人员的职称、执业资格、项目管理经验等资料。更换后的施工管理人员应当是承包人的正式员工，且在职称、执业资格、项目管理经验等方面不低于原施工管理人员。</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3.3.3 发包人有权书面通知承包人更换其认为不称职的主要施工管理人员，通知中应当载明要求更换的理由。承包人应在接到更换通知后7天内向发包人提出书面的改进报告。发包人收到改进报告后仍要求更换的，承包人应在接到第二次更换通知的7天内进行更换，并将新委派的主要施工管理人员的注册执业资格、职称证书、管理经验等资料书面报送发包人审核批准。</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3.3.4 承包人主要施工管理人员离开施工现场，指定的临时人员需满足：</w:t>
      </w:r>
      <w:r>
        <w:rPr>
          <w:rFonts w:hint="eastAsia" w:ascii="宋体" w:hAnsi="宋体"/>
          <w:color w:val="auto"/>
          <w:szCs w:val="21"/>
          <w:highlight w:val="none"/>
          <w:u w:val="single"/>
        </w:rPr>
        <w:t>《重庆市房屋建筑与市政基础设施工程现场施工从业人员配备标准》（DBJ50-157-2013）的相应要求</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3.5 分包</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3.5.1 分包的一般约定</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禁止分包的工程包括：主体结构、关键性工作等国家法律、法规禁止分包的工程。</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主体结构、关键性工作的范围：国家法律、法规、规范、标准等所约束的范围。如房建工程主体结构指混凝土工程、砌体工程、钢结构工程（具体有基础、梁、板、柱、砼墙、楼梯工程等）；关键性工作指梁、板、柱等部位。</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在合同履行过程中实行项目经理、技术负责人、安全负责人实名制管理，发包人有权核查承包人管理人员的资格证件、工程价款往来银行账户、施工单位的材料构配件、设备的发票等资料，配合相关行政主管部门加大对转包、违法分包行为的查处。</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3.5.2分包的确定</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允许分包的专业工程包括：</w:t>
      </w:r>
      <w:r>
        <w:rPr>
          <w:rFonts w:hint="eastAsia" w:ascii="宋体" w:hAnsi="宋体"/>
          <w:i w:val="0"/>
          <w:iCs w:val="0"/>
          <w:color w:val="auto"/>
          <w:szCs w:val="21"/>
          <w:highlight w:val="none"/>
          <w:u w:val="none"/>
        </w:rPr>
        <w:t>符合《中华人民共和国建筑法》和《中华人民共和国招标投标法》的相关规定。</w:t>
      </w:r>
      <w:r>
        <w:rPr>
          <w:rFonts w:ascii="宋体" w:hAnsi="宋体"/>
          <w:color w:val="auto"/>
          <w:szCs w:val="21"/>
          <w:highlight w:val="none"/>
          <w:u w:val="none"/>
        </w:rPr>
        <w:t xml:space="preserve">     </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3.5.4 分包合同价款</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关于分包合同价款支付的约定：</w:t>
      </w:r>
      <w:r>
        <w:rPr>
          <w:rFonts w:hint="eastAsia" w:ascii="宋体" w:hAnsi="宋体"/>
          <w:color w:val="auto"/>
          <w:szCs w:val="21"/>
          <w:highlight w:val="none"/>
          <w:u w:val="single"/>
        </w:rPr>
        <w:t>分包合同价款由承包人与分包人结算，未经承包人同意，发包人不得向分包人支付分包工程价款；生效法律文书要求发包人向分包人支付分包合同价款的，发包人有权从应付承包人工程款中扣除该部分款项</w:t>
      </w:r>
      <w:r>
        <w:rPr>
          <w:rFonts w:hint="eastAsia" w:ascii="宋体" w:hAnsi="宋体"/>
          <w:color w:val="auto"/>
          <w:szCs w:val="21"/>
          <w:highlight w:val="none"/>
        </w:rPr>
        <w:t>。分包合同应于签订后10日内提交发包人备案。</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本款补充3.5.6项：</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3.5.6严禁违法分包</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一经查实，承包人的履约担保不予退还，发包人有权终止合同；同时发包人有权向相关行政监管部门举报，根据《住房和城乡建设部关于印发建筑工程施工发包与承包违法行为认定查处管理办法的通知》（建市规〔2019〕1号）相关规定条执行。</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3.7 履约担保</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3.7.1承包人是否提供履约担保：</w:t>
      </w:r>
      <w:r>
        <w:rPr>
          <w:rFonts w:hint="eastAsia" w:ascii="宋体" w:hAnsi="宋体"/>
          <w:color w:val="auto"/>
          <w:szCs w:val="21"/>
          <w:highlight w:val="none"/>
          <w:u w:val="single"/>
        </w:rPr>
        <w:t>提供</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3.7.2承包人提供履约担保的形式、金额及期限：</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（1）履约担保的形式：现金或银行保函或现金+银行保函的组合；采用保函形式的，保函必须为不可撤销且见索即付；</w:t>
      </w:r>
    </w:p>
    <w:p>
      <w:pPr>
        <w:tabs>
          <w:tab w:val="left" w:pos="1134"/>
        </w:tabs>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（2）履约担保的金额：</w:t>
      </w:r>
      <w:r>
        <w:rPr>
          <w:color w:val="auto"/>
          <w:highlight w:val="none"/>
        </w:rPr>
        <w:t xml:space="preserve"> 中标合同金额的 10% ，红名单中的</w:t>
      </w:r>
      <w:r>
        <w:rPr>
          <w:rFonts w:hint="eastAsia"/>
          <w:color w:val="auto"/>
          <w:highlight w:val="none"/>
        </w:rPr>
        <w:t>承包</w:t>
      </w:r>
      <w:r>
        <w:rPr>
          <w:color w:val="auto"/>
          <w:highlight w:val="none"/>
        </w:rPr>
        <w:t>人履约担保金额为应缴纳金额的 50%</w:t>
      </w:r>
      <w:r>
        <w:rPr>
          <w:rFonts w:hint="eastAsia" w:ascii="宋体" w:hAnsi="宋体"/>
          <w:color w:val="auto"/>
          <w:szCs w:val="21"/>
          <w:highlight w:val="none"/>
        </w:rPr>
        <w:t>；</w:t>
      </w:r>
      <w:r>
        <w:rPr>
          <w:rFonts w:hint="eastAsia"/>
          <w:color w:val="auto"/>
          <w:highlight w:val="none"/>
        </w:rPr>
        <w:t>承包</w:t>
      </w:r>
      <w:r>
        <w:rPr>
          <w:color w:val="auto"/>
          <w:highlight w:val="none"/>
        </w:rPr>
        <w:t>人是否属于红名单</w:t>
      </w:r>
      <w:r>
        <w:rPr>
          <w:rFonts w:hint="eastAsia" w:ascii="MS Mincho" w:hAnsi="MS Mincho" w:cs="MS Mincho" w:eastAsiaTheme="minorEastAsia"/>
          <w:color w:val="auto"/>
          <w:highlight w:val="none"/>
        </w:rPr>
        <w:t>，</w:t>
      </w:r>
      <w:r>
        <w:rPr>
          <w:color w:val="auto"/>
          <w:highlight w:val="none"/>
        </w:rPr>
        <w:t>以信用状况查询结果为准；</w:t>
      </w:r>
    </w:p>
    <w:p>
      <w:pPr>
        <w:tabs>
          <w:tab w:val="left" w:pos="1134"/>
        </w:tabs>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（3）履约担保的提交时间：</w:t>
      </w:r>
      <w:r>
        <w:rPr>
          <w:rFonts w:hint="eastAsia" w:ascii="宋体" w:hAnsi="宋体"/>
          <w:color w:val="auto"/>
          <w:szCs w:val="21"/>
          <w:highlight w:val="none"/>
          <w:u w:val="single"/>
        </w:rPr>
        <w:t>在合同签订前，承包人按担保金额向发包人提交履约担保</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（4）履约担保的期限：自提交履约担保之日起至竣工验收合格之日止 。</w:t>
      </w:r>
    </w:p>
    <w:p>
      <w:pPr>
        <w:tabs>
          <w:tab w:val="left" w:pos="1134"/>
        </w:tabs>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（5）履约担保的退还时间：</w:t>
      </w:r>
      <w:r>
        <w:rPr>
          <w:rFonts w:hint="eastAsia" w:ascii="宋体" w:hAnsi="宋体"/>
          <w:color w:val="auto"/>
          <w:szCs w:val="21"/>
          <w:highlight w:val="none"/>
          <w:u w:val="single"/>
        </w:rPr>
        <w:t>采用现金担保的，工程竣工验收合格后14天内无息退还对应部分；采用银行保函的，工程竣工验收合格后14天内退还，</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4. 监理人</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4.1 监理人的一般规定</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关于监理人的监理内容：</w:t>
      </w:r>
      <w:r>
        <w:rPr>
          <w:rFonts w:hint="eastAsia" w:ascii="宋体" w:hAnsi="宋体"/>
          <w:color w:val="auto"/>
          <w:szCs w:val="21"/>
          <w:highlight w:val="none"/>
          <w:u w:val="single"/>
        </w:rPr>
        <w:t>见发包人与监理人就本工程签订的监理合同</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关于监理人的监理权限：</w:t>
      </w:r>
      <w:r>
        <w:rPr>
          <w:rFonts w:hint="eastAsia" w:ascii="宋体" w:hAnsi="宋体"/>
          <w:color w:val="auto"/>
          <w:szCs w:val="21"/>
          <w:highlight w:val="none"/>
          <w:u w:val="single"/>
        </w:rPr>
        <w:t>见发包人与监理人就本工程签订的监理合同；任何涉及费用确定和（或）工期调整，或者设计变更，或者变更估价，或者涉及经济责任的事项，监理工程师在发出指令或通知前，须征得发包人书面同意</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关于监理人在施工现场的办公场所、生活场所的提供和费用承担的约定：</w:t>
      </w:r>
      <w:r>
        <w:rPr>
          <w:rFonts w:hint="eastAsia" w:ascii="宋体" w:hAnsi="宋体"/>
          <w:color w:val="auto"/>
          <w:szCs w:val="21"/>
          <w:highlight w:val="none"/>
          <w:u w:val="single"/>
        </w:rPr>
        <w:t xml:space="preserve">   监理人自行负责承担           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color w:val="auto"/>
          <w:sz w:val="21"/>
          <w:szCs w:val="21"/>
          <w:highlight w:val="none"/>
        </w:rPr>
        <w:t xml:space="preserve">4.2 </w:t>
      </w:r>
      <w:r>
        <w:rPr>
          <w:rFonts w:hint="eastAsia"/>
          <w:color w:val="auto"/>
          <w:sz w:val="21"/>
          <w:szCs w:val="21"/>
          <w:highlight w:val="none"/>
        </w:rPr>
        <w:t>监理人员</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总监理工程师：</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姓</w:t>
      </w:r>
      <w:r>
        <w:rPr>
          <w:rFonts w:ascii="宋体" w:hAnsi="宋体"/>
          <w:color w:val="auto"/>
          <w:szCs w:val="21"/>
          <w:highlight w:val="none"/>
        </w:rPr>
        <w:t xml:space="preserve">    </w:t>
      </w:r>
      <w:r>
        <w:rPr>
          <w:rFonts w:hint="eastAsia" w:ascii="宋体" w:hAnsi="宋体"/>
          <w:color w:val="auto"/>
          <w:szCs w:val="21"/>
          <w:highlight w:val="none"/>
        </w:rPr>
        <w:t>名：</w:t>
      </w:r>
      <w:r>
        <w:rPr>
          <w:rFonts w:ascii="宋体" w:hAnsi="宋体"/>
          <w:color w:val="auto"/>
          <w:szCs w:val="21"/>
          <w:highlight w:val="none"/>
          <w:u w:val="single"/>
        </w:rPr>
        <w:t xml:space="preserve">      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职</w:t>
      </w:r>
      <w:r>
        <w:rPr>
          <w:rFonts w:ascii="宋体" w:hAnsi="宋体"/>
          <w:color w:val="auto"/>
          <w:szCs w:val="21"/>
          <w:highlight w:val="none"/>
        </w:rPr>
        <w:t xml:space="preserve">    </w:t>
      </w:r>
      <w:r>
        <w:rPr>
          <w:rFonts w:hint="eastAsia" w:ascii="宋体" w:hAnsi="宋体"/>
          <w:color w:val="auto"/>
          <w:szCs w:val="21"/>
          <w:highlight w:val="none"/>
        </w:rPr>
        <w:t>务：</w:t>
      </w:r>
      <w:r>
        <w:rPr>
          <w:rFonts w:ascii="宋体" w:hAnsi="宋体"/>
          <w:color w:val="auto"/>
          <w:szCs w:val="21"/>
          <w:highlight w:val="none"/>
          <w:u w:val="single"/>
        </w:rPr>
        <w:t xml:space="preserve">      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监理工程师执业资格证书号：</w:t>
      </w:r>
      <w:r>
        <w:rPr>
          <w:rFonts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联系方式：</w:t>
      </w:r>
      <w:r>
        <w:rPr>
          <w:rFonts w:ascii="宋体" w:hAnsi="宋体"/>
          <w:color w:val="auto"/>
          <w:szCs w:val="21"/>
          <w:highlight w:val="none"/>
          <w:u w:val="single"/>
        </w:rPr>
        <w:t xml:space="preserve">      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关于监理人的其他约定：</w:t>
      </w:r>
      <w:r>
        <w:rPr>
          <w:rFonts w:hint="eastAsia" w:ascii="宋体" w:hAnsi="宋体"/>
          <w:color w:val="auto"/>
          <w:szCs w:val="21"/>
          <w:highlight w:val="none"/>
          <w:u w:val="single"/>
        </w:rPr>
        <w:t>见发包人与监理人就本工程签订的监理合同</w:t>
      </w:r>
      <w:r>
        <w:rPr>
          <w:rFonts w:hint="eastAsia" w:ascii="宋体" w:hAnsi="宋体"/>
          <w:color w:val="auto"/>
          <w:szCs w:val="21"/>
          <w:highlight w:val="none"/>
        </w:rPr>
        <w:t>。</w:t>
      </w:r>
    </w:p>
    <w:p>
      <w:pPr>
        <w:pStyle w:val="7"/>
        <w:spacing w:before="0" w:beforeAutospacing="0" w:after="0" w:afterAutospacing="0" w:line="360" w:lineRule="auto"/>
        <w:ind w:firstLine="420" w:firstLineChars="200"/>
        <w:rPr>
          <w:b w:val="0"/>
          <w:color w:val="auto"/>
          <w:sz w:val="21"/>
          <w:szCs w:val="21"/>
          <w:highlight w:val="none"/>
        </w:rPr>
      </w:pPr>
      <w:r>
        <w:rPr>
          <w:rFonts w:hint="eastAsia"/>
          <w:b w:val="0"/>
          <w:color w:val="auto"/>
          <w:sz w:val="21"/>
          <w:szCs w:val="21"/>
          <w:highlight w:val="none"/>
        </w:rPr>
        <w:t>4.4 商定或确定</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在发包人和承包人不能通过协商达成一致意见时，发包人授权监理人对以下事项进行确定：</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 xml:space="preserve">  按通用条款执行</w:t>
      </w:r>
      <w:r>
        <w:rPr>
          <w:rFonts w:hint="eastAsia" w:ascii="宋体" w:hAnsi="宋体"/>
          <w:color w:val="auto"/>
          <w:szCs w:val="21"/>
          <w:highlight w:val="none"/>
        </w:rPr>
        <w:t>。</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5. 工程质量</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5.1 质量要求</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工程质量符合强制性质量标准，</w:t>
      </w:r>
      <w:r>
        <w:rPr>
          <w:rFonts w:hint="eastAsia" w:ascii="宋体" w:hAnsi="宋体"/>
          <w:color w:val="auto"/>
          <w:szCs w:val="21"/>
          <w:highlight w:val="none"/>
          <w:u w:val="single"/>
        </w:rPr>
        <w:t>符合国家和重庆市现行有关施工质量验收规范要求，并达到合格标准</w:t>
      </w:r>
      <w:r>
        <w:rPr>
          <w:rFonts w:hint="eastAsia" w:ascii="宋体" w:hAnsi="宋体"/>
          <w:color w:val="auto"/>
          <w:szCs w:val="21"/>
          <w:highlight w:val="none"/>
        </w:rPr>
        <w:t>。强制性质量标准有（包括但不限于）：</w:t>
      </w:r>
      <w:r>
        <w:rPr>
          <w:rFonts w:hint="eastAsia" w:ascii="宋体" w:hAnsi="宋体"/>
          <w:color w:val="auto"/>
          <w:szCs w:val="21"/>
          <w:highlight w:val="none"/>
          <w:u w:val="single"/>
        </w:rPr>
        <w:t xml:space="preserve"> 按国家现有规范执行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5.2 质量保证措施</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本款补充5.2.4项：</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5.2.4 在工程建设中，参建各方应严格执行以下规定（包括但不限于）：</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w:t>
      </w:r>
      <w:r>
        <w:rPr>
          <w:rFonts w:hint="eastAsia" w:ascii="宋体" w:hAnsi="宋体"/>
          <w:color w:val="auto"/>
          <w:szCs w:val="21"/>
          <w:highlight w:val="none"/>
          <w:u w:val="single"/>
        </w:rPr>
        <w:t>《建筑工程施工质量验收统一标准》（GB50300-2013）</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w:t>
      </w:r>
      <w:r>
        <w:rPr>
          <w:rFonts w:hint="eastAsia" w:ascii="宋体" w:hAnsi="宋体"/>
          <w:color w:val="auto"/>
          <w:szCs w:val="21"/>
          <w:highlight w:val="none"/>
          <w:u w:val="single"/>
        </w:rPr>
        <w:t>《住房城乡建设部关于印发工程质量安全提升行动方案的通知》（建质〔2017〕57号）</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w:t>
      </w:r>
      <w:r>
        <w:rPr>
          <w:rFonts w:hint="eastAsia" w:ascii="宋体" w:hAnsi="宋体"/>
          <w:color w:val="auto"/>
          <w:szCs w:val="21"/>
          <w:highlight w:val="none"/>
          <w:u w:val="single"/>
        </w:rPr>
        <w:t>《房屋建筑和市政基础设施工程竣工验收规定》（建质〔2013〕171号）</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w:t>
      </w:r>
      <w:r>
        <w:rPr>
          <w:rFonts w:hint="eastAsia" w:ascii="宋体" w:hAnsi="宋体"/>
          <w:color w:val="auto"/>
          <w:szCs w:val="21"/>
          <w:highlight w:val="none"/>
          <w:u w:val="single"/>
        </w:rPr>
        <w:t>《建设部关于贯彻执行建筑工程勘察设计及施工质量验收规范若干问题的通知》（建标〔2002〕212号）</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w:t>
      </w:r>
      <w:r>
        <w:rPr>
          <w:rFonts w:hint="eastAsia" w:ascii="宋体" w:hAnsi="宋体"/>
          <w:color w:val="auto"/>
          <w:szCs w:val="21"/>
          <w:highlight w:val="none"/>
          <w:u w:val="single"/>
        </w:rPr>
        <w:t>《重庆市住房和城乡建设委员会关于印发&lt;重庆市房屋建筑和市政基础设施工程质量常见问题防治要点（2019年版）&gt;的通知》（渝建〔2019〕198号）</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w:t>
      </w:r>
      <w:r>
        <w:rPr>
          <w:rFonts w:hint="eastAsia" w:ascii="宋体" w:hAnsi="宋体"/>
          <w:color w:val="auto"/>
          <w:szCs w:val="21"/>
          <w:highlight w:val="none"/>
          <w:u w:val="single"/>
        </w:rPr>
        <w:t>《关于印发&lt;重庆市房屋建筑和市政基础设施工程预拌商品砂浆应用推进工作方案&gt;的通知》（渝建〔2018〕375号）</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w:t>
      </w:r>
      <w:r>
        <w:rPr>
          <w:rFonts w:hint="eastAsia" w:ascii="宋体" w:hAnsi="宋体"/>
          <w:color w:val="auto"/>
          <w:szCs w:val="21"/>
          <w:highlight w:val="none"/>
          <w:u w:val="single"/>
        </w:rPr>
        <w:t>《重庆市城乡建设委员会关于印发2018年房屋建筑和市政基础设施工程质量要点的通知》（渝建〔2018〕94号）</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（8）</w:t>
      </w:r>
      <w:r>
        <w:rPr>
          <w:rFonts w:hint="eastAsia" w:ascii="宋体" w:hAnsi="宋体"/>
          <w:color w:val="auto"/>
          <w:szCs w:val="21"/>
          <w:highlight w:val="none"/>
          <w:u w:val="single"/>
        </w:rPr>
        <w:t>《重庆市城乡建设委员会关于进一步推广应用预拌商品砂浆的通知》（渝建〔2016〕318号）</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（9）</w:t>
      </w:r>
      <w:r>
        <w:rPr>
          <w:rFonts w:hint="eastAsia" w:ascii="宋体" w:hAnsi="宋体"/>
          <w:color w:val="auto"/>
          <w:szCs w:val="21"/>
          <w:highlight w:val="none"/>
          <w:u w:val="single"/>
        </w:rPr>
        <w:t>《重庆市建设委员会关于发布&lt;建筑工程施工质量验收规范用表（建筑节能分部工程）&gt;和&lt;建设工程技术用表（建筑节能工程）&gt;的通知》（渝建发〔2008〕76号）</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（10）</w:t>
      </w:r>
      <w:r>
        <w:rPr>
          <w:rFonts w:hint="eastAsia" w:ascii="宋体" w:hAnsi="宋体"/>
          <w:color w:val="auto"/>
          <w:szCs w:val="21"/>
          <w:highlight w:val="none"/>
          <w:u w:val="single"/>
        </w:rPr>
        <w:t>国家和本市现行有关建设工程质量验收标准、规范和要求</w:t>
      </w:r>
      <w:r>
        <w:rPr>
          <w:rFonts w:hint="eastAsia" w:ascii="宋体" w:hAnsi="宋体"/>
          <w:color w:val="auto"/>
          <w:szCs w:val="21"/>
          <w:highlight w:val="none"/>
        </w:rPr>
        <w:t>；</w:t>
      </w:r>
    </w:p>
    <w:p>
      <w:pPr>
        <w:pStyle w:val="2"/>
        <w:spacing w:after="0"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w:t>
      </w:r>
      <w:r>
        <w:rPr>
          <w:rFonts w:hint="eastAsia" w:ascii="宋体" w:hAnsi="宋体"/>
          <w:color w:val="auto"/>
          <w:szCs w:val="21"/>
          <w:highlight w:val="none"/>
          <w:u w:val="single"/>
        </w:rPr>
        <w:t xml:space="preserve"> 发包人其他要求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承包人、监理人和发包人在工程建设中，应严格执行国家及重庆市现行标准，如上述标准及规范要求有出入则以较严格者为准。</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5.3隐蔽工程检查</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5.3.2检查程序</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工程隐蔽部位经承包人自检确认具备覆盖条件的，承包人应在共同检查前</w:t>
      </w:r>
      <w:r>
        <w:rPr>
          <w:rFonts w:hint="eastAsia" w:ascii="宋体" w:hAnsi="宋体"/>
          <w:color w:val="auto"/>
          <w:szCs w:val="21"/>
          <w:highlight w:val="none"/>
          <w:u w:val="single"/>
        </w:rPr>
        <w:t xml:space="preserve"> 24 </w:t>
      </w:r>
      <w:r>
        <w:rPr>
          <w:rFonts w:hint="eastAsia" w:ascii="宋体" w:hAnsi="宋体"/>
          <w:color w:val="auto"/>
          <w:szCs w:val="21"/>
          <w:highlight w:val="none"/>
        </w:rPr>
        <w:t>小时书面通知监理人检查，通知中应载明隐蔽检查的内容、时间和地点，并应附有自检记录和必要的检查资料。</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5.4 不合格工程的处理</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本款补充5.4.3项：</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5.4.3 承包人在收到监理人发出的《不合格分项报告》或监理通知单后，必须在监理人规定时间内按要求完成整改，未能在限定时间内完成整改的，须承担相应违约责任。</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本条补充5.6款：</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5.6 质量事故的处理</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5.6.1 合同履行过程中，发生工程质量事故的调查处理按照国家及重庆市现行规定处理。</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5.6.2 发包人在对工程质量、安全和环境保护、水土保持等建设全过程管理中发现有技术、质量和其他问题的，可通过监理人责令承包人返工或整改；对存在的隐患，有权责令承包人予以解决，并要求承包人按照第三部分专用合同中</w:t>
      </w:r>
      <w:r>
        <w:rPr>
          <w:rFonts w:ascii="宋体" w:hAnsi="宋体"/>
          <w:color w:val="auto"/>
          <w:szCs w:val="21"/>
          <w:highlight w:val="none"/>
        </w:rPr>
        <w:t>16</w:t>
      </w:r>
      <w:r>
        <w:rPr>
          <w:rFonts w:hint="eastAsia" w:ascii="宋体" w:hAnsi="宋体"/>
          <w:color w:val="auto"/>
          <w:szCs w:val="21"/>
          <w:highlight w:val="none"/>
        </w:rPr>
        <w:t>.</w:t>
      </w:r>
      <w:r>
        <w:rPr>
          <w:rFonts w:ascii="宋体" w:hAnsi="宋体"/>
          <w:color w:val="auto"/>
          <w:szCs w:val="21"/>
          <w:highlight w:val="none"/>
        </w:rPr>
        <w:t>2</w:t>
      </w:r>
      <w:r>
        <w:rPr>
          <w:rFonts w:hint="eastAsia" w:ascii="宋体" w:hAnsi="宋体"/>
          <w:color w:val="auto"/>
          <w:szCs w:val="21"/>
          <w:highlight w:val="none"/>
        </w:rPr>
        <w:t>.</w:t>
      </w:r>
      <w:r>
        <w:rPr>
          <w:rFonts w:ascii="宋体" w:hAnsi="宋体"/>
          <w:color w:val="auto"/>
          <w:szCs w:val="21"/>
          <w:highlight w:val="none"/>
        </w:rPr>
        <w:t>2</w:t>
      </w:r>
      <w:r>
        <w:rPr>
          <w:rFonts w:hint="eastAsia" w:ascii="宋体" w:hAnsi="宋体"/>
          <w:color w:val="auto"/>
          <w:szCs w:val="21"/>
          <w:highlight w:val="none"/>
        </w:rPr>
        <w:t>的条款约定承担违约责任。</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6. 安全文明施工与环境保护</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6.1 安全文明施工</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承包人必须认真贯彻执行国家安全生产法律、法规、规章和强制性安全标准，按照重庆市现行的质量、安全文明施工有关规定和发包人安全管理的有关规定，建立完善的质量、安全、文明施工管理制度。</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的施工要做到节能、环保，如果通过采用新材料、新设备、新工艺、新技术的手段来提高工程质量或节省工期，则必须保证新材料、新设备、新工艺、新技术是成熟的并获得相关部门正式批准的，同时使用前承包人必须组织专家论证，并得到发包人、监理人的批准。</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6.1.1 项目安全生产的达标目标及相应事项的约定：</w:t>
      </w:r>
      <w:r>
        <w:rPr>
          <w:rFonts w:hint="eastAsia" w:ascii="宋体" w:hAnsi="宋体"/>
          <w:color w:val="auto"/>
          <w:szCs w:val="21"/>
          <w:highlight w:val="none"/>
          <w:u w:val="single"/>
        </w:rPr>
        <w:t>达到《建筑施工安全检查标准》（JGJ59-2011）的要求</w:t>
      </w:r>
      <w:r>
        <w:rPr>
          <w:rFonts w:hint="eastAsia" w:ascii="宋体" w:hAnsi="宋体"/>
          <w:color w:val="auto"/>
          <w:szCs w:val="21"/>
          <w:highlight w:val="none"/>
        </w:rPr>
        <w:t>。承包人应认真执行国家、重庆市、南岸区有关建筑施工安全生产规定，做好安全生产与文明施工工作，争创全国建设工程项目施工安全生产标准化工地。</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（1）按现行安全文明施工费计取及使用管理的政策文件规定及发包人制订的安全管理制度执行</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（2）承包人的原因造成事故，由此产生的法律责任和事故责任及费用由承包人全部承担</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（3）承包人向发包人做出安全承诺，并签订《安全生产目标责任书》和《安全承诺书》</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（4）承包人在施工过程中，必须严格执行安全生产法的相关规定，制定切实可靠的安全技术措施</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（5）接受发包人安全监督和管理，在施工中违反安全管理规定和操作规程、违章作业的，承担违约责任</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6.1.4 关于治安保卫的特别约定：</w:t>
      </w:r>
      <w:r>
        <w:rPr>
          <w:rFonts w:hint="eastAsia" w:ascii="宋体" w:hAnsi="宋体"/>
          <w:color w:val="auto"/>
          <w:szCs w:val="21"/>
          <w:highlight w:val="none"/>
          <w:u w:val="single"/>
        </w:rPr>
        <w:t>承包人负责组建施工现场治安管理机构或联防组织；承包人负责编制施工场地治安管理计划和突发治安事件紧急预案</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关于编制施工场地治安管理计划的约定：</w:t>
      </w:r>
      <w:r>
        <w:rPr>
          <w:rFonts w:hint="eastAsia" w:ascii="宋体" w:hAnsi="宋体"/>
          <w:color w:val="auto"/>
          <w:szCs w:val="21"/>
          <w:highlight w:val="none"/>
          <w:u w:val="single"/>
        </w:rPr>
        <w:t>由承包人负责</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6.1.5 文明施工</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合同当事人对文明施工的要求：</w:t>
      </w:r>
      <w:r>
        <w:rPr>
          <w:rFonts w:hint="eastAsia" w:ascii="宋体" w:hAnsi="宋体"/>
          <w:color w:val="auto"/>
          <w:szCs w:val="21"/>
          <w:highlight w:val="none"/>
          <w:u w:val="single"/>
        </w:rPr>
        <w:t>承包人应按照《房屋建筑和市政基础设施工程施工扬尘控制工作方案》（渝建发〔2009〕13号）、《重庆市建设委员会关于印发&lt;重庆市房屋建筑和市政基础设施工程现场文明施工标准&gt;的通知》（渝建发〔2008〕169号）等相关规定履行好施工扬尘控制、文明施工等责任</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承包人应按规定设置施工现场围挡，承包人采用的围挡主体形式应从重庆市城乡建委发布的标准图集（DJBT-062、DJBT-063、DJBT50-133）中选用(选用形式需经发包人同意)，做好施工围挡，围挡应整齐美观，承包人按相关要求做好日常维护和保洁，围挡高度满足规范要求，相关费用已包含在签约合同价中</w:t>
      </w:r>
      <w:r>
        <w:rPr>
          <w:rFonts w:hint="eastAsia" w:ascii="宋体" w:hAnsi="宋体"/>
          <w:color w:val="auto"/>
          <w:szCs w:val="21"/>
          <w:highlight w:val="none"/>
        </w:rPr>
        <w:t>。</w:t>
      </w:r>
    </w:p>
    <w:p>
      <w:pPr>
        <w:spacing w:line="360" w:lineRule="auto"/>
        <w:ind w:firstLine="420" w:firstLineChars="200"/>
        <w:jc w:val="left"/>
        <w:rPr>
          <w:rFonts w:ascii="宋体" w:hAnsi="宋体" w:cs="宋体"/>
          <w:color w:val="auto"/>
          <w:kern w:val="0"/>
          <w:szCs w:val="21"/>
          <w:highlight w:val="none"/>
        </w:rPr>
      </w:pPr>
      <w:r>
        <w:rPr>
          <w:rFonts w:hint="eastAsia" w:ascii="宋体" w:hAnsi="宋体"/>
          <w:color w:val="auto"/>
          <w:szCs w:val="21"/>
          <w:highlight w:val="none"/>
        </w:rPr>
        <w:t>6.1.6 关于安全文明施工费支付比例和支付期限的约定：</w:t>
      </w:r>
      <w:r>
        <w:rPr>
          <w:rFonts w:hint="eastAsia" w:ascii="宋体" w:hAnsi="宋体" w:cs="宋体"/>
          <w:color w:val="auto"/>
          <w:kern w:val="0"/>
          <w:szCs w:val="21"/>
          <w:highlight w:val="none"/>
        </w:rPr>
        <w:t>发包人应在开工后28天内预付签约合同金额安全文明施工费总额的50%，其余部分与进度款同期支付。最终竣工验收</w:t>
      </w:r>
      <w:r>
        <w:rPr>
          <w:rFonts w:hint="eastAsia" w:ascii="宋体" w:hAnsi="宋体"/>
          <w:color w:val="auto"/>
          <w:highlight w:val="none"/>
        </w:rPr>
        <w:t>安全文明施工综合评定结果为不合格的不计取该项费用。</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安全文明施工费的要求与内容、提取支付方法以及违反约定造成损失的赔偿等条款，按照现行规范要求执行，做到专款专用</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6.3 环境保护</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本款补充6.3.1～6.3.8项：</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6.3.1 承包人应严格按照项目环境影响评价文件批准书结合发包人报送的环境影响报告书的要求进行环境保护的相关工作。如行政主管部门有新标准，则按最新标准执行，执行新标准增加的费用由承包人承担。</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6.3.2 承包人应做好对周边环境的调查工作，认真编制施工组织设计，严格按照施工方案组织施工，涉及交通、绿化、市政、环保、生态、公共安全等的施工方案应达到相关标准要求并在施工前得到相关行政主管部门和单位的同意，否则不得施工，因施工原因引起的一切投诉及处罚由承包人自行负责。</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6.3.3 承包人应加强生态环境保护工作。施工期间，采取边坡防护，挡渣坝、排水沟、沉淀池、表土剥离和绿化恢复等水土保持措施减少水土流失量，绿化恢复宜采用适于当地生长的植物。</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6.3.4 承包人应认真落实水污染防治措施。施工期间，加强机械设备维护，减少跑冒滴漏等现象；做好含油废水处理措施；施工场地生活污水经生化处理后达到《污水综合排放标准》（GB8978-1996）一级标准后排放。</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6.3.5 承包人应重视大气污染物污染防治措施。施工期间，严格执行市政府“蓝天行动”方案等有关规定，通过洒水防尘，严格控制施工场地扬尘和运输扬尘污染。</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6.3.6 承包人应落实固体废物污染防治措施。施工期间，项目产生的弃方不可合理</w:t>
      </w:r>
      <w:r>
        <w:rPr>
          <w:rFonts w:ascii="宋体" w:hAnsi="宋体"/>
          <w:color w:val="auto"/>
          <w:szCs w:val="21"/>
          <w:highlight w:val="none"/>
        </w:rPr>
        <w:t>利用的</w:t>
      </w:r>
      <w:r>
        <w:rPr>
          <w:rFonts w:hint="eastAsia" w:ascii="宋体" w:hAnsi="宋体"/>
          <w:color w:val="auto"/>
          <w:szCs w:val="21"/>
          <w:highlight w:val="none"/>
        </w:rPr>
        <w:t>，应运往指定的弃渣场内堆存；建筑垃圾运至指定的建筑垃圾消纳场处置；生活垃圾由当地环卫部门统一处置。</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6.3.7 承包人应认真落实噪声污染防治措施。施工期间，优选低噪声设备，合理安排施工时间，严格控制夜间施工，昼、夜施工场界需满足《建筑施工场界环境噪声排放标准》（GB12523-2011）。</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6.3.8 承包人自行负责办理有关施工场地交通、环卫和施工噪音管理等手续，并应按要求结合自身实际和重庆市相关规定，考虑不低于以上标准的此类工作。</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 xml:space="preserve">6.3.9 </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7. 工期和进度</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7.1 施工组织设计</w:t>
      </w:r>
    </w:p>
    <w:p>
      <w:pPr>
        <w:autoSpaceDE w:val="0"/>
        <w:autoSpaceDN w:val="0"/>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7.1.1 合同当事人约定的施工组织设计应包括的其他内容：</w:t>
      </w:r>
      <w:r>
        <w:rPr>
          <w:rFonts w:hint="eastAsia" w:ascii="宋体" w:hAnsi="宋体"/>
          <w:color w:val="auto"/>
          <w:szCs w:val="21"/>
          <w:highlight w:val="none"/>
          <w:u w:val="single"/>
        </w:rPr>
        <w:t>应采用文字并结合图表形式说明施工方法；拟投入工程的主要施工设备情况、拟配备工程的试验和检测仪器设备情况、劳动力计划等；结合工程特点提出切实可行的工程质量、安全生产、文明施工、工程进度、技术组织措施，同时应对关键工序、复杂环节重点提出相应技术措施，如冬雨季施工技术、减少噪音、降低环境污染、地下管线及其他地上地下设施的保护加固措施等按发包人要求提供</w:t>
      </w:r>
      <w:r>
        <w:rPr>
          <w:rFonts w:hint="eastAsia" w:ascii="宋体" w:hAnsi="宋体"/>
          <w:color w:val="auto"/>
          <w:szCs w:val="21"/>
          <w:highlight w:val="none"/>
        </w:rPr>
        <w:t>。</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7.1.2 施工组织设计的提交和修改</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承包人提交详细施工组织设计的期限的约定：</w:t>
      </w:r>
      <w:r>
        <w:rPr>
          <w:rFonts w:hint="eastAsia" w:ascii="宋体" w:hAnsi="宋体"/>
          <w:color w:val="auto"/>
          <w:szCs w:val="21"/>
          <w:highlight w:val="none"/>
          <w:u w:val="single"/>
        </w:rPr>
        <w:t>合同签订后 7 天内，但最迟不得晚于开工通知载明的开工日期前7天</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7.2 施工进度计划</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7.2.2 施工进度计划的提交</w:t>
      </w:r>
      <w:r>
        <w:rPr>
          <w:rFonts w:hint="eastAsia" w:ascii="宋体" w:hAnsi="宋体"/>
          <w:color w:val="auto"/>
          <w:szCs w:val="21"/>
          <w:highlight w:val="none"/>
          <w:u w:val="single"/>
        </w:rPr>
        <w:t>合同签订后 7 天内，但最迟不得晚于开工通知载明的开工日期前7天.</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发包人和监理人在收到修订的施工进度计划后确认或提出修改意见的期限：</w:t>
      </w:r>
      <w:r>
        <w:rPr>
          <w:rFonts w:hint="eastAsia" w:ascii="宋体" w:hAnsi="宋体"/>
          <w:color w:val="auto"/>
          <w:szCs w:val="21"/>
          <w:highlight w:val="none"/>
          <w:u w:val="singl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7.3 开工</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7.3.1 开工准备</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关于承包人提交工程开工报审表的期限：</w:t>
      </w:r>
      <w:r>
        <w:rPr>
          <w:rFonts w:hint="eastAsia" w:ascii="宋体" w:hAnsi="宋体"/>
          <w:color w:val="auto"/>
          <w:szCs w:val="21"/>
          <w:highlight w:val="none"/>
          <w:u w:val="single"/>
        </w:rPr>
        <w:t>不晚于开工前 / 天</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关于发包人应完成的其他开工准备工作及期限：</w:t>
      </w:r>
      <w:r>
        <w:rPr>
          <w:rFonts w:hint="eastAsia" w:ascii="宋体" w:hAnsi="宋体"/>
          <w:color w:val="auto"/>
          <w:szCs w:val="21"/>
          <w:highlight w:val="none"/>
          <w:u w:val="single"/>
        </w:rPr>
        <w:t>不晚于开工前 / 天</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关于承包人应完成的其他开工准备工作及期限：</w:t>
      </w:r>
      <w:r>
        <w:rPr>
          <w:rFonts w:hint="eastAsia" w:ascii="宋体" w:hAnsi="宋体"/>
          <w:color w:val="auto"/>
          <w:szCs w:val="21"/>
          <w:highlight w:val="none"/>
          <w:u w:val="single"/>
        </w:rPr>
        <w:t>不晚于开工前 /天</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7.4 测量放线</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7.4.1 发包人通过监理人向承包人提供测量基准点、基准线和水准点及其书面资料的期限：</w:t>
      </w:r>
      <w:r>
        <w:rPr>
          <w:rFonts w:hint="eastAsia" w:ascii="宋体" w:hAnsi="宋体"/>
          <w:color w:val="auto"/>
          <w:szCs w:val="21"/>
          <w:highlight w:val="none"/>
          <w:u w:val="single"/>
        </w:rPr>
        <w:t>不晚于开工前7天</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承包人报监理人审批施工控制网资料的期限：</w:t>
      </w:r>
      <w:r>
        <w:rPr>
          <w:rFonts w:hint="eastAsia" w:ascii="宋体" w:hAnsi="宋体"/>
          <w:color w:val="auto"/>
          <w:szCs w:val="21"/>
          <w:highlight w:val="none"/>
          <w:u w:val="single"/>
        </w:rPr>
        <w:t>发出开工通知后 7天。承包人发现发包人提供的测量基准点、基准线和水准点及其书面资料存在错误或疏漏的，应及时通知监理人并报告发包人，承包人应会同监理人、发包人核实，发包人就如何处理和是否继续施工作出决定，并通过监理人通知承包人</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7.5 工期延误</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7.5.1 因发包人原因导致工期延误：</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在合同履行过程中，因下列情况导致工期延误或费用增加，经发包人确认后工期相应顺延，费用由承包人在投标报价或投标比例中综合考虑，发包人不再另行支付：</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（1）发包人未能按合同约定提供图纸或所提供图纸不符合合同约定的；</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（2）发包人未能按合同约定提供施工现场、施工条件、基础资料、许可、批准等开工条件的；</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（3）发包人提供的测量基准点、基准线和水准点及其书面资料存在错误或疏漏的；</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（4）发包人未能在计划开工日期之日起7天内同意下达开工通知的；</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（5）发包人未能按合同约定日期支付工程预付款、进度款或竣工结算款的；</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（6）监理人未按合同约定发出指示、批准等文件的；</w:t>
      </w:r>
    </w:p>
    <w:p>
      <w:pPr>
        <w:spacing w:line="360" w:lineRule="auto"/>
        <w:ind w:firstLine="420" w:firstLineChars="200"/>
        <w:jc w:val="left"/>
        <w:rPr>
          <w:rFonts w:ascii="宋体" w:hAnsi="宋体"/>
          <w:color w:val="auto"/>
          <w:szCs w:val="21"/>
          <w:highlight w:val="none"/>
        </w:rPr>
      </w:pPr>
      <w:r>
        <w:rPr>
          <w:rFonts w:hint="eastAsia" w:ascii="宋体" w:hAnsi="宋体"/>
          <w:color w:val="auto"/>
          <w:kern w:val="0"/>
          <w:szCs w:val="21"/>
          <w:highlight w:val="none"/>
        </w:rPr>
        <w:t>（7）</w:t>
      </w:r>
      <w:r>
        <w:rPr>
          <w:rFonts w:hint="eastAsia" w:ascii="宋体" w:hAnsi="宋体"/>
          <w:color w:val="auto"/>
          <w:szCs w:val="21"/>
          <w:highlight w:val="none"/>
        </w:rPr>
        <w:t>因发包人原因导致工程暂停施工、停建、缓建的；</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（8）</w:t>
      </w:r>
      <w:r>
        <w:rPr>
          <w:rFonts w:hint="eastAsia" w:ascii="宋体" w:hAnsi="宋体"/>
          <w:color w:val="auto"/>
          <w:szCs w:val="21"/>
          <w:highlight w:val="none"/>
          <w:u w:val="single"/>
        </w:rPr>
        <w:t>合同约定的其他情形或发包人同意延期对事项</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因发包人原因未按计划开工日期开工的，发包人应按实际开工日期顺延竣工日期。因发包人原因导致工期延误需要修订施工进度计划的，按照第7.2.2项〔施工进度计划的修订〕执行</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7.5.2 因承包人原因导致工期延误</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因承包人原因造成工期延误，逾期竣工按16.2.2（6）目执行。</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7.6 不利物质条件</w:t>
      </w:r>
    </w:p>
    <w:p>
      <w:pPr>
        <w:spacing w:line="360" w:lineRule="auto"/>
        <w:ind w:firstLine="420" w:firstLineChars="200"/>
        <w:jc w:val="left"/>
        <w:rPr>
          <w:rFonts w:ascii="宋体" w:hAnsi="宋体"/>
          <w:bCs/>
          <w:color w:val="auto"/>
          <w:szCs w:val="21"/>
          <w:highlight w:val="none"/>
        </w:rPr>
      </w:pPr>
      <w:r>
        <w:rPr>
          <w:rFonts w:hint="eastAsia" w:ascii="宋体" w:hAnsi="宋体"/>
          <w:color w:val="auto"/>
          <w:szCs w:val="21"/>
          <w:highlight w:val="none"/>
        </w:rPr>
        <w:t>不利物质条件的其他情形和有关约定：</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7.7异常恶劣的气候条件</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发包人和承包人同意以下情形视为异常恶劣的气候条件：</w:t>
      </w:r>
      <w:r>
        <w:rPr>
          <w:rFonts w:hint="eastAsia" w:ascii="宋体" w:hAnsi="宋体"/>
          <w:color w:val="auto"/>
          <w:szCs w:val="21"/>
          <w:highlight w:val="none"/>
          <w:u w:val="single"/>
        </w:rPr>
        <w:t xml:space="preserve">    （异常气候是指项目所在地50年以上一遇的罕见气候现象）</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7.9 提前竣工</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7.9.1项细化为：</w:t>
      </w:r>
    </w:p>
    <w:p>
      <w:pPr>
        <w:numPr>
          <w:ilvl w:val="0"/>
          <w:numId w:val="3"/>
        </w:num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当项目需要提前竣工或项目工期按照第7.5款〔工期延误〕约定顺延后需要提前竣工的，发包人应通过监理人向承包人下达提前竣工指示。承包人同意提前竣工的，应向发包人和监理人提交提前竣工方案，提前竣工方案经监理人和发包人审批后生效。由此增加的费用由承包人在投标报价或投标比例中综合考虑，发包人不再另行支付。</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（2）发包人不得随意要求承包人提前竣工，承包人也不得随意提出提前竣工的建议。如遇特殊情况，确需将工期提前的，发包人和承包人必须采取有效措施，确保工程质量。</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（3）如果承包人提前竣工，发包人支付奖金的计算方法在合同条款中约定，时间自竣工验收证书中写明的实际竣工日期起至预定的竣工日期止，按天计算。但奖金最高限额不超过项目7.9.2项的限额。</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7.9.2 提前竣工的奖励：</w:t>
      </w:r>
      <w:r>
        <w:rPr>
          <w:rFonts w:hint="eastAsia" w:ascii="宋体" w:hAnsi="宋体"/>
          <w:color w:val="auto"/>
          <w:szCs w:val="21"/>
          <w:highlight w:val="none"/>
          <w:u w:val="single"/>
        </w:rPr>
        <w:t>不采用</w:t>
      </w:r>
      <w:r>
        <w:rPr>
          <w:rFonts w:hint="eastAsia" w:ascii="宋体" w:hAnsi="宋体"/>
          <w:color w:val="auto"/>
          <w:szCs w:val="21"/>
          <w:highlight w:val="none"/>
        </w:rPr>
        <w:t>。</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8. 材料与设备</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8.1发包人供应材料与工程设备</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材料的名称、规格、数量和价格：</w:t>
      </w:r>
      <w:r>
        <w:rPr>
          <w:rFonts w:hint="eastAsia" w:ascii="宋体" w:hAnsi="宋体"/>
          <w:color w:val="auto"/>
          <w:szCs w:val="21"/>
          <w:highlight w:val="none"/>
          <w:u w:val="single"/>
        </w:rPr>
        <w:t>发包人应提供甲供材料的明细表，结算时按经监理人、承包人共同确认的供应数量乘以招标时甲供材料暂定价格，在支付工程款时扣除</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发包人按约定的内容提供材料设备并对提供的材料设备质量负责，承包人按施工规范和检测规范对一切进场材料进行质量检验，承包人有权退回检验不合格的材料；承包人对投入使用的材料质量负责</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8.2 承包人采购材料与工程设备</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8.2.1承包人负责采购、运输和保管的材料、工程设备：</w:t>
      </w:r>
      <w:r>
        <w:rPr>
          <w:rFonts w:hint="eastAsia" w:ascii="宋体" w:hAnsi="宋体"/>
          <w:color w:val="auto"/>
          <w:szCs w:val="21"/>
          <w:highlight w:val="none"/>
          <w:u w:val="single"/>
        </w:rPr>
        <w:t>由承包人自行采购。承包人采购材料设备必须经监理人和发包人批准，结算时由监理人和发包人按招标文件规定审核的数量和合同约定</w:t>
      </w:r>
      <w:r>
        <w:rPr>
          <w:rFonts w:ascii="宋体" w:hAnsi="宋体"/>
          <w:color w:val="auto"/>
          <w:szCs w:val="21"/>
          <w:highlight w:val="none"/>
          <w:u w:val="single"/>
        </w:rPr>
        <w:t>价格</w:t>
      </w:r>
      <w:r>
        <w:rPr>
          <w:rFonts w:hint="eastAsia" w:ascii="宋体" w:hAnsi="宋体"/>
          <w:color w:val="auto"/>
          <w:szCs w:val="21"/>
          <w:highlight w:val="none"/>
          <w:u w:val="single"/>
        </w:rPr>
        <w:t>计算</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8.2.2承包人报送监理人审批的时间：</w:t>
      </w:r>
      <w:r>
        <w:rPr>
          <w:rFonts w:hint="eastAsia" w:ascii="宋体" w:hAnsi="宋体"/>
          <w:color w:val="auto"/>
          <w:szCs w:val="21"/>
          <w:highlight w:val="none"/>
          <w:u w:val="single"/>
        </w:rPr>
        <w:t>按发包人及监理单位的相关规定执行</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8.2.3承包人选择的生产厂家或供应商满足下列条件：</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A.承包人选择的混凝土供应商应满足下列条件：</w:t>
      </w:r>
      <w:r>
        <w:rPr>
          <w:rFonts w:hint="eastAsia" w:ascii="宋体" w:hAnsi="宋体"/>
          <w:color w:val="auto"/>
          <w:szCs w:val="21"/>
          <w:highlight w:val="none"/>
          <w:u w:val="single"/>
        </w:rPr>
        <w:t xml:space="preserve"> 符合设计图纸及有关标准、规范的要求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B.承包人选择的钢材供应商应满足下列条件：</w:t>
      </w:r>
      <w:r>
        <w:rPr>
          <w:rFonts w:hint="eastAsia" w:ascii="宋体" w:hAnsi="宋体"/>
          <w:color w:val="auto"/>
          <w:szCs w:val="21"/>
          <w:highlight w:val="none"/>
          <w:u w:val="single"/>
        </w:rPr>
        <w:t xml:space="preserve">符合设计图纸及有关标准、规范的要求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C.承包人选择的水泥供应商应满足下列条件：</w:t>
      </w:r>
      <w:r>
        <w:rPr>
          <w:rFonts w:hint="eastAsia" w:ascii="宋体" w:hAnsi="宋体"/>
          <w:color w:val="auto"/>
          <w:szCs w:val="21"/>
          <w:highlight w:val="none"/>
          <w:u w:val="single"/>
        </w:rPr>
        <w:t xml:space="preserve"> 符合设计图纸及有关标准、规范的要求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D.承包人采购的材料与设计或标准要求不符时，承包人应按发包人和监理人要求的时间运出施工场地，并重新采购符合要求的产品，并承担由此发生的费用，因此延误的工期不予顺延。</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E.承包人采购的材料在使用前，应按发包人和监理人的要求进行检验或试验，不合格的不得使用。</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F.</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8.4 材料与工程设备的保管与使用</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8.4.1 发包人供应的材料设备的保管费用的承担：</w:t>
      </w:r>
      <w:r>
        <w:rPr>
          <w:rFonts w:hint="eastAsia" w:ascii="宋体" w:hAnsi="宋体"/>
          <w:color w:val="auto"/>
          <w:szCs w:val="21"/>
          <w:highlight w:val="none"/>
          <w:u w:val="single"/>
        </w:rPr>
        <w:t>承包人在投标报价或投标比例中综合考虑，发包人不再另行支付。</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8.6 样品</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8.6.1 样品的报送与封存</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需要承包人报送样品的材料或工程设备，样品的种类、名称、规格、数量要求：</w:t>
      </w:r>
      <w:r>
        <w:rPr>
          <w:rFonts w:hint="eastAsia" w:ascii="宋体" w:hAnsi="宋体"/>
          <w:color w:val="auto"/>
          <w:szCs w:val="21"/>
          <w:highlight w:val="none"/>
          <w:u w:val="single"/>
        </w:rPr>
        <w:t xml:space="preserve">  本项目的材料、设备在采购前承包人应将需要使用的材料、设备的厂家、技术参数、品牌、质量等级等指标以书面形式通知发包人，发包人收到承包人的书面报告后予以认质、封样后，承包人方可采购进场；对需要认价的材料、设备若承包人在发包人核价后5个工作日内，承包人拒绝签字确认发包人核定的价格或拒绝按发包人核定的价格采购的，则该种材料或设备改为第三方供货，发包人收取承包人该类材料或设备费的20%作为违约金，并按发包人实际支付的货款从承包人的进度款中扣除，同时并不解除承包人对工程质量保修责任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8.8 施工设备和临时设施</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8.8.1 承包人提供的施工设备和临时设施</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关于修建临时设施费用承担的约定：</w:t>
      </w:r>
      <w:r>
        <w:rPr>
          <w:rFonts w:hint="eastAsia" w:ascii="宋体" w:hAnsi="宋体"/>
          <w:color w:val="auto"/>
          <w:szCs w:val="21"/>
          <w:highlight w:val="none"/>
          <w:u w:val="single"/>
        </w:rPr>
        <w:t>由承包人承担</w:t>
      </w:r>
      <w:r>
        <w:rPr>
          <w:rFonts w:hint="eastAsia" w:ascii="宋体" w:hAnsi="宋体"/>
          <w:color w:val="auto"/>
          <w:szCs w:val="21"/>
          <w:highlight w:val="none"/>
        </w:rPr>
        <w:t>。</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9. 试验与检验</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9.1 试验设备与试验人员</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9.1.2 试验设备</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施工现场需要配置的试验场所：</w:t>
      </w:r>
      <w:r>
        <w:rPr>
          <w:rFonts w:hint="eastAsia" w:ascii="宋体" w:hAnsi="宋体"/>
          <w:color w:val="auto"/>
          <w:szCs w:val="21"/>
          <w:highlight w:val="none"/>
          <w:u w:val="single"/>
        </w:rPr>
        <w:t>满足工程施工的需要</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施工现场需要配备的试验设备：</w:t>
      </w:r>
      <w:r>
        <w:rPr>
          <w:rFonts w:hint="eastAsia" w:ascii="宋体" w:hAnsi="宋体"/>
          <w:color w:val="auto"/>
          <w:szCs w:val="21"/>
          <w:highlight w:val="none"/>
          <w:u w:val="single"/>
        </w:rPr>
        <w:t>满足工程施工的需要</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施工现场需要具备的其他试验条件：</w:t>
      </w:r>
      <w:r>
        <w:rPr>
          <w:rFonts w:hint="eastAsia" w:ascii="宋体" w:hAnsi="宋体"/>
          <w:color w:val="auto"/>
          <w:szCs w:val="21"/>
          <w:highlight w:val="none"/>
          <w:u w:val="single"/>
        </w:rPr>
        <w:t xml:space="preserve"> 由承包人提供并自行承担相关费用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9.4 现场工艺试验</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本款补充9.4.1～9.4.5项：</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9.4.1一般检验试验：</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根据《建设工程质量检测管理办法》（建设部令第141号）、关于实施《建设工程质量检测管理办法》有关问题的通知（建质〔2009〕25号）、《重庆市建设工程质量检测管理规定》（渝建发〔2009〕123号）、《关于加强我市建设工程质量检测委托管理的通知》（渝建〔2015〕420号）和有关施工规范、验收标准及施工图的规定或要求，对工程材料、构件、建筑安装物、半成品、成品进行的一般质量鉴定、检测和试验，由发包人委托的第三方检测试验机构实施，所发生的鉴定、检测和试验费用承包人承担或由发包人支付给检测单位并在承包人工程款中扣除。</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实施前，由发包人、承包人和第三方检测试验机构签订三方合同，第三方检测试验机构分别向承包人和发包人出具相应的检测试验报告。根据渝建〔2015〕420号文和有关施工规范、验收标准及施工图的规定或要求，所做的上述检测试验所需的试件取样、制作、送检，试件制作需要提供的材料以及检测、试验的配合工作由承包人负责完成并承担由此产生的所有相关费用。</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9.4.2特殊检验试验：</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（1）除“施工措施的检测、试验”外，包括但不限于路基弯沉值试验、路面承载力试验、桥梁荷载试验、锚固试验、桩基检测、锚杆抗拔检验、锚索预应力检测、外墙面砖抗粘接试验、室内有害物质检测、门窗 （幕墙）三性检测、石材放射性检测、石膏板阻燃检测、挡土墙抗渗试验、保温层隔热检测等（根据项目实际情况增减）设计施工规范及其他法律法规规范规定的特殊检验试验项目，根据渝建〔2015〕420号文的规定，均由发包人委托相应的第三方检测试验机构进行检测，所发生的特殊检验试验费由承包人承担或由发包人支付给检测单位并在承包人工程款中扣除。</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发包人委托的第三方检测试验机构检测试验的试件所需的材料、取样、送检及相关配合工作由承包人负责完成并承担由此产生的所有相关费用。</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（2）施工措施的检测、试验：因施工措施需要而做的相关检测、试验由承包人负责实施，其费用由承包人承担。</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9.4.3专项检测：</w:t>
      </w:r>
      <w:r>
        <w:rPr>
          <w:rFonts w:hint="eastAsia" w:ascii="宋体" w:hAnsi="宋体"/>
          <w:color w:val="auto"/>
          <w:szCs w:val="21"/>
          <w:highlight w:val="none"/>
          <w:u w:val="single"/>
        </w:rPr>
        <w:t xml:space="preserve"> 按工程实际需要发生时由承包人负责实施，其费用由承包人承担或由发包人支付给检测单位并在承包人工程款中扣除 </w:t>
      </w:r>
      <w:r>
        <w:rPr>
          <w:rFonts w:hint="eastAsia" w:ascii="宋体" w:hAnsi="宋体"/>
          <w:color w:val="auto"/>
          <w:szCs w:val="21"/>
          <w:highlight w:val="none"/>
        </w:rPr>
        <w:t>。</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9.4.4若因承包人取样、制样、送检及相关配合不及时而导致工程的工期和费用增加，影响的工期不予延长，增加费用由承包人承担。</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9.4.5检测试验不合格的项目，其缺陷处理和复测费用由承包人承担，工期不予延长。</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9.4.6监测费</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承包人应按照设计及相关规范、规定，做好危大项目、高边坡、深基坑、轨道和附近构筑物等的监测工作。相关费用由承包人自行测算，其费用纳入投标报价中，不再另行计价。</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承包人应根据招标资料及现场情况做施工方案，施工时承包人委托有资质的第三方单位开展监测，应符合国家、重庆市、住建部的相关规定，并确保周边建筑及人员、本工程施工人员、机械等安全，其费用纳入投标报价中，不再另行计价。</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9.4.7按政策和合同约定的由承包人缴纳的各种保险费由承包人自行投保，保险费由承包人承担并支付，并根据自身实力和本工程情况，综合考虑在投标报价中，不再另行计价。</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9.4.8本项目移交发包人前的永久通水、电、气、通讯等的表后线部分工作，由承包人实施。实施方案图纸须经监理人、发包人（或发包人委托的咨询机构）、以及水电气通讯的运营商审定，其费用纳入投标报价中，不再另行计价。</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10. 变更</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10.1变更的范围</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关于变更范围的约定：</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（1）增加或减少合同中任何工作，或追加额外的工作；</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（2）取消合同中任何工作；</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（3）改变合同中任何工作的质量标准或其他特性；</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（4）改变工程的基线、标高、位置和尺寸；</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（5）适用于工程的标准和（或）规范变化导致需要对工程进行改变，且该改变导致工期和（或）费用变化的；</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（6）勘察设计变更；</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（7）实施内容变更，包括因设计变更和非设计变更引起的实施地点、投资规模、结构型式、采购数量、服务内容等进行的调整，以及因此导致的合同价格、工期变更；</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（8）项目管理人员变更；</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（9）因人工、原材料等价格变化导致的合同总价变更；</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（10）非实施内容变化导致的工期变更；</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合同变更应当符合国家法律法规、强制标准和技术规范的要求，且合同变更后更加有利于工程的建设、运营、安全、节约资金、保护生态环境或者实现功能要求。发包人对项目合同变更承担主体责任。项目合同变更应当按照《重庆市政府投资项目合同变更管理暂行办法》要求进行信息公开。项目合同变更未获得通过的，发包人和承包人均不得擅自变更原合同约定事项，且不得就同一理由同一事项再提出变更。</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承包人对其提供的材料、工程设备、施工、无负荷试车、热负荷试车及图纸参数存在的缺陷，自费修正、调整和完善，不属于变更。</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10.2变更权</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10.2.1发包人提出变更</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发包人可以提出变更。变更指示均通过监理人以书面形式发出。承包人收到经发包人签认的变更指示后，方可实施变更。未取得经发包人签认的变更指示，承包人不得实施任何变更。</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涉及设计变更的，应由设计人提供变更后的图纸和说明，交由发包人同意后由监理人以书面形式发出。如变更超过原设计标准或批准的建设规模时，由发包人及时办理规划、设计变更等审批手续。</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若出现重大设计变更，变更后的内容超出承包人资质或能力范围的，发包人将另行依法招标选择承包单位，无需征得承包人同意。</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10.2.2 承包人提出变更建议</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可以向发包人提交书面变更建议，应当以承包人单位名义书面向发包人提出申请，详细说明变更的内容、理由，以及该变更对项目的工期、投资、质量、安全、运营管理、生态环境等的影响，客观反映项目合同变更的必要性和可行性，包括：</w:t>
      </w:r>
      <w:r>
        <w:rPr>
          <w:rFonts w:hint="eastAsia" w:ascii="宋体" w:hAnsi="宋体"/>
          <w:color w:val="auto"/>
          <w:szCs w:val="21"/>
          <w:highlight w:val="none"/>
          <w:u w:val="single"/>
        </w:rPr>
        <w:t>缩短工期，降低发包人的工程、施工、维护、营运的费用，提高竣工工程的效率或价值，给发包人带来的长远利益和其他利益。发包人接到此类建议后，可以选择：不采纳/采纳/补充进一步资料的书面通知</w:t>
      </w:r>
      <w:r>
        <w:rPr>
          <w:rFonts w:hint="eastAsia" w:ascii="宋体" w:hAnsi="宋体"/>
          <w:color w:val="auto"/>
          <w:szCs w:val="21"/>
          <w:highlight w:val="none"/>
        </w:rPr>
        <w:t>。</w:t>
      </w:r>
    </w:p>
    <w:p>
      <w:pPr>
        <w:autoSpaceDE w:val="0"/>
        <w:autoSpaceDN w:val="0"/>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如果发包人对承包人已实施的施工项目在发出重大设计变更之前要求承包人提出一份建议，那么，承包人应尽快提出：</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（1）对所提方案和（或）待做工作及其实施计划的说明</w:t>
      </w:r>
      <w:r>
        <w:rPr>
          <w:rFonts w:hint="eastAsia" w:ascii="宋体" w:hAnsi="宋体"/>
          <w:color w:val="auto"/>
          <w:szCs w:val="21"/>
          <w:highlight w:val="none"/>
        </w:rPr>
        <w:t>；</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（2）承包人按照对工程进度计划进行必要修改的建议</w:t>
      </w:r>
      <w:r>
        <w:rPr>
          <w:rFonts w:hint="eastAsia" w:ascii="宋体" w:hAnsi="宋体"/>
          <w:color w:val="auto"/>
          <w:szCs w:val="21"/>
          <w:highlight w:val="none"/>
        </w:rPr>
        <w:t>；</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（3）承包人发生较大返工损失增加费用的建议</w:t>
      </w:r>
      <w:r>
        <w:rPr>
          <w:rFonts w:hint="eastAsia" w:ascii="宋体" w:hAnsi="宋体"/>
          <w:color w:val="auto"/>
          <w:szCs w:val="21"/>
          <w:highlight w:val="none"/>
        </w:rPr>
        <w:t>。</w:t>
      </w:r>
    </w:p>
    <w:p>
      <w:pPr>
        <w:autoSpaceDE w:val="0"/>
        <w:autoSpaceDN w:val="0"/>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发包人在收到上述建议书后，应尽快给予批准、否决或提出意见</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10.3变更程序</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10.3.3 变更执行</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一般设计变更：承包人收到监理人下达的变更指示后，应按照监理人下达的变更指示执行，并书面说明实施该变更指示对合同价格和工期的影响，按照第10.4.1项〔变更估价原则〕约定执行。</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重大设计变更：需经设计人、监理人和发包人三方签名认可并报相关行业部门审查同意后实施。</w:t>
      </w:r>
    </w:p>
    <w:p>
      <w:pPr>
        <w:autoSpaceDE w:val="0"/>
        <w:autoSpaceDN w:val="0"/>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10.3.3 项增加以下内容：</w:t>
      </w:r>
    </w:p>
    <w:p>
      <w:pPr>
        <w:autoSpaceDE w:val="0"/>
        <w:autoSpaceDN w:val="0"/>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合同变更提出后，应当首先由承包人组织相关单位、专家进行论证。经论证确需变更的，承包人按照《重庆市政府投资项目合同变更管理暂行办法》规定的程序自行决策或者报批；经论证不需要变更的，继续按合同执行。</w:t>
      </w:r>
    </w:p>
    <w:p>
      <w:pPr>
        <w:autoSpaceDE w:val="0"/>
        <w:autoSpaceDN w:val="0"/>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项目的勘察设计、实施内容等作较大变更的，应当按照规定的程序报原审批部门审批；变更导致总投资超概的，应当报原投资概算核定部门核定。</w:t>
      </w:r>
    </w:p>
    <w:p>
      <w:pPr>
        <w:autoSpaceDE w:val="0"/>
        <w:autoSpaceDN w:val="0"/>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项目管理人员变更的，应当经发包人领导班子集体决策同意，并将变更信息推送给行业主管部门。变更后的项目管理人员应当符合招标文件和行业主管部门的相关规定。</w:t>
      </w:r>
    </w:p>
    <w:p>
      <w:pPr>
        <w:autoSpaceDE w:val="0"/>
        <w:autoSpaceDN w:val="0"/>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因人工、原材料市场价格发生大幅度变化导致的合同总价变更，由发包人与承包人按照合同进行变更。</w:t>
      </w:r>
    </w:p>
    <w:p>
      <w:pPr>
        <w:autoSpaceDE w:val="0"/>
        <w:autoSpaceDN w:val="0"/>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项目实施内容无变更，因不可抗力导致的工期变更，由发包人领导班子集体决策同意，并将变更信息推送给行业主管部门；因项目实施内容变更导致的工期变更，与项目实施内容变更一并办理。</w:t>
      </w:r>
    </w:p>
    <w:p>
      <w:pPr>
        <w:autoSpaceDE w:val="0"/>
        <w:autoSpaceDN w:val="0"/>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项目合同变更后，增加的实施内容达到依法必须招标的规模标准的，增加的部分应当依法通过招标选择承包单位。</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10.4 变更估价</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10.4.1 变更估价原则</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发生设计变更或新增项时，必须经发包人认可并以书面文件盖章的形式批准后方可变更，工程量由发包人、承包人、监理单位和第三方跟审单位（若有）共同签证认可，发包人及监理工程师按照GB50500-2013《建设工程工程量计价规范》及重庆2018定额规定的计算规则计算。</w:t>
      </w:r>
    </w:p>
    <w:p>
      <w:pPr>
        <w:pStyle w:val="2"/>
        <w:ind w:firstLine="420" w:firstLineChars="200"/>
        <w:rPr>
          <w:color w:val="auto"/>
          <w:highlight w:val="none"/>
        </w:rPr>
      </w:pPr>
      <w:r>
        <w:rPr>
          <w:rFonts w:hint="eastAsia" w:ascii="宋体" w:hAnsi="宋体"/>
          <w:color w:val="auto"/>
          <w:szCs w:val="21"/>
          <w:highlight w:val="none"/>
          <w:u w:val="single"/>
        </w:rPr>
        <w:t>结算原则如下：</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10.4.1.1已标价工程量清单中有相同项目的，按照相同项目单价计算；</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10.4.1.2已标价工程量清单中有类似项目的，参考类似项目单价计算，仅对该子目材料价格进行调整。价格调整原则：中标清单中的分部分项工程量中有的材料按中标清单中的材料单价和《重庆工程造价信息》开标公告发布当月《重庆工程造价信息》公布的信息价的低值，且不背离市场；中标清单中的分部分项工程量及开标当期《重庆工程造价信息》中没有的材料，按发包人结合市场行情核定确定的价格执行，并不高于施工同期《重庆工程造价信息》公布的信息价和背离市场行情。</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10.4.1.3已标价工程量清单中无相同项目亦无类似项目的，按照以下原则执行：</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按《重庆市房屋建筑与装饰工程计价定额》（CQJZZSDE-2018）、《重庆市仿古建筑工程计价定额》（CQFGDE-2018）、《重庆市通用安装工程计价定额》（CQAZDE-2018） 、《重庆市市政工程计价定额》（CQSZDE-2018）、《重庆市园林绿化工程计价定额》（CQYLLHDE-2018）、《重庆市构筑物工程计价定额》（CQGZWDE-2018）、《重庆市城市轨道交通工程计价定额》（CQGDDE-2018）、《重庆市爆破工程计价定额》（CQBPDE-2018）、《重庆市房屋修缮工程计价定额》（CQXSDE-2018）、《重庆市绿色建筑工程计价定额》（CQLSJZDE-2018）、《重庆市建设工程施工机械台班定额》（CQJXDE-2018）、《重庆市建设工程施工仪器仪表台班定额》（CQYQYBDE-2018）、《重庆市建设工程混凝土及砂浆配合比表》（CQPHBB-2018）、《重庆市建设工程费用定额》（CQFYDE-2018）及相关配套文件进行组价并按承包人报价浮动率下浮（认质核价的设备和材料不参与浮动），经监理人、跟审单位、发包人审定后执行</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承包人报价浮动率按下列公式计算：承包人报价浮动率=（1-中标价/最高限价）×100%。</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（1）人工单价：按开标当期《重庆工程造价信息》发布的项目所在地的人工单价执行。</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（2）材料单价：</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①按开标当期《重庆工程造价信息》发布的项目所在地的信息价执行；</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②开标当期《重庆工程造价信息》中没有的，承包人投标报价中有的，按承包人投标报价中相同材料单价的最低值执行；</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③开标当期《重庆工程造价信息》和承包人投标报价没有的，由承包人申报、监理人会同跟审单位、发包人根据市场行情认质核价确定。（本文中所指的《重庆工程造价信息》均指由重庆市建设工程造价管理总站发布）。材料价格均为不含税价格，包括材料原价、运杂费、运输损耗费、采购及保管费等所有费用，变更中的材料、设备在采购前承包人应将需要认质核价的材料、设备的厂家、技术参数、品牌、质量等级等指标以书面形式报送发包人，发包人收到承包人的书面报告后予以认质、封样、核价后，承包人方可采购进场；对需要认质核价的材料、设备若承包人在发包人核价后5个工作日内，承包人拒绝签字确认发包人核定的价格或拒绝按发包人核定的价格采购的，则该种材料或设备改为第三方供货，发包人收取承包人该类材料或设备费的20%作为违约金，并按发包人实际支付的货款从承包人的进度款中扣除，同时并不解除承包人对工程质量保修责任。</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（3）</w:t>
      </w:r>
      <w:r>
        <w:rPr>
          <w:rFonts w:hint="eastAsia" w:ascii="宋体" w:hAnsi="宋体"/>
          <w:color w:val="auto"/>
          <w:szCs w:val="21"/>
          <w:highlight w:val="none"/>
          <w:u w:val="single"/>
        </w:rPr>
        <w:t>安全文明施工费：按《重庆市建设工程费用定额》（CQFYDE-2018）规定及南岸区相关部门审定的金额结算，不得浮动。安全文明施工综合评定结果为不合格，则不计取。</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（4）规费：</w:t>
      </w:r>
      <w:r>
        <w:rPr>
          <w:rFonts w:hint="eastAsia" w:ascii="宋体" w:hAnsi="宋体"/>
          <w:color w:val="auto"/>
          <w:szCs w:val="21"/>
          <w:highlight w:val="none"/>
          <w:u w:val="single"/>
        </w:rPr>
        <w:t>按规定费率结算，为不可竞争费，按照《重庆市建设工程费用定额》（CQFYDE-2018）所规定费率，不得浮动。</w:t>
      </w:r>
    </w:p>
    <w:p>
      <w:pPr>
        <w:tabs>
          <w:tab w:val="left" w:pos="711"/>
          <w:tab w:val="left" w:pos="2580"/>
        </w:tabs>
        <w:spacing w:line="360" w:lineRule="auto"/>
        <w:ind w:right="105" w:rightChars="50" w:firstLine="420" w:firstLineChars="200"/>
        <w:jc w:val="left"/>
        <w:textAlignment w:val="baseline"/>
        <w:rPr>
          <w:rFonts w:ascii="宋体" w:hAnsi="宋体"/>
          <w:color w:val="auto"/>
          <w:szCs w:val="21"/>
          <w:highlight w:val="none"/>
          <w:u w:val="single"/>
        </w:rPr>
      </w:pPr>
      <w:r>
        <w:rPr>
          <w:rFonts w:hint="eastAsia" w:ascii="宋体" w:hAnsi="宋体"/>
          <w:color w:val="auto"/>
          <w:szCs w:val="21"/>
          <w:highlight w:val="none"/>
        </w:rPr>
        <w:t>（5）</w:t>
      </w:r>
      <w:r>
        <w:rPr>
          <w:rFonts w:hint="eastAsia" w:ascii="宋体" w:hAnsi="宋体"/>
          <w:color w:val="auto"/>
          <w:szCs w:val="21"/>
          <w:highlight w:val="none"/>
          <w:u w:val="single"/>
        </w:rPr>
        <w:t>税金：为不可竞争费用，包含增值税、城市维护建设税、教育费附加、地方教育附加以及环境保护税。按照《重庆市建设工程费用定额》（CQFYDE-2018）、《重庆市城乡建设委员会关于适用增值税新税率调整建设工程计价依据的通知》（渝建〔2019〕143号）所规定费率，不得浮动。包含增值税、城市维护建设税、教育费附加、地方教育附加以及环境保护税。</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企业管理费和利润：按承包人投标报价中相同工程分类的费用标准执行（投标报价中费用标准高于《重庆市建设工程费用定额》（CQFYDE-2018）费用标准的，按《重庆市建设工程费用定额》（CQFYDE-2018）费用标准执行）。</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10.4.1.4已标价工程量清单中无相同项目亦无类似项目，也无定额可套用的，由承包人会同监理人、跟审单位、发包人按相关原则、编制方法编制补充定额（人工、材料、机械基价执行2018年计价定额的基价，2018年计价定额没有的基价，按市场价计），按照第10.4.1.3目约定执行；或参照重庆市场相同工作的市场价格上报监理人，最终价格按承包人、监理人、跟审单位、发包人共同询价确认的价格执行。</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本款补充10.4.3项：</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10.4.3工程变更引起施工方案改变并使措施项目发生变化时，承包人提出调整措施项目费的，应事前将拟实施的方案提交监理人审核报发包人确认，并应详细说明与原方案措施项目相比的变化情况。拟实施的方案经发承包双方确认后执行，并应按照下列规定调整措施项目费：</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w:t>
      </w:r>
      <w:r>
        <w:rPr>
          <w:rFonts w:hint="eastAsia" w:ascii="宋体" w:hAnsi="宋体"/>
          <w:color w:val="auto"/>
          <w:szCs w:val="21"/>
          <w:highlight w:val="none"/>
          <w:u w:val="single"/>
        </w:rPr>
        <w:t>安全文明施工费应按照实际发生变化的措施项目依据现行安全文明施工费计取及管理政策规定及《重庆市建设工程费用定额》（CQFYDE-2018）规定及南岸区相关部门审定的金额执行，不得浮动</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rPr>
        <w:t>（2）</w:t>
      </w:r>
      <w:r>
        <w:rPr>
          <w:rFonts w:hint="eastAsia" w:ascii="宋体" w:hAnsi="宋体"/>
          <w:color w:val="auto"/>
          <w:szCs w:val="21"/>
          <w:highlight w:val="none"/>
          <w:u w:val="single"/>
        </w:rPr>
        <w:t>施工组织措施项目费：无论因设计变更或施工工艺变化等任何因素而引起实际措施费的变化，均按中标清单中相应的施工组织措施项目费率进行结算。</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3）施工技术措施项目费：以项为计量单位的措施项目费（安全文明施工费除外）无论因设计变更或施工工艺变化等任何因素而引起实际措施费的变化，均按中标清单中相应的施工技术措施项目费进行结算；不以项为计量单位的措施项目费应按照实际发生变化的措施项目费按承包人报价浮动率下浮后的金额计算。</w:t>
      </w:r>
      <w:r>
        <w:rPr>
          <w:rFonts w:hint="eastAsia" w:ascii="宋体" w:hAnsi="宋体"/>
          <w:color w:val="auto"/>
          <w:szCs w:val="21"/>
          <w:highlight w:val="none"/>
        </w:rPr>
        <w:t>承包人报价浮动率按下列公式计算：承包人报价浮动率=（1-中标价/最高限价）×100%。</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4）为完成该工程发生的其他措施费由承包人自行考虑纳入投标报价或投标报价比例中，包括但不限于以下其他措施费及发包人委托承包人办理的其他工作费用。由承包人自行承担并纳入投标报价或投标报价比例中的其他措施费用约定如下：</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A）保证工程质量、安全、工期应采取的其他措施费用。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B）承包人施工的临时设施等用地费用。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C）材料及半成品的下车、堆放、仓储保管及多次转运至安装地点等全部费用；施工范围及周边建筑物、构筑物保护费用；与周边单位、居民等其他工作产生的配合及协调管理等费用。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D）办理环卫、噪音、防尘等相关手续的费用（包含《技术标准和要求》中载明的防尘和降噪要求）。本工程建筑垃圾外运（如果有）必须执行市政府2004年第164号文《关于对主城区易撒漏物质实行密闭运输的通知》和2005年渝府令188号《重庆市主城尘污染防治办法》的规定执行。</w:t>
      </w:r>
    </w:p>
    <w:p>
      <w:pPr>
        <w:spacing w:line="360" w:lineRule="auto"/>
        <w:ind w:right="105" w:rightChars="50" w:firstLine="420" w:firstLineChars="200"/>
        <w:jc w:val="left"/>
        <w:rPr>
          <w:color w:val="auto"/>
          <w:highlight w:val="none"/>
        </w:rPr>
      </w:pPr>
      <w:r>
        <w:rPr>
          <w:rFonts w:hint="eastAsia" w:ascii="宋体" w:hAnsi="宋体"/>
          <w:color w:val="auto"/>
          <w:szCs w:val="21"/>
          <w:highlight w:val="none"/>
          <w:u w:val="single"/>
        </w:rPr>
        <w:t>E） 承包人进场装修后，应按照项目实施地点物业管理公司的规定进行相关备案以及登记，并根据物业公司的要求进行相关费用的缴纳。</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（5）如果承包人未事前将拟实施的方案提交给发包人确认，则应视为工程变更不引起措施项目费的调整或承包人放弃调整措施项目费的权利。</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10.5承包人的合理化建议</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承包人提出合理化建议的，应向监理人提交合理化建议说明，说明建议的内容和理由，以及实施该建议对合同价格和（或）工期和（或）工程经济效益的影响。</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监理人审查承包人合理化建议的期限：</w:t>
      </w:r>
      <w:r>
        <w:rPr>
          <w:rFonts w:hint="eastAsia" w:ascii="宋体" w:hAnsi="宋体"/>
          <w:color w:val="auto"/>
          <w:szCs w:val="21"/>
          <w:highlight w:val="none"/>
          <w:u w:val="single"/>
        </w:rPr>
        <w:t>不超过14天</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发包人审批承包人合理化建议的期限：</w:t>
      </w:r>
      <w:r>
        <w:rPr>
          <w:rFonts w:hint="eastAsia" w:ascii="宋体" w:hAnsi="宋体"/>
          <w:color w:val="auto"/>
          <w:szCs w:val="21"/>
          <w:highlight w:val="none"/>
          <w:u w:val="single"/>
        </w:rPr>
        <w:t>不超过14天</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承包人提出的合理化建议降低了合同价格或缩短了工期或者提高了工程经济效益的奖励的方法和金额为：</w:t>
      </w:r>
      <w:r>
        <w:rPr>
          <w:rFonts w:hint="eastAsia" w:ascii="宋体" w:hAnsi="宋体"/>
          <w:color w:val="auto"/>
          <w:szCs w:val="21"/>
          <w:highlight w:val="none"/>
          <w:u w:val="single"/>
        </w:rPr>
        <w:t>/</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10.7 暂估价</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专业工程暂估价：</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eastAsia="zh-CN"/>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单项合同估算价在国家相关法律法规规定必须招标规模以下的，符合可以不招标相关规定的，由承包人采取交钥匙工程模式实施，发包人配合。承包人（需在允许资质范围内）或承包人委托的有资质的专业分包单位实施。费用估价按照第10.4.1项〔变更估价原则〕执行，承包人申报，经监理人、跟审单位、发包人共同审定。审定后根据承包人签订的相关合同（需经监理人、跟审单位、发包人共同确认）约定，由承包人申报，随进度款按与相关单位签订的合同约定一并支付。</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单项合同暂估价在国家相关法律法规规定必须招标规模以上的，需依法必须招标的，由承包人、发包人共同招标确定。</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10.8 暂列金额</w:t>
      </w:r>
    </w:p>
    <w:p>
      <w:pPr>
        <w:autoSpaceDE w:val="0"/>
        <w:autoSpaceDN w:val="0"/>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合同当事人关于暂列金额使用的约定：</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eastAsia="zh-CN"/>
        </w:rPr>
        <w:t xml:space="preserve"> </w:t>
      </w:r>
      <w:r>
        <w:rPr>
          <w:rFonts w:hint="eastAsia" w:ascii="宋体" w:hAnsi="宋体"/>
          <w:color w:val="auto"/>
          <w:szCs w:val="21"/>
          <w:highlight w:val="none"/>
          <w:u w:val="single"/>
          <w:lang w:val="en-US" w:eastAsia="zh-CN"/>
        </w:rPr>
        <w:t xml:space="preserve">                           </w:t>
      </w:r>
      <w:r>
        <w:rPr>
          <w:rFonts w:hint="eastAsia" w:ascii="宋体" w:hAnsi="宋体"/>
          <w:color w:val="auto"/>
          <w:szCs w:val="21"/>
          <w:highlight w:val="none"/>
        </w:rPr>
        <w:t>。</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11. 价格调整</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11.1 市场价格波动引起的调整</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市场价格波动是否调整合同价格的约定：</w:t>
      </w:r>
      <w:r>
        <w:rPr>
          <w:rFonts w:hint="eastAsia" w:ascii="宋体" w:hAnsi="宋体"/>
          <w:color w:val="auto"/>
          <w:szCs w:val="21"/>
          <w:highlight w:val="none"/>
          <w:u w:val="single"/>
        </w:rPr>
        <w:t>合同工期一年以上（含一年），且市场价格波动幅度符合第11.1.1项〔人工费价差调整办法〕和（或）第11.1.2项〔材料费价差调整办法〕约定的，按第11.1.1项〔人工费价差调整办法〕和（或）第11.1.2项〔材料费价差调整办法〕约定调整合同价格；第11.1.1项〔人工费价差调整办法〕和（或）第11.1.2项〔材料费价差调整办法〕约定的调差条件之外的市场价格波动风险不调整合同价格，风险费用由承包人自行考虑后纳入签约合同价格中，包干使用</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因市场价格波动调整合同价格，采用以下</w:t>
      </w:r>
      <w:r>
        <w:rPr>
          <w:rFonts w:hint="eastAsia" w:ascii="宋体" w:hAnsi="宋体"/>
          <w:color w:val="auto"/>
          <w:szCs w:val="21"/>
          <w:highlight w:val="none"/>
          <w:u w:val="single"/>
        </w:rPr>
        <w:t>第3种</w:t>
      </w:r>
      <w:r>
        <w:rPr>
          <w:rFonts w:hint="eastAsia" w:ascii="宋体" w:hAnsi="宋体"/>
          <w:color w:val="auto"/>
          <w:szCs w:val="21"/>
          <w:highlight w:val="none"/>
        </w:rPr>
        <w:t>方式对合同价格进行调整：</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第1种方式：采用价格指数进行价格调整。</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关于各可调因子、定值和变值权重，以及基本价格指数及其来源的约定：</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第2种方式：采用造价信息进行价格调整，调整方法如下：</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11.1.1人工费价差调整办法</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（1）自实际开工时间起至合同约定的工期结束时间止，期间《重庆工程造价信息》发布人工单价的算术平均值较开标当期《重庆工程造价信息》发布的人工单价变化超过</w:t>
      </w:r>
      <w:r>
        <w:rPr>
          <w:rFonts w:hint="eastAsia" w:ascii="宋体" w:hAnsi="宋体"/>
          <w:color w:val="auto"/>
          <w:szCs w:val="21"/>
          <w:highlight w:val="none"/>
          <w:u w:val="single"/>
        </w:rPr>
        <w:t>±5%</w:t>
      </w:r>
      <w:r>
        <w:rPr>
          <w:rFonts w:hint="eastAsia" w:ascii="宋体" w:hAnsi="宋体"/>
          <w:color w:val="auto"/>
          <w:szCs w:val="21"/>
          <w:highlight w:val="none"/>
        </w:rPr>
        <w:t>时，按以下约定调整：</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①已标价工程量清单中载明人工单价不高于开标当期《重庆工程造价信息》发布的人工单价的：按期间《重庆工程造价信息》发布人工单价的算术平均值减去开标当期《重庆工程造价信息》发布的人工单价乘以</w:t>
      </w:r>
      <w:r>
        <w:rPr>
          <w:rFonts w:hint="eastAsia" w:ascii="宋体" w:hAnsi="宋体"/>
          <w:color w:val="auto"/>
          <w:szCs w:val="21"/>
          <w:highlight w:val="none"/>
          <w:u w:val="single"/>
        </w:rPr>
        <w:t>（1±5%）</w:t>
      </w:r>
      <w:r>
        <w:rPr>
          <w:rFonts w:hint="eastAsia" w:ascii="宋体" w:hAnsi="宋体"/>
          <w:color w:val="auto"/>
          <w:szCs w:val="21"/>
          <w:highlight w:val="none"/>
        </w:rPr>
        <w:t>调差。</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②已标价工程量清单中载明人工单价高于开标当期《重庆工程造价信息》发布的人工单价的，按期间《重庆工程造价信息》发布人工单价的算术平均值减去已标价工程量清单中载明人工单价乘以</w:t>
      </w:r>
      <w:r>
        <w:rPr>
          <w:rFonts w:hint="eastAsia" w:ascii="宋体" w:hAnsi="宋体"/>
          <w:color w:val="auto"/>
          <w:szCs w:val="21"/>
          <w:highlight w:val="none"/>
          <w:u w:val="single"/>
        </w:rPr>
        <w:t>（1±5%）</w:t>
      </w:r>
      <w:r>
        <w:rPr>
          <w:rFonts w:hint="eastAsia" w:ascii="宋体" w:hAnsi="宋体"/>
          <w:color w:val="auto"/>
          <w:szCs w:val="21"/>
          <w:highlight w:val="none"/>
        </w:rPr>
        <w:t>调差。</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2）工程量按照第12.3.1项〔计量原则〕约定计算，单位工程的人工消耗量按承包人投标报价的消耗量执行（承包人投标报价的单位工程人工消耗量高于定额单位工程人工消耗量的，按定额单位工程的人工消耗量执行）。</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（3）</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11.1.2 材料费价差调整办法</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可调价差材料：</w:t>
      </w:r>
      <w:r>
        <w:rPr>
          <w:rFonts w:hint="eastAsia" w:ascii="宋体" w:hAnsi="宋体"/>
          <w:color w:val="auto"/>
          <w:szCs w:val="21"/>
          <w:highlight w:val="none"/>
          <w:u w:val="single"/>
        </w:rPr>
        <w:t>水泥、商品砼、碎石、砂、钢筋、型钢、条石、片石、预应力钢绞线、沥青混凝土、水泥稳定碎石拌和料、预拌商品砂浆、砌筑材料等主要材料（可按工程使用的具体材料确定）</w:t>
      </w:r>
      <w:r>
        <w:rPr>
          <w:rFonts w:hint="eastAsia" w:ascii="宋体" w:hAnsi="宋体"/>
          <w:color w:val="auto"/>
          <w:szCs w:val="21"/>
          <w:highlight w:val="none"/>
        </w:rPr>
        <w:t>。</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可调价差材料的价差调整办法如下：</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（1）自实际开工时间起至合同约定的工期结束时间止，期间《重庆工程造价信息》发布的信息价的算术平均值较开标当期《重庆工程造价信息》发布的信息价变化超过</w:t>
      </w:r>
      <w:r>
        <w:rPr>
          <w:rFonts w:hint="eastAsia" w:ascii="宋体" w:hAnsi="宋体"/>
          <w:color w:val="auto"/>
          <w:szCs w:val="21"/>
          <w:highlight w:val="none"/>
          <w:u w:val="single"/>
        </w:rPr>
        <w:t>±5%</w:t>
      </w:r>
      <w:r>
        <w:rPr>
          <w:rFonts w:hint="eastAsia" w:ascii="宋体" w:hAnsi="宋体"/>
          <w:color w:val="auto"/>
          <w:szCs w:val="21"/>
          <w:highlight w:val="none"/>
        </w:rPr>
        <w:t>时，按以下约定调整：</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①已标价工程量清单中载明材料单价不高于开标当期《重庆工程造价信息》发布的信息价的按期间《重庆工程造价信息》发布信息价的算术平均值减去开标当期《重庆工程造价信息》发布的信息价乘以</w:t>
      </w:r>
      <w:r>
        <w:rPr>
          <w:rFonts w:hint="eastAsia" w:ascii="宋体" w:hAnsi="宋体"/>
          <w:color w:val="auto"/>
          <w:szCs w:val="21"/>
          <w:highlight w:val="none"/>
          <w:u w:val="single"/>
        </w:rPr>
        <w:t>（1±5%）</w:t>
      </w:r>
      <w:r>
        <w:rPr>
          <w:rFonts w:hint="eastAsia" w:ascii="宋体" w:hAnsi="宋体"/>
          <w:color w:val="auto"/>
          <w:szCs w:val="21"/>
          <w:highlight w:val="none"/>
        </w:rPr>
        <w:t>调差。</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②已标价工程量清单中载明材料单价高于开标当期《重庆工程造价信息》发布的信息价的，按期间《重庆工程造价信息》发布信息价的算术平均值减去已标价工程量清单中载明材料单价乘以</w:t>
      </w:r>
      <w:r>
        <w:rPr>
          <w:rFonts w:hint="eastAsia" w:ascii="宋体" w:hAnsi="宋体"/>
          <w:color w:val="auto"/>
          <w:szCs w:val="21"/>
          <w:highlight w:val="none"/>
          <w:u w:val="single"/>
        </w:rPr>
        <w:t>（1±5%）</w:t>
      </w:r>
      <w:r>
        <w:rPr>
          <w:rFonts w:hint="eastAsia" w:ascii="宋体" w:hAnsi="宋体"/>
          <w:color w:val="auto"/>
          <w:szCs w:val="21"/>
          <w:highlight w:val="none"/>
        </w:rPr>
        <w:t>调差。</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2）工程量按照第12.3.1项〔计量原则〕约定计算，单位工程的材料消耗量按承包人投标报价的消耗量执行（承包人投标报价的单位工程材料消耗量高于定额单位工程材料消耗量的，按定额单位工程的材料消耗量执行）。</w:t>
      </w:r>
    </w:p>
    <w:p>
      <w:pPr>
        <w:tabs>
          <w:tab w:val="left" w:pos="711"/>
          <w:tab w:val="left" w:pos="2580"/>
        </w:tabs>
        <w:spacing w:line="360" w:lineRule="auto"/>
        <w:ind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（3）</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第3种方式：其他价格调整方式：</w:t>
      </w:r>
      <w:r>
        <w:rPr>
          <w:rFonts w:hint="eastAsia" w:ascii="宋体" w:hAnsi="宋体"/>
          <w:color w:val="auto"/>
          <w:szCs w:val="21"/>
          <w:highlight w:val="none"/>
          <w:u w:val="single"/>
        </w:rPr>
        <w:t xml:space="preserve"> 不调整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11.2 法律变化引起的调整</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项目投标基准日至竣工验收合格之日，国家或相关行政主管部门发布直接影响项目的新法规、新政策、新文件、新标准，属强制执行的，自执行之日执行，由此增减的费用由发包人承担，估价照第10.4.1项〔变更估价原则〕执行；属选择性执行的，发包人与承包人协商解决。</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本条补充11.3款</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11.3 严重不平衡报价引起的调整</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合同履行期间，当按第12.3.1项〔计量原则〕约定确认的完成工程量比已标价工程量清单载明工程量增加超过15%，且发包人发现承包人的已标价工程量清单相关清单子目中有严重不平衡报价的。超过已标价工程量清单载明工程量15%的部分，发包人将对严重不平衡报价的清单子目综合单价进行修正，并按修正综合单价办理竣工结算，修正综合单价按照第10.4.1（3）项〔变更估价原则〕目约定执行</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严重不平衡报价是指：清单子目综合单价与发包人按照第10.4.1（3）项〔变更估价原则〕目约定确定的综合单价相比，高于50%（即严重不平衡报价清单子目综合单价 - 按照第10.4.1（3）项〔变更估价原则〕目约定确定的综合单价）/按照第10.4.1（3）项〔变更估价原则〕目约定确定的综合单价×100%</w:t>
      </w:r>
      <w:r>
        <w:rPr>
          <w:rFonts w:hint="eastAsia" w:ascii="宋体" w:hAnsi="宋体"/>
          <w:color w:val="auto"/>
          <w:szCs w:val="21"/>
          <w:highlight w:val="none"/>
        </w:rPr>
        <w:t>。</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12. 合同价格、计量与支付</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12.1 合同价格形式</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1、单价合同。</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综合单价包含的风险范围：</w:t>
      </w:r>
      <w:r>
        <w:rPr>
          <w:rFonts w:hint="eastAsia" w:ascii="宋体" w:hAnsi="宋体"/>
          <w:color w:val="auto"/>
          <w:szCs w:val="21"/>
          <w:highlight w:val="none"/>
          <w:u w:val="single"/>
        </w:rPr>
        <w:t>包括但不限于为实施和完成合同工程所需的人工费、材料费、施工机具使用费、企业管理费、利润、风险费、施工技术措施项目费、施工组织措施项目费及缺陷修复、室内空气质量检测、装饰地点物业公司收费（如：装修 保证金、弃渣费等）等费用，以及第11.1款〔市场价格波动引起的调整〕约定范围内的市场价格波动风险、政策性文件规定的各项应有费用、招标文件和合同明示或暗示的应由承包人承担的所有责任、义务和风险等所需的费用。</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风险费用的计算方法：</w:t>
      </w:r>
      <w:r>
        <w:rPr>
          <w:rFonts w:hint="eastAsia" w:ascii="宋体" w:hAnsi="宋体"/>
          <w:color w:val="auto"/>
          <w:szCs w:val="21"/>
          <w:highlight w:val="none"/>
          <w:u w:val="single"/>
        </w:rPr>
        <w:t>由承包人自行考虑并计入签约合同价格中，包干使用</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风险范围以外合同价格的调整方法：</w:t>
      </w:r>
      <w:r>
        <w:rPr>
          <w:rFonts w:hint="eastAsia" w:ascii="宋体" w:hAnsi="宋体"/>
          <w:color w:val="auto"/>
          <w:szCs w:val="21"/>
          <w:highlight w:val="none"/>
          <w:u w:val="single"/>
        </w:rPr>
        <w:t>按照合同相关条款约定执行</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2、总价合同。</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总价包含的风险范围：/风险费用的计算方法：</w:t>
      </w:r>
      <w:r>
        <w:rPr>
          <w:rFonts w:hint="eastAsia" w:ascii="宋体" w:hAnsi="宋体"/>
          <w:color w:val="auto"/>
          <w:szCs w:val="21"/>
          <w:highlight w:val="none"/>
          <w:u w:val="single"/>
        </w:rPr>
        <w:t>由承包人自行考虑并计入签约合同价格中，包干使用</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风险范围以外合同价格的调整方法：</w:t>
      </w:r>
      <w:r>
        <w:rPr>
          <w:rFonts w:hint="eastAsia" w:ascii="宋体" w:hAnsi="宋体"/>
          <w:color w:val="auto"/>
          <w:szCs w:val="21"/>
          <w:highlight w:val="none"/>
          <w:u w:val="single"/>
        </w:rPr>
        <w:t>按照合同相关条款约定执行</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3、其他价格方式：</w:t>
      </w:r>
      <w:r>
        <w:rPr>
          <w:rFonts w:hint="eastAsia" w:ascii="宋体" w:hAnsi="宋体"/>
          <w:color w:val="auto"/>
          <w:szCs w:val="21"/>
          <w:highlight w:val="none"/>
          <w:u w:val="single"/>
        </w:rPr>
        <w:t>不采用</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12.2 预付款</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12.2.1 预付款的支付:</w:t>
      </w:r>
      <w:r>
        <w:rPr>
          <w:rFonts w:hint="eastAsia" w:ascii="宋体" w:hAnsi="宋体"/>
          <w:color w:val="auto"/>
          <w:szCs w:val="21"/>
          <w:highlight w:val="none"/>
          <w:u w:val="single"/>
        </w:rPr>
        <w:t>不采用</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预付款支付比例或金额：</w:t>
      </w:r>
      <w:r>
        <w:rPr>
          <w:rFonts w:hint="eastAsia" w:ascii="宋体" w:hAnsi="宋体"/>
          <w:color w:val="auto"/>
          <w:szCs w:val="21"/>
          <w:highlight w:val="none"/>
          <w:u w:val="single"/>
        </w:rPr>
        <w:t xml:space="preserve">  /  </w:t>
      </w:r>
      <w:r>
        <w:rPr>
          <w:rFonts w:hint="eastAsia" w:ascii="宋体" w:hAnsi="宋体"/>
          <w:color w:val="auto"/>
          <w:szCs w:val="21"/>
          <w:highlight w:val="none"/>
        </w:rPr>
        <w:t>（10%~30%）。</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预付款支付期限：预付款担保提交后</w:t>
      </w:r>
      <w:r>
        <w:rPr>
          <w:rFonts w:hint="eastAsia" w:ascii="宋体" w:hAnsi="宋体"/>
          <w:color w:val="auto"/>
          <w:szCs w:val="21"/>
          <w:highlight w:val="none"/>
          <w:u w:val="single"/>
        </w:rPr>
        <w:t xml:space="preserve">   /  </w:t>
      </w:r>
      <w:r>
        <w:rPr>
          <w:rFonts w:hint="eastAsia" w:ascii="宋体" w:hAnsi="宋体"/>
          <w:color w:val="auto"/>
          <w:szCs w:val="21"/>
          <w:highlight w:val="none"/>
        </w:rPr>
        <w:t>天内。</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预付款扣回的方式：承包人完成累计金额达到签约合同金额的30%后，在合同约定的每个计量周期按审核确认的进度款金额的</w:t>
      </w:r>
      <w:r>
        <w:rPr>
          <w:rFonts w:hint="eastAsia" w:ascii="宋体" w:hAnsi="宋体"/>
          <w:color w:val="auto"/>
          <w:szCs w:val="21"/>
          <w:highlight w:val="none"/>
          <w:u w:val="single"/>
        </w:rPr>
        <w:t xml:space="preserve">   /  </w:t>
      </w:r>
      <w:r>
        <w:rPr>
          <w:rFonts w:hint="eastAsia" w:ascii="宋体" w:hAnsi="宋体"/>
          <w:color w:val="auto"/>
          <w:szCs w:val="21"/>
          <w:highlight w:val="none"/>
        </w:rPr>
        <w:t>（为预付款支付比例的2倍）进行扣回，直至预付款全额扣回。</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12.2.2 预付款担保:</w:t>
      </w:r>
      <w:r>
        <w:rPr>
          <w:rFonts w:hint="eastAsia" w:ascii="宋体" w:hAnsi="宋体"/>
          <w:color w:val="auto"/>
          <w:szCs w:val="21"/>
          <w:highlight w:val="none"/>
          <w:u w:val="single"/>
        </w:rPr>
        <w:t>不采用</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承包人提交预付款担保的期限：合同签订后7天内。</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预付款担保的形式为：银行保函。</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预付款担保的金额：</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预付款担保的时间：</w:t>
      </w:r>
      <w:r>
        <w:rPr>
          <w:rFonts w:hint="eastAsia" w:ascii="宋体" w:hAnsi="宋体"/>
          <w:color w:val="auto"/>
          <w:szCs w:val="21"/>
          <w:highlight w:val="none"/>
          <w:u w:val="single"/>
        </w:rPr>
        <w:t xml:space="preserve">   /    </w:t>
      </w:r>
      <w:r>
        <w:rPr>
          <w:rFonts w:hint="eastAsia" w:ascii="宋体" w:hAnsi="宋体"/>
          <w:color w:val="auto"/>
          <w:szCs w:val="21"/>
          <w:highlight w:val="none"/>
        </w:rPr>
        <w:t xml:space="preserve"> 。</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预付款担保的期限：</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预付款担保的退还时间：</w:t>
      </w:r>
      <w:r>
        <w:rPr>
          <w:rFonts w:hint="eastAsia" w:ascii="宋体" w:hAnsi="宋体"/>
          <w:color w:val="auto"/>
          <w:szCs w:val="21"/>
          <w:highlight w:val="none"/>
          <w:u w:val="single"/>
        </w:rPr>
        <w:t xml:space="preserve">    /   </w:t>
      </w:r>
      <w:r>
        <w:rPr>
          <w:rFonts w:hint="eastAsia" w:ascii="宋体" w:hAnsi="宋体"/>
          <w:color w:val="auto"/>
          <w:szCs w:val="21"/>
          <w:highlight w:val="none"/>
        </w:rPr>
        <w:t xml:space="preserve"> 。</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12.3 计量</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12.3.1 计量原则</w:t>
      </w:r>
    </w:p>
    <w:p>
      <w:pPr>
        <w:tabs>
          <w:tab w:val="left" w:pos="1134"/>
        </w:tabs>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工程量按《房屋建筑与装饰工程工程量计算规范》（GB50854-2013）、《仿古建筑工程工程量计算规范》（GB50855-2013）、《通用安装工程工程量计算规范》（GB50856-2013）、《市政工程工程量计算规范》（GB50857-2013）、《园林绿化工程工程量计算规范》（GB50858-2013）、《矿山工程工程量计算规范》（GB50859-2013）、《构筑物工程工程量计算规范》（GB50860-2013）、《城市轨道交通工程工程量计算规范》（GB50861-2013）和《爆破工程工程量计算规范》（GB50862-2013）《重庆市建设工程工程量清单计价规则》（CQJJGZ-2013）、《重庆市建设工程工程量计算规则》（CQJLGZ-2013）等规定的计算规则及已标价工程量清单规定的工程量计算规则计量。</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12.3.2 计量周期</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关于计量周期的约定：</w:t>
      </w:r>
      <w:r>
        <w:rPr>
          <w:rFonts w:hint="eastAsia" w:ascii="宋体" w:hAnsi="宋体"/>
          <w:color w:val="auto"/>
          <w:szCs w:val="21"/>
          <w:highlight w:val="none"/>
          <w:u w:val="single"/>
        </w:rPr>
        <w:t>按月计量根据具体项目实际情况可以按月、按进度、按节点等形式计量，按进度、按节点计量的参考按月计量原则执行）</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12.3.3 单价合同的计量</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关于单价合同计量的约定：</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（1）承包人应于当月25日前向监理人报送上月已完成的工程量，并附进度付款申请单、已完成工程量报表和其他有关资料</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（2）承包人未在已标价的工程量清单中填入单价和（或）总价的子目，视为该子目的费用已包含合同工程的其他子目的单价或总价中，不再另行计量支付</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3）监理人应在收到承包人提交的工程量报表后7天内完成对承包人提交的工程量报表的审核并报送发包人；发包人收到监理人报送资料后且跟审单位出具正式报告后7天内完成审批，以确定当月实际完成的工程量。监理人、跟审单位、发包人任一方对工程量有异议的，均有权要求承包人进行共同复核或抽样复测。承包人应协助监理人、跟审单位进行复核或抽样复测，并按监理人要求提供补充计量资料。承包人未按监理人要求参加复核或抽样复测的，监理人复核或修正的工程量视为承包人实际完成的工程量</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（4）工程量的计量仅作为进度付款和工程施工进度控制的依据，不应认为是承包人履行合同义务完成工程的实际和准确的工程量，实际和准确工程量按竣工图和第12.3.1项〔计量原则〕约定确认的工程量为准</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12.3.4 总价合同的计量</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关于总价合同计量的约定：</w:t>
      </w:r>
      <w:r>
        <w:rPr>
          <w:rFonts w:hint="eastAsia" w:ascii="宋体" w:hAnsi="宋体"/>
          <w:color w:val="auto"/>
          <w:szCs w:val="21"/>
          <w:highlight w:val="none"/>
          <w:u w:val="single"/>
        </w:rPr>
        <w:t>按形象进度比例支付</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12.3.5总价合同采用支付分解表计量支付的，是否适用第12.3.4项〔总价合同的计量〕约定进行计量：</w:t>
      </w:r>
      <w:r>
        <w:rPr>
          <w:rFonts w:hint="eastAsia" w:ascii="宋体" w:hAnsi="宋体"/>
          <w:color w:val="auto"/>
          <w:szCs w:val="21"/>
          <w:highlight w:val="none"/>
          <w:u w:val="single"/>
        </w:rPr>
        <w:t>适用</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12.3.6 其他价格形式合同的计量</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其他价格形式的计量方式和程序：</w:t>
      </w:r>
      <w:r>
        <w:rPr>
          <w:rFonts w:hint="eastAsia" w:ascii="宋体" w:hAnsi="宋体"/>
          <w:color w:val="auto"/>
          <w:szCs w:val="21"/>
          <w:highlight w:val="none"/>
          <w:u w:val="single"/>
        </w:rPr>
        <w:t>不采用</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12.4 工程进度款支付</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12.4.1 付款周期</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关于付款周期的约定：</w:t>
      </w:r>
      <w:r>
        <w:rPr>
          <w:rFonts w:hint="eastAsia" w:ascii="宋体" w:hAnsi="宋体"/>
          <w:color w:val="auto"/>
          <w:szCs w:val="21"/>
          <w:highlight w:val="none"/>
          <w:u w:val="single"/>
        </w:rPr>
        <w:t>按月计量支付进度款（按进度、按节点计量支付进度款的参考按月计量支付进度款原则执行）</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12.4.2 进度付款申请单的编制</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进度付款申请单应包括下列内容：</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（1）截至本次付款周期已完成工作对应的金额</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（2）根据第10条〔变更〕应增加和扣减的已审定变更金额</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（3）根据第15.3款〔质量保证金〕约定应扣减的质量保证金</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（4）根据第19条〔索赔〕应增加和扣减的已审定索赔金额</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（5）根据第11条〔价格调整〕应增加和扣减的价格调整金额</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（6）对已签发的进度款支付证书中出现错误的修正，应在本次进度付款中支付或扣除的金额</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（7）根据合同约定承包人应向发包人支付的违约金</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（8）根据合同约定发包人应向承包人支付的违约金和（或）奖励</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u w:val="single"/>
        </w:rPr>
        <w:t>（9）根据合同约定应增加和扣减的其他金额</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（10）当月应支付的人工费（工资款）金额；</w:t>
      </w:r>
    </w:p>
    <w:p>
      <w:pPr>
        <w:spacing w:line="360" w:lineRule="auto"/>
        <w:ind w:firstLine="420" w:firstLineChars="200"/>
        <w:jc w:val="left"/>
        <w:rPr>
          <w:color w:val="auto"/>
          <w:highlight w:val="none"/>
        </w:rPr>
      </w:pPr>
      <w:r>
        <w:rPr>
          <w:rFonts w:hint="eastAsia" w:ascii="宋体" w:hAnsi="宋体"/>
          <w:color w:val="auto"/>
          <w:szCs w:val="21"/>
          <w:highlight w:val="none"/>
          <w:u w:val="single"/>
        </w:rPr>
        <w:t>（11）其他发包人要求提交的资料</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12.4.3 进度付款申请单的提交</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（1）单价合同进度付款申请单提交的约定：</w:t>
      </w:r>
      <w:r>
        <w:rPr>
          <w:rFonts w:hint="eastAsia" w:ascii="宋体" w:hAnsi="宋体"/>
          <w:color w:val="auto"/>
          <w:szCs w:val="21"/>
          <w:highlight w:val="none"/>
          <w:u w:val="single"/>
        </w:rPr>
        <w:t>按照第12.3.3项〔单价合同的计量〕约定的时间按月向监理人提交，并附上已完成工程量报表、经审核的农民工工资发放的情况说明及有关资料。单价合同中的总价子目按工程形象进度分月计量后汇总列入当期进度付款申请单</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（2）总价合同进度付款申请单提交的约定：</w:t>
      </w:r>
      <w:r>
        <w:rPr>
          <w:rFonts w:hint="eastAsia" w:ascii="宋体" w:hAnsi="宋体"/>
          <w:color w:val="auto"/>
          <w:szCs w:val="21"/>
          <w:highlight w:val="none"/>
          <w:u w:val="single"/>
        </w:rPr>
        <w:t>按照合同约定的形象进度的计量约定的时间向监理人提交，并附上已完成工程量报表、经审核的农民工工资发放的情况说明及有关资料</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（3）其他价格形式合同进度付款申请单提交的约定：</w:t>
      </w:r>
      <w:r>
        <w:rPr>
          <w:rFonts w:hint="eastAsia" w:ascii="宋体" w:hAnsi="宋体"/>
          <w:color w:val="auto"/>
          <w:szCs w:val="21"/>
          <w:highlight w:val="none"/>
          <w:u w:val="single"/>
        </w:rPr>
        <w:t>不采用</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12.4.4 进度款审核和支付</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（1）监理人审查并报送发包人的期限：</w:t>
      </w:r>
      <w:r>
        <w:rPr>
          <w:rFonts w:hint="eastAsia" w:ascii="宋体" w:hAnsi="宋体"/>
          <w:color w:val="auto"/>
          <w:szCs w:val="21"/>
          <w:highlight w:val="none"/>
          <w:u w:val="single"/>
        </w:rPr>
        <w:t>收到完整资料后7天内</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发包人完成审批并签发进度款支付证书的期限：</w:t>
      </w:r>
      <w:r>
        <w:rPr>
          <w:rFonts w:hint="eastAsia" w:ascii="宋体" w:hAnsi="宋体"/>
          <w:color w:val="auto"/>
          <w:szCs w:val="21"/>
          <w:highlight w:val="none"/>
          <w:u w:val="single"/>
        </w:rPr>
        <w:t>发包人收到监理人报送资料且跟审单位出具正式审核报告后14天内完成审批并签发进度款支付证书</w:t>
      </w:r>
      <w:r>
        <w:rPr>
          <w:rFonts w:hint="eastAsia" w:ascii="宋体" w:hAnsi="宋体"/>
          <w:color w:val="auto"/>
          <w:szCs w:val="21"/>
          <w:highlight w:val="none"/>
        </w:rPr>
        <w:t>。</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监理人、跟审单位和发包人中任一方对承包人的进度付款申请单有异议的，均有权要求承包人修正和提供补充资料，承包人应提交修正后的进度付款申请单。监理人应在收到承包人修正后的进度付款申请单及相关资料后7天内完成审查并报送发包人，发包人收到监理人报送资料且跟审单位出具正式报告后14天内完成审批并向承包人签发无异议部分的临时进度款支付证书。存在争议的部分，按照合同约定的争议解决的约定处理。</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发包人签发进度款支付证书或临时进度款支付证书，不表明发包人已同意、批准或接受了承包人完成的相应部分的工作。</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（2）进度款支付：</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①发包人将上月农民工工资支付凭证作为当月进度款支付的前置条件。</w:t>
      </w:r>
    </w:p>
    <w:p>
      <w:p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rPr>
        <w:t>②安全文明施工费：</w:t>
      </w:r>
      <w:r>
        <w:rPr>
          <w:rFonts w:hint="eastAsia" w:ascii="宋体" w:hAnsi="宋体"/>
          <w:color w:val="auto"/>
          <w:szCs w:val="21"/>
          <w:highlight w:val="none"/>
          <w:u w:val="single"/>
        </w:rPr>
        <w:t>合同签订后，发包人在开工前按签约合同价中安全文明施工费的50％支付承包人，用于现场安全文明施工建设，余下安全文明施工费按施工进度支付</w:t>
      </w:r>
      <w:r>
        <w:rPr>
          <w:rFonts w:hint="eastAsia" w:ascii="宋体" w:hAnsi="宋体"/>
          <w:color w:val="auto"/>
          <w:szCs w:val="21"/>
          <w:highlight w:val="none"/>
        </w:rPr>
        <w:t>。</w:t>
      </w:r>
    </w:p>
    <w:p>
      <w:pPr>
        <w:widowControl/>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③每月25日前，承包人提交合格工程量所对应有效的期中支付材料及相关资料，经发包人、监理人、跟审单位审核后，按审定金额的70%于14日内予以支付，且进度款支付的限额不得大于已完成合格工程总产值的70%且不超过合同暂定金额的70%，否则发包人停止支付（如因承包人原因造成施工进度滞后，则付款时间顺延）；发包人委托的全过程造价咨询单位结算审核完成后支付至审核金额的80%；发包人或集团审核完毕后支付至审定金额的97%（不计利息），3%的质保金待缺陷责任期满后无任何质量问题</w:t>
      </w:r>
      <w:r>
        <w:rPr>
          <w:rFonts w:ascii="宋体" w:hAnsi="宋体"/>
          <w:color w:val="auto"/>
          <w:szCs w:val="21"/>
          <w:highlight w:val="none"/>
          <w:u w:val="single"/>
        </w:rPr>
        <w:t>，</w:t>
      </w:r>
      <w:r>
        <w:rPr>
          <w:rFonts w:hint="eastAsia" w:ascii="宋体" w:hAnsi="宋体"/>
          <w:color w:val="auto"/>
          <w:szCs w:val="21"/>
          <w:highlight w:val="none"/>
          <w:u w:val="single"/>
        </w:rPr>
        <w:t>30日内一次性无息支付。</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12.5支付账户</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发包人应将合同价款支付至如下承包人指定的开户银行及银行账户：</w:t>
      </w:r>
    </w:p>
    <w:p>
      <w:pPr>
        <w:spacing w:line="360" w:lineRule="auto"/>
        <w:ind w:firstLine="420" w:firstLineChars="200"/>
        <w:jc w:val="left"/>
        <w:rPr>
          <w:rFonts w:ascii="宋体" w:hAnsi="宋体"/>
          <w:color w:val="auto"/>
          <w:kern w:val="0"/>
          <w:szCs w:val="21"/>
          <w:highlight w:val="none"/>
          <w:u w:val="single"/>
        </w:rPr>
      </w:pPr>
      <w:r>
        <w:rPr>
          <w:rFonts w:hint="eastAsia" w:ascii="宋体" w:hAnsi="宋体"/>
          <w:color w:val="auto"/>
          <w:kern w:val="0"/>
          <w:szCs w:val="21"/>
          <w:highlight w:val="none"/>
        </w:rPr>
        <w:t>收款单位名称：</w:t>
      </w:r>
      <w:r>
        <w:rPr>
          <w:rFonts w:ascii="宋体" w:hAnsi="宋体"/>
          <w:color w:val="auto"/>
          <w:kern w:val="0"/>
          <w:szCs w:val="21"/>
          <w:highlight w:val="none"/>
          <w:u w:val="single"/>
        </w:rPr>
        <w:t xml:space="preserve">   </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收款账号：</w:t>
      </w:r>
      <w:r>
        <w:rPr>
          <w:rFonts w:ascii="宋体" w:hAnsi="宋体"/>
          <w:color w:val="auto"/>
          <w:kern w:val="0"/>
          <w:szCs w:val="21"/>
          <w:highlight w:val="none"/>
          <w:u w:val="single"/>
        </w:rPr>
        <w:t xml:space="preserve"> </w:t>
      </w:r>
      <w:r>
        <w:rPr>
          <w:rFonts w:hint="eastAsia" w:ascii="宋体" w:hAnsi="宋体"/>
          <w:color w:val="auto"/>
          <w:kern w:val="0"/>
          <w:szCs w:val="21"/>
          <w:highlight w:val="none"/>
          <w:u w:val="single"/>
          <w:lang w:val="en-US" w:eastAsia="zh-CN"/>
        </w:rPr>
        <w:t xml:space="preserve">                      </w:t>
      </w:r>
      <w:r>
        <w:rPr>
          <w:rFonts w:hint="eastAsia" w:ascii="宋体" w:hAnsi="宋体"/>
          <w:color w:val="auto"/>
          <w:kern w:val="0"/>
          <w:szCs w:val="21"/>
          <w:highlight w:val="none"/>
          <w:u w:val="single"/>
        </w:rPr>
        <w:t xml:space="preserve"> </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收款开户银行：</w:t>
      </w:r>
      <w:r>
        <w:rPr>
          <w:rFonts w:hint="eastAsia" w:ascii="宋体" w:hAnsi="宋体"/>
          <w:color w:val="auto"/>
          <w:kern w:val="0"/>
          <w:szCs w:val="21"/>
          <w:highlight w:val="none"/>
          <w:u w:val="single"/>
        </w:rPr>
        <w:t xml:space="preserve"> </w:t>
      </w:r>
      <w:r>
        <w:rPr>
          <w:rFonts w:hint="eastAsia" w:ascii="宋体" w:hAnsi="宋体"/>
          <w:color w:val="auto"/>
          <w:kern w:val="0"/>
          <w:szCs w:val="21"/>
          <w:highlight w:val="none"/>
          <w:u w:val="single"/>
          <w:lang w:val="en-US" w:eastAsia="zh-CN"/>
        </w:rPr>
        <w:t xml:space="preserve">                        </w:t>
      </w:r>
      <w:r>
        <w:rPr>
          <w:rFonts w:ascii="宋体" w:hAnsi="宋体"/>
          <w:color w:val="auto"/>
          <w:kern w:val="0"/>
          <w:szCs w:val="21"/>
          <w:highlight w:val="none"/>
          <w:u w:val="single"/>
        </w:rPr>
        <w:t xml:space="preserve"> </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发包人应将人工费（工资款）支付至如下承包人指定的农民工工资专用账户：</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开户银行：</w:t>
      </w:r>
      <w:r>
        <w:rPr>
          <w:rFonts w:hint="eastAsia" w:ascii="宋体" w:hAnsi="宋体"/>
          <w:color w:val="auto"/>
          <w:kern w:val="0"/>
          <w:szCs w:val="21"/>
          <w:highlight w:val="none"/>
          <w:u w:val="single"/>
        </w:rPr>
        <w:t xml:space="preserve"> </w:t>
      </w:r>
      <w:r>
        <w:rPr>
          <w:rFonts w:hint="eastAsia" w:ascii="宋体" w:hAnsi="宋体"/>
          <w:color w:val="auto"/>
          <w:kern w:val="0"/>
          <w:szCs w:val="21"/>
          <w:highlight w:val="none"/>
          <w:u w:val="single"/>
          <w:lang w:val="en-US" w:eastAsia="zh-CN"/>
        </w:rPr>
        <w:t xml:space="preserve">                  </w:t>
      </w:r>
      <w:r>
        <w:rPr>
          <w:rFonts w:hint="eastAsia" w:ascii="宋体" w:hAnsi="宋体"/>
          <w:color w:val="auto"/>
          <w:kern w:val="0"/>
          <w:szCs w:val="21"/>
          <w:highlight w:val="none"/>
          <w:u w:val="single"/>
        </w:rPr>
        <w:t xml:space="preserve">             </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农民工工资专用账户名称：</w:t>
      </w:r>
      <w:r>
        <w:rPr>
          <w:rFonts w:hint="eastAsia" w:ascii="宋体" w:hAnsi="宋体"/>
          <w:color w:val="auto"/>
          <w:kern w:val="0"/>
          <w:szCs w:val="21"/>
          <w:highlight w:val="none"/>
          <w:lang w:val="en-US" w:eastAsia="zh-CN"/>
        </w:rPr>
        <w:t xml:space="preserve">                  </w:t>
      </w:r>
      <w:r>
        <w:rPr>
          <w:rFonts w:hint="eastAsia" w:ascii="宋体" w:hAnsi="宋体"/>
          <w:color w:val="auto"/>
          <w:kern w:val="0"/>
          <w:szCs w:val="21"/>
          <w:highlight w:val="none"/>
          <w:u w:val="single"/>
        </w:rPr>
        <w:t xml:space="preserve"> </w:t>
      </w:r>
      <w:r>
        <w:rPr>
          <w:rFonts w:hint="eastAsia" w:ascii="宋体" w:hAnsi="宋体"/>
          <w:color w:val="auto"/>
          <w:kern w:val="0"/>
          <w:szCs w:val="21"/>
          <w:highlight w:val="none"/>
        </w:rPr>
        <w:t>；</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农民工工资专用账户账号：</w:t>
      </w:r>
      <w:r>
        <w:rPr>
          <w:rFonts w:hint="eastAsia" w:ascii="宋体" w:hAnsi="宋体"/>
          <w:color w:val="auto"/>
          <w:kern w:val="0"/>
          <w:szCs w:val="21"/>
          <w:highlight w:val="none"/>
          <w:u w:val="single"/>
          <w:lang w:val="en-US" w:eastAsia="zh-CN"/>
        </w:rPr>
        <w:t xml:space="preserve">                           </w:t>
      </w:r>
      <w:r>
        <w:rPr>
          <w:rFonts w:hint="eastAsia" w:ascii="宋体" w:hAnsi="宋体"/>
          <w:color w:val="auto"/>
          <w:kern w:val="0"/>
          <w:szCs w:val="21"/>
          <w:highlight w:val="none"/>
          <w:u w:val="single"/>
        </w:rPr>
        <w:t xml:space="preserve"> </w:t>
      </w:r>
      <w:r>
        <w:rPr>
          <w:rFonts w:hint="eastAsia" w:ascii="宋体" w:hAnsi="宋体"/>
          <w:color w:val="auto"/>
          <w:kern w:val="0"/>
          <w:szCs w:val="21"/>
          <w:highlight w:val="none"/>
        </w:rPr>
        <w:t>。</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13. 验收和工程试车</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13.1 分部分项工程验收</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13.1.2 监理人不能按时进行验收时，应提前</w:t>
      </w:r>
      <w:r>
        <w:rPr>
          <w:rFonts w:hint="eastAsia" w:ascii="宋体" w:hAnsi="宋体"/>
          <w:color w:val="auto"/>
          <w:szCs w:val="21"/>
          <w:highlight w:val="none"/>
          <w:u w:val="single"/>
        </w:rPr>
        <w:t>24</w:t>
      </w:r>
      <w:r>
        <w:rPr>
          <w:rFonts w:hint="eastAsia" w:ascii="宋体" w:hAnsi="宋体"/>
          <w:color w:val="auto"/>
          <w:szCs w:val="21"/>
          <w:highlight w:val="none"/>
        </w:rPr>
        <w:t>小时提交书面延期要求。</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关于延期最长不得超过：</w:t>
      </w:r>
      <w:r>
        <w:rPr>
          <w:rFonts w:hint="eastAsia" w:ascii="宋体" w:hAnsi="宋体"/>
          <w:color w:val="auto"/>
          <w:szCs w:val="21"/>
          <w:highlight w:val="none"/>
          <w:u w:val="single"/>
        </w:rPr>
        <w:t>48</w:t>
      </w:r>
      <w:r>
        <w:rPr>
          <w:rFonts w:hint="eastAsia" w:ascii="宋体" w:hAnsi="宋体"/>
          <w:color w:val="auto"/>
          <w:szCs w:val="21"/>
          <w:highlight w:val="none"/>
        </w:rPr>
        <w:t>小时。</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13.2 竣工验收</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13.2.2竣工验收程序</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关于竣工验收程序的约定：工程完工且符合下列条件时，承包人可向发包人提供竣工报告，并要求验收：</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（1）除发包人同意的甩项工作和缺陷修补工作外，合同范围内的全部工程以及有关工作，包括合同要求的试验、试运行以及检验均已完成，并符合合同要求；</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（2）已按合同约定编制了甩项工作和缺陷修补工作清单以及相应的施工计划；</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（3）已按合同约定的内容和份数备齐竣工资料。</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（4）</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工程竣工及竣工资料：</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u w:val="single"/>
        </w:rPr>
        <w:t>（1）发包人应在收到承包人竣工报告后14天内组织设计单位、监理单位、质监等其他部门进行验收，竣工日期以最后一次整改后通过竣工验收的时间为准</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u w:val="single"/>
        </w:rPr>
        <w:t>（2）当工程具备竣工验收条件时，承包人应及时向发包人提交竣工报告及竣工资料、办理移交手续。否则发包人有权依据监理人出具的鉴定结论书，自行组织有关部门验收，并提出整改意见。承包人必须按要求整改，并承担整改费用；如承包人拒绝按发包人提出的要求整改，发包人有权请第三方整改，由此发生的整改费用从未付工程款中扣除，不足部分发包人有权向承包人追偿。当验收通过后具备交付使用条件时，承包人不得以任何借口拒绝移交工程，否则，发包人有权强行使用，但发包人使用并不视为承包人已移交、工程已竣工验收合格，发包人依然有权要求承包人提交竣工报告及竣工资料、办理移交手续。同时，由此发生的一切损失，均由承包人负责</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rPr>
        <w:t>（3）承包人提供竣工资料的约定：</w:t>
      </w:r>
      <w:r>
        <w:rPr>
          <w:rFonts w:hint="eastAsia" w:ascii="宋体" w:hAnsi="宋体"/>
          <w:color w:val="auto"/>
          <w:szCs w:val="21"/>
          <w:highlight w:val="none"/>
          <w:u w:val="single"/>
        </w:rPr>
        <w:t>承包人提供纸质版竣工图三套，电子版竣工图二套（刻光盘）或U盘</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13.2.5 移交、接收全部与部分工程</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rPr>
        <w:t>承包人向发包人移交工程的期限：</w:t>
      </w:r>
      <w:r>
        <w:rPr>
          <w:rFonts w:hint="eastAsia" w:ascii="宋体" w:hAnsi="宋体"/>
          <w:color w:val="auto"/>
          <w:szCs w:val="21"/>
          <w:highlight w:val="none"/>
          <w:u w:val="single"/>
        </w:rPr>
        <w:t>颁发工程接收证书后7天内完成工程的移交</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非因不可抗力和承包人原因，发包人未按合同约定接收全部或部分工程的，违约金的计算方法为：发包人自应当接收工程之日起承担工程照管、成品保护、保管等与工程有关的各项费用。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rPr>
        <w:t>因承包人自身原因未按时移交工程的，违约金的计算方法为：</w:t>
      </w:r>
      <w:r>
        <w:rPr>
          <w:rFonts w:hint="eastAsia" w:ascii="宋体" w:hAnsi="宋体"/>
          <w:color w:val="auto"/>
          <w:szCs w:val="21"/>
          <w:highlight w:val="none"/>
          <w:u w:val="single"/>
        </w:rPr>
        <w:t>承包人应承担工程照管、成品保护、保管等与工程有关的各项费用，并按经审定结算金额的0.5‰/天支付违约金</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13.3 工程试车</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13.3.1 试车程序</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工程试车内容：</w:t>
      </w:r>
      <w:r>
        <w:rPr>
          <w:rFonts w:hint="eastAsia" w:ascii="宋体" w:hAnsi="宋体"/>
          <w:color w:val="auto"/>
          <w:szCs w:val="21"/>
          <w:highlight w:val="none"/>
          <w:u w:val="single"/>
        </w:rPr>
        <w:t>按通用合同条款执行</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（1）单机无负荷试车费用由</w:t>
      </w:r>
      <w:r>
        <w:rPr>
          <w:rFonts w:hint="eastAsia" w:ascii="宋体" w:hAnsi="宋体"/>
          <w:color w:val="auto"/>
          <w:szCs w:val="21"/>
          <w:highlight w:val="none"/>
          <w:u w:val="single"/>
        </w:rPr>
        <w:t>承包人</w:t>
      </w:r>
      <w:r>
        <w:rPr>
          <w:rFonts w:hint="eastAsia" w:ascii="宋体" w:hAnsi="宋体"/>
          <w:color w:val="auto"/>
          <w:szCs w:val="21"/>
          <w:highlight w:val="none"/>
        </w:rPr>
        <w:t>承担；</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（2）无负荷联动试车费用由</w:t>
      </w:r>
      <w:r>
        <w:rPr>
          <w:rFonts w:hint="eastAsia" w:ascii="宋体" w:hAnsi="宋体"/>
          <w:color w:val="auto"/>
          <w:szCs w:val="21"/>
          <w:highlight w:val="none"/>
          <w:u w:val="single"/>
        </w:rPr>
        <w:t>承包人</w:t>
      </w:r>
      <w:r>
        <w:rPr>
          <w:rFonts w:hint="eastAsia" w:ascii="宋体" w:hAnsi="宋体"/>
          <w:color w:val="auto"/>
          <w:szCs w:val="21"/>
          <w:highlight w:val="none"/>
        </w:rPr>
        <w:t>承担。</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13.6 竣工退场</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13.6.1 竣工退场</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rPr>
        <w:t>承包人完成竣工退场的期限：</w:t>
      </w:r>
      <w:r>
        <w:rPr>
          <w:rFonts w:hint="eastAsia" w:ascii="宋体" w:hAnsi="宋体"/>
          <w:color w:val="auto"/>
          <w:szCs w:val="21"/>
          <w:highlight w:val="none"/>
          <w:u w:val="single"/>
        </w:rPr>
        <w:t>工程接收证书颁发后28天内，承包人的施工人员、剩余材料、施工设备和临时工程应完全撤离施工场地并对施工场地进行清理、平整、复原，直至监理人检验合格为止，由此发生的费用已包含在签约合同价内。承包人未在限期内拆除的，发包人可委托其他单位代为拆除，由此发生的费用（发包人可从应付承包人的款项中扣除）由承包人承担，承包人还应按审定结算金额的0.5‰/天的标准向发包人支付违约金。因工程维修需要部分人员必须留在施工现场的，需征得发包人同意</w:t>
      </w:r>
      <w:r>
        <w:rPr>
          <w:rFonts w:hint="eastAsia" w:ascii="宋体" w:hAnsi="宋体"/>
          <w:color w:val="auto"/>
          <w:szCs w:val="21"/>
          <w:highlight w:val="none"/>
        </w:rPr>
        <w:t>。</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14. 竣工结算</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14.1 竣工结算申请</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rPr>
        <w:t>承包人提交竣工结算申请单的期限：</w:t>
      </w:r>
      <w:r>
        <w:rPr>
          <w:rFonts w:hint="eastAsia" w:ascii="宋体" w:hAnsi="宋体"/>
          <w:color w:val="auto"/>
          <w:szCs w:val="21"/>
          <w:highlight w:val="none"/>
          <w:u w:val="single"/>
        </w:rPr>
        <w:t>承包人应在工程竣工验收合格且报送</w:t>
      </w:r>
      <w:r>
        <w:rPr>
          <w:rFonts w:ascii="宋体" w:hAnsi="宋体"/>
          <w:color w:val="auto"/>
          <w:szCs w:val="21"/>
          <w:highlight w:val="none"/>
          <w:u w:val="single"/>
        </w:rPr>
        <w:t>完整工程竣工资料</w:t>
      </w:r>
      <w:r>
        <w:rPr>
          <w:rFonts w:hint="eastAsia" w:ascii="宋体" w:hAnsi="宋体"/>
          <w:color w:val="auto"/>
          <w:szCs w:val="21"/>
          <w:highlight w:val="none"/>
          <w:u w:val="single"/>
        </w:rPr>
        <w:t>之日起28天内向监理人、跟审单位、发包人提交竣工结算申请单，并向发包人报送完整的工程竣工资料及经监理人、跟审单位初审确认的完整的竣工结算资料。监理人、跟审单位或发包人对竣工结算申请单有异议的，应在接到竣工结算申请单后14天内要求承包人进行修正和提供补充资料，承包人在接到监理人、跟审单位或发包人提出的审核意见后，应在28天内按监理人或发包人提出的合理要求补充资料、修改竣工结算资料，并再次提交监理人、跟审单位或发包人审核。承包人未在规定时间内报送竣工结算资料给发包人造成经济损失的，承包人应承担赔偿责任。</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竣工结算申请单包括但不限于以下内容：</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（1）竣工结算合同价格；</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（2）变更增减金额；</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（3）现场签证增减金额；</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（4）索赔增减金额；</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（5）奖励、罚金及违约金；</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（6）发包人已支付承包人的款项；</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（7）应扣留的质量保证金；</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（8）发包人应支付承包人的合同价款。</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（9）其他发包人要求的资料。</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14.2 竣工结算审核</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14.2.1 竣工结算办法</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14.2.1.1计量原则</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rPr>
        <w:t>按照第12.3.1项〔计量原则〕约定执行。</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14.2.1.2计价原则</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（1）承包人严格按照施工图施工，在施工过程中，施工图纸外的所有变化，须经四方签证认可（承包人、监理、发包人、全过程跟踪审计），未签证认可的有效变更不予结算。</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（2）结算总价＝各分部分项工程量清单结算价+措施项目费（除安全文明施工费外）+安全文明施工费+规费+税金+变更部分结算价款±合同约定的其它费用-违约处理金，并以发包人或集团审定金额为准。</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结算原则如下：</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1）各分部分项工程量清单结算价：分部分项工程量清单中子项综合单价×子项工程量。</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①子项工程量：根据施工图和建设单位、监理签证的竣工图，有效签证资料（签字并盖章），按《建设工程工程量清单计价规范》（GB50500-2013）、《重庆市建设工程工程量计算规则》（CQJLGZ-2013）、《园林绿化工程工程量计算规范》（GB 50858-2013）、《市政工程工程量计算规范》（GB50857-2013）、《房屋建筑工程与装饰工程工程量计算规范》（GB50854-2013）、《通用安装工程工程量计算规范》（GB50856-2013）、《重庆市建设工程工程量清单计价规则》（CQJJGZ-2013）约定的计量规则计算的实际合格工程量。</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②子项综合单价为中标清单中的分部分项工程量清单中子项综合单价。</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2）措施费（除安全文明施工费外）：</w:t>
      </w:r>
    </w:p>
    <w:p>
      <w:pPr>
        <w:numPr>
          <w:ilvl w:val="0"/>
          <w:numId w:val="4"/>
        </w:numPr>
        <w:spacing w:line="360" w:lineRule="auto"/>
        <w:ind w:right="105" w:rightChars="50"/>
        <w:jc w:val="left"/>
        <w:rPr>
          <w:rFonts w:ascii="宋体" w:hAnsi="宋体"/>
          <w:color w:val="auto"/>
          <w:szCs w:val="21"/>
          <w:highlight w:val="none"/>
          <w:u w:val="single"/>
        </w:rPr>
      </w:pPr>
      <w:r>
        <w:rPr>
          <w:rFonts w:hint="eastAsia" w:ascii="宋体" w:hAnsi="宋体"/>
          <w:color w:val="auto"/>
          <w:szCs w:val="21"/>
          <w:highlight w:val="none"/>
          <w:u w:val="single"/>
        </w:rPr>
        <w:t>施工组织措施项目费：无论因设计变更或施工工艺变化等任何因素而引起实际措施费的变化，均按中标清单中的施工组织措施项目费用进行结算。</w:t>
      </w:r>
    </w:p>
    <w:p>
      <w:pPr>
        <w:numPr>
          <w:ilvl w:val="0"/>
          <w:numId w:val="4"/>
        </w:num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施工技术措施项目费：中标清单范围内以项为计量单位的措施项目费（安全文明施工费除外）无论因设计变更或施工工艺变化等任何因素而引起实际措施费的变化，均按中标清单的施工技术措施项目费进行结算；不以项为计量单位的措施项目费应按照实际发生变化的措施项目费按承包人报价浮动率下浮后的金额计算。</w:t>
      </w:r>
      <w:r>
        <w:rPr>
          <w:rFonts w:hint="eastAsia" w:ascii="宋体" w:hAnsi="宋体"/>
          <w:color w:val="auto"/>
          <w:szCs w:val="21"/>
          <w:highlight w:val="none"/>
        </w:rPr>
        <w:t>承包人报价浮动率按下列公式计算：承包人报价浮动率=（1-中标价/最高限价）×100%。</w:t>
      </w:r>
    </w:p>
    <w:p>
      <w:pPr>
        <w:numPr>
          <w:ilvl w:val="0"/>
          <w:numId w:val="4"/>
        </w:numPr>
        <w:spacing w:line="360" w:lineRule="auto"/>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为完成该工程发生的其他措施费由承包人自行考虑纳入投标报价或投标报价比例中，包括但不限于以下其他措施费及发包人委托承包人办理的其他工作费用。由承包人自行承担并纳入投标报价或投标报价比例中的其他措施费用约定如下：</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A）保证工程质量、安全、工期应采取的其他措施费用。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B）承包人施工的临时设施等用地费用。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C）材料及半成品的下车、堆放、仓储保管及多次转运至安装地点等全部费用；施工范围及周边建筑物、构筑物保护费用；与周边单位、居民等其他工作产生的配合及协调管理等费用。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D）办理环卫、噪音、防尘等相关手续的费用（包含《技术标准和要求》中载明的防尘和降噪要求）。本工程建筑垃圾外运（如果有）必须执行市政府2004年第164号文《关于对主城区易撒漏物质实行密闭运输的通知》和2005年渝府令188号《重庆市主城尘污染防治办法》的规定执行。</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E） 承包人进场装修后，应按照项目实施地点物业管理公司的规定进行相关备案以及登记，并根据物业公司的要求进行相关费用的缴纳。</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3）安全文明施工费：按《重庆市建设工程费用定额》（CQFYDE-2018）规定及南岸区相关部门审定的金额结算，不得浮动。安全文明施工综合评定结果为不合格，则不计取。</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4）规费：按规定费率结算，为不可竞争费，按照《重庆市建设工程费用定额》（CQFYDE-2018）所规定费率，不得浮动。</w:t>
      </w:r>
    </w:p>
    <w:p>
      <w:pPr>
        <w:tabs>
          <w:tab w:val="left" w:pos="711"/>
          <w:tab w:val="left" w:pos="2580"/>
        </w:tabs>
        <w:spacing w:line="360" w:lineRule="auto"/>
        <w:ind w:right="105" w:rightChars="50" w:firstLine="420" w:firstLineChars="200"/>
        <w:jc w:val="left"/>
        <w:textAlignment w:val="baseline"/>
        <w:rPr>
          <w:rFonts w:ascii="宋体" w:hAnsi="宋体"/>
          <w:color w:val="auto"/>
          <w:szCs w:val="21"/>
          <w:highlight w:val="none"/>
          <w:u w:val="single"/>
        </w:rPr>
      </w:pPr>
      <w:r>
        <w:rPr>
          <w:rFonts w:hint="eastAsia" w:ascii="宋体" w:hAnsi="宋体"/>
          <w:color w:val="auto"/>
          <w:szCs w:val="21"/>
          <w:highlight w:val="none"/>
          <w:u w:val="single"/>
        </w:rPr>
        <w:t>5）税金：为不可竞争费用，包含增值税、城市维护建设税、教育费附加、地方教育附加以及环境保护税。按照《重庆市建设工程费用定额》（CQFYDE-2018）、《重庆市城乡建设委员会关于适用增值税新税率调整建设工程计价依据的通知》（渝建〔2019〕143号）所规定费率，不得浮动。包含增值税、城市维护建设税、教育费附加、地方教育附加以及环境保护税</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6）变更部分结算价款</w:t>
      </w:r>
    </w:p>
    <w:p>
      <w:pPr>
        <w:pStyle w:val="2"/>
        <w:spacing w:line="360" w:lineRule="auto"/>
        <w:ind w:firstLine="420" w:firstLineChars="200"/>
        <w:jc w:val="left"/>
        <w:rPr>
          <w:color w:val="auto"/>
          <w:highlight w:val="none"/>
        </w:rPr>
      </w:pPr>
      <w:r>
        <w:rPr>
          <w:rFonts w:hint="eastAsia" w:ascii="宋体" w:hAnsi="宋体"/>
          <w:color w:val="auto"/>
          <w:szCs w:val="21"/>
          <w:highlight w:val="none"/>
          <w:u w:val="single"/>
        </w:rPr>
        <w:t>按照第10.4.1项〔变更估价原则〕约定执行</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7）本工程如下费用已综合考虑在投标取费比例或投标报价中，中标后发包人不再另行支付。具体如下：</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7.1为保证本工程的合同工期所发生的抢工措施费(如使用砼早强剂、周转材料和机具设备以及人工的大量投入等)，以及抢工状况下的工程质量和安全保证措施费。</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7.2因发包人变更、认质认价不及时造成的停、窝工损失。</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7.3本工程临时施工用地的占用及恢复费(含施工便道、作业场地建设)包括因工程建设需要（如施工便道、作业场地）的占道、设备及材料运输、附着物及青苗补偿、建（构）筑物拆除、道路及重要设施的保护与修复（不低于原标准）、土地租用（如需要）、用地及协调等相关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7.4承包人应充分调查招标工程范围内及周边的现有地方路网并踏勘现场，自行考虑进场道路和施工便道布设方案（含到弃渣场的道路），如使用现有道路造成道路破坏的恢复费用。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7.5承包人施工期间，各种来源的水、场外水流入施工现场所采取的各种排水措施及施工降效等所发生的费用，但不包括承包人获得“合同竣工验收日确认书”之后的抽排水费用。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7.6施工条件的改变包括承包人对施工现场的了解不够等而改变施工组织设计的施工方法所增加的各种费用。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7.7承包人实际发生的安全文明施工费用超出文件规定的安全文明施工费用。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7.8施工中如遇施工场地建筑物(构筑物)等(除专项保护措施外)的探测及保护费用；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7.9与在场其它施工单位配合所发生的施工交叉、挡、停工、安全防护等所增加的费用。由于施工措施或防护不当造成的关联工程问题处理。</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7.10工程竣工验收和工程移交前承包人对整个施工现场各项工程（包括专业分包工程等在内）的安全保卫、成品保护的费用和交工前清理现场达到发包人移交要求而发生的费用，以及因提前提交专业分包工程施工场地和工作面而使承包人所增加的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7.11承包人承担配合工程的配合责任所发生的费用超出本合同规定的费用。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7.12承包人施工用水、电的价格变化价差以及承包人自行解决场内施工用水电设施所发生的费用。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7.13承包人按物业公司的规定办理并取得道路通行权，按要求对道路和交通设施维修、维护、养护和管理，同时承包人还需按有关规定对超大件和超重件运输临时加固改造以及办理相关手续等；承包人应遵守政府有关主管部门和物业公司对施工噪音以及环境保护和安全生产等的管理规定，并按规定办理有关手续；由此发生的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7.14承包人为迎接相关职能、主管部门的检查、参观学习由承包人完成的安全文明措施费用；承包人为发包人、咨询单位等提供的临时办公设施；大门及装饰的费用。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7.15发包人指定水、电接口，施工所需水、电线路由承包人自行向供水、供电部门以及物业公司申请安装，项目完工后由承包人自行拆除和回收，相关费用（设备及安装费、土建费、协调费、拆除和回收费等）综合考虑在投标取费比例报价中，中标后发包人不再另行支付。</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7.16因承包人以及其它原因造成临时设施及围墙、施工道路等二次及多次安拆、搬运、搭设等内容的费用。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7.17承包人施工场地以及相邻出入口的施工道路的维修、场地和道路的排水、维修，宣传工作和标准化的现场制作标牌以及发生的费用。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7.18远地施工增加费、施工机构迁移费，工程施工的周转性材料、中小型机械30公里以上超定额规定运距的费用；材料、设备场内外运输超定额规定运距增加的费用。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7.19夏季高温施工补贴费用《关于建筑工程计取和发放高温补贴费用的通知》渝建发（2013）77号文的相关费用。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7.20编制完成三套以上的施工图、竣工档案以及所有工程的档案汇总及移交费用；工程竣工验收的相关费用）。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7.21本工程定额风险费以外连续停水、停电7天造成承包人增加的费用，发包人不承担任何费用索赔。因市网停水、停电，承包人应自备发电机和储水设备，且其配置的发电机和储水设备应满足工程的需要，承包人不得因市网停水、停电而停工。</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7.22由于施工场地制约导致承包人在场外租用其他场地搭设或租用设施的一切费用(不管何种原因)。</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7.23材料、成品、半成品必须发生的多次搬运费用。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7.24承包人进场后与该栋大楼物业公司之间需要协商并交纳的所有相关费用。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7.25提交室内环境空气质量报告涉及的监测费等，未达到室内环境污染、甲醛释放限量等相关环保标准，所采取的治理、整改等措施费用。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7.26材料设备检验试验、检测、工程质量鉴定、空气检测、消防验收评定所产生的相关费用（包括使用单位要求进行空气治理的相关费用）。</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8 工程一切险和第三方责任险，由承包人自行投保，费用已包含在取费比例中，不再单独结算，并由承包人负责理赔事宜。承包人装备险和承包人职工的（人身）事故险由承包人自行投保，保险费由承包人承担并支付，并包含在取费比例中不再另行结算。</w:t>
      </w:r>
    </w:p>
    <w:p>
      <w:pPr>
        <w:tabs>
          <w:tab w:val="left" w:pos="711"/>
          <w:tab w:val="left" w:pos="2580"/>
        </w:tabs>
        <w:spacing w:line="360" w:lineRule="auto"/>
        <w:ind w:right="105" w:rightChars="50"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（3）其他项目：</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①材料（工程设备）暂估价：</w:t>
      </w:r>
      <w:r>
        <w:rPr>
          <w:rFonts w:hint="eastAsia" w:ascii="宋体" w:hAnsi="宋体"/>
          <w:color w:val="auto"/>
          <w:szCs w:val="21"/>
          <w:highlight w:val="none"/>
          <w:u w:val="single"/>
        </w:rPr>
        <w:t>按照第12.3.1项〔计量原则〕约定及对应定额消耗量确定的数量乘以监理人、跟审单位、发包人根据市场行情认质核价确定的价格进行结算</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②专业工程暂估价：</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u w:val="single"/>
        </w:rPr>
        <w:t>1）对于不属于依法必须招标的暂估价项目：按发包人审定的价格进行结算</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u w:val="single"/>
        </w:rPr>
        <w:t>2）对于依法必须招标的暂估价项目：达到招标规模标准的暂估价内容，包括专业工程暂估价和材料设备暂估价均应招标确定，并按暂估价招标文件约定结算</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u w:val="single"/>
        </w:rPr>
        <w:t>3）总承包服务费：总承包服务费已包含在投标报价或投标比例中包干使用，结算时不作调整且不再计取</w:t>
      </w:r>
      <w:r>
        <w:rPr>
          <w:rFonts w:hint="eastAsia" w:ascii="宋体" w:hAnsi="宋体"/>
          <w:color w:val="auto"/>
          <w:szCs w:val="21"/>
          <w:highlight w:val="none"/>
        </w:rPr>
        <w:t>。</w:t>
      </w:r>
    </w:p>
    <w:p>
      <w:pPr>
        <w:tabs>
          <w:tab w:val="left" w:pos="711"/>
          <w:tab w:val="left" w:pos="2580"/>
        </w:tabs>
        <w:spacing w:line="360" w:lineRule="auto"/>
        <w:ind w:right="105" w:rightChars="50" w:firstLine="420" w:firstLineChars="200"/>
        <w:jc w:val="left"/>
        <w:textAlignment w:val="baseline"/>
        <w:rPr>
          <w:rFonts w:ascii="宋体" w:hAnsi="宋体"/>
          <w:color w:val="auto"/>
          <w:szCs w:val="21"/>
          <w:highlight w:val="none"/>
        </w:rPr>
      </w:pPr>
      <w:r>
        <w:rPr>
          <w:rFonts w:hint="eastAsia" w:ascii="宋体" w:hAnsi="宋体"/>
          <w:color w:val="auto"/>
          <w:szCs w:val="21"/>
          <w:highlight w:val="none"/>
        </w:rPr>
        <w:t>（4）价格调整：</w:t>
      </w:r>
      <w:r>
        <w:rPr>
          <w:rFonts w:hint="eastAsia" w:ascii="宋体" w:hAnsi="宋体"/>
          <w:color w:val="auto"/>
          <w:szCs w:val="21"/>
          <w:highlight w:val="none"/>
          <w:u w:val="single"/>
        </w:rPr>
        <w:t>按照第11条〔价格调整〕约定执行</w:t>
      </w:r>
      <w:r>
        <w:rPr>
          <w:rFonts w:hint="eastAsia" w:ascii="宋体" w:hAnsi="宋体"/>
          <w:color w:val="auto"/>
          <w:szCs w:val="21"/>
          <w:highlight w:val="none"/>
        </w:rPr>
        <w:t>。</w:t>
      </w:r>
    </w:p>
    <w:p>
      <w:pPr>
        <w:tabs>
          <w:tab w:val="left" w:pos="711"/>
          <w:tab w:val="left" w:pos="2580"/>
        </w:tabs>
        <w:spacing w:line="360" w:lineRule="auto"/>
        <w:ind w:right="105" w:rightChars="50" w:firstLine="420" w:firstLineChars="200"/>
        <w:jc w:val="left"/>
        <w:textAlignment w:val="baseline"/>
        <w:rPr>
          <w:rFonts w:ascii="宋体" w:hAnsi="宋体"/>
          <w:color w:val="auto"/>
          <w:szCs w:val="21"/>
          <w:highlight w:val="none"/>
          <w:u w:val="single"/>
        </w:rPr>
      </w:pPr>
      <w:r>
        <w:rPr>
          <w:rFonts w:hint="eastAsia" w:ascii="宋体" w:hAnsi="宋体"/>
          <w:color w:val="auto"/>
          <w:szCs w:val="21"/>
          <w:highlight w:val="none"/>
        </w:rPr>
        <w:t>（5）工程变更、索赔与现场签证：</w:t>
      </w:r>
    </w:p>
    <w:p>
      <w:pPr>
        <w:tabs>
          <w:tab w:val="left" w:pos="711"/>
          <w:tab w:val="left" w:pos="2580"/>
        </w:tabs>
        <w:spacing w:line="360" w:lineRule="auto"/>
        <w:ind w:right="105" w:rightChars="50" w:firstLine="420" w:firstLineChars="200"/>
        <w:jc w:val="left"/>
        <w:textAlignment w:val="baseline"/>
        <w:rPr>
          <w:rFonts w:ascii="宋体" w:hAnsi="宋体"/>
          <w:color w:val="auto"/>
          <w:szCs w:val="21"/>
          <w:highlight w:val="none"/>
          <w:u w:val="single"/>
        </w:rPr>
      </w:pPr>
      <w:r>
        <w:rPr>
          <w:rFonts w:hint="eastAsia" w:ascii="宋体" w:hAnsi="宋体"/>
          <w:color w:val="auto"/>
          <w:szCs w:val="21"/>
          <w:highlight w:val="none"/>
        </w:rPr>
        <w:t>1）工程变更：按照第10.4.1项〔变更估价原则〕约定确定为总价包干的，按审定包干总价计入结算；其余项目按照有效的竣工结算资料和第12.3.1项〔计量原则〕约定确定的工程量乘以相应的按照第10.4.1项〔变更估价原则〕约定确定综合单价来确定该部分结算价。</w:t>
      </w:r>
    </w:p>
    <w:p>
      <w:pPr>
        <w:tabs>
          <w:tab w:val="left" w:pos="711"/>
          <w:tab w:val="left" w:pos="2580"/>
        </w:tabs>
        <w:spacing w:line="360" w:lineRule="auto"/>
        <w:ind w:right="105" w:rightChars="50" w:firstLine="420" w:firstLineChars="200"/>
        <w:jc w:val="left"/>
        <w:textAlignment w:val="baseline"/>
        <w:rPr>
          <w:rFonts w:ascii="宋体" w:hAnsi="宋体"/>
          <w:color w:val="auto"/>
          <w:szCs w:val="21"/>
          <w:highlight w:val="none"/>
          <w:u w:val="single"/>
        </w:rPr>
      </w:pPr>
      <w:r>
        <w:rPr>
          <w:rFonts w:hint="eastAsia" w:ascii="宋体" w:hAnsi="宋体"/>
          <w:color w:val="auto"/>
          <w:szCs w:val="21"/>
          <w:highlight w:val="none"/>
        </w:rPr>
        <w:t>2）索赔：按照第10.4.1项〔变更估价原则〕和第14.2.1项〔竣工结算办法〕约定执行。</w:t>
      </w:r>
    </w:p>
    <w:p>
      <w:pPr>
        <w:tabs>
          <w:tab w:val="left" w:pos="711"/>
          <w:tab w:val="left" w:pos="2580"/>
        </w:tabs>
        <w:spacing w:line="360" w:lineRule="auto"/>
        <w:ind w:right="105" w:rightChars="50" w:firstLine="420" w:firstLineChars="200"/>
        <w:jc w:val="left"/>
        <w:textAlignment w:val="baseline"/>
        <w:rPr>
          <w:rFonts w:ascii="宋体" w:hAnsi="宋体"/>
          <w:color w:val="auto"/>
          <w:szCs w:val="21"/>
          <w:highlight w:val="none"/>
          <w:u w:val="single"/>
        </w:rPr>
      </w:pPr>
      <w:r>
        <w:rPr>
          <w:rFonts w:hint="eastAsia" w:ascii="宋体" w:hAnsi="宋体"/>
          <w:color w:val="auto"/>
          <w:szCs w:val="21"/>
          <w:highlight w:val="none"/>
        </w:rPr>
        <w:t>3）现场签证：按照第10.4.1项〔变更估价原则〕和第14.2.1项〔竣工结算办法〕约定执行。</w:t>
      </w:r>
    </w:p>
    <w:p>
      <w:pPr>
        <w:tabs>
          <w:tab w:val="left" w:pos="711"/>
          <w:tab w:val="left" w:pos="2580"/>
        </w:tabs>
        <w:spacing w:line="360" w:lineRule="auto"/>
        <w:ind w:right="105" w:rightChars="50" w:firstLine="420" w:firstLineChars="200"/>
        <w:jc w:val="left"/>
        <w:textAlignment w:val="baseline"/>
        <w:rPr>
          <w:rFonts w:ascii="宋体" w:hAnsi="宋体"/>
          <w:color w:val="auto"/>
          <w:szCs w:val="21"/>
          <w:highlight w:val="none"/>
          <w:u w:val="single"/>
        </w:rPr>
      </w:pPr>
      <w:r>
        <w:rPr>
          <w:rFonts w:hint="eastAsia" w:ascii="宋体" w:hAnsi="宋体"/>
          <w:color w:val="auto"/>
          <w:szCs w:val="21"/>
          <w:highlight w:val="none"/>
        </w:rPr>
        <w:t>（6）罚金、违约金及其他费用：</w:t>
      </w:r>
      <w:r>
        <w:rPr>
          <w:rFonts w:hint="eastAsia" w:ascii="宋体" w:hAnsi="宋体"/>
          <w:color w:val="auto"/>
          <w:szCs w:val="21"/>
          <w:highlight w:val="none"/>
          <w:u w:val="single"/>
        </w:rPr>
        <w:t>根据合同约定按实进行结算</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14.2.1 竣工结算审核期限</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监理人审核竣工付款申请单的期限：</w:t>
      </w:r>
      <w:r>
        <w:rPr>
          <w:rFonts w:hint="eastAsia" w:ascii="宋体" w:hAnsi="宋体"/>
          <w:color w:val="auto"/>
          <w:szCs w:val="21"/>
          <w:highlight w:val="none"/>
          <w:u w:val="single"/>
        </w:rPr>
        <w:t>不超过 14 日</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发包人审核竣工付款申请单的期限：</w:t>
      </w:r>
      <w:r>
        <w:rPr>
          <w:rFonts w:hint="eastAsia" w:ascii="宋体" w:hAnsi="宋体"/>
          <w:color w:val="auto"/>
          <w:szCs w:val="21"/>
          <w:highlight w:val="none"/>
          <w:u w:val="single"/>
        </w:rPr>
        <w:t>不超过 14 日</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发包人完成竣工付款的期限：跟审完成审核，出具正式报告</w:t>
      </w:r>
      <w:r>
        <w:rPr>
          <w:rFonts w:hint="eastAsia" w:ascii="宋体" w:hAnsi="宋体"/>
          <w:color w:val="auto"/>
          <w:szCs w:val="21"/>
          <w:highlight w:val="none"/>
          <w:u w:val="single"/>
        </w:rPr>
        <w:t>后 14天内</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关于竣工付款证书异议部分复核的方式和程序： 按照第20条〔争议解决〕约定处理。</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14.4 最终结清</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14.4.1 最终结清申请单</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承包人提交最终结清申请单的份数：</w:t>
      </w:r>
      <w:r>
        <w:rPr>
          <w:rFonts w:hint="eastAsia" w:ascii="宋体" w:hAnsi="宋体"/>
          <w:color w:val="auto"/>
          <w:szCs w:val="21"/>
          <w:highlight w:val="none"/>
          <w:u w:val="single"/>
        </w:rPr>
        <w:t>3份</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承包人提交最终结算申请单的期限：</w:t>
      </w:r>
      <w:r>
        <w:rPr>
          <w:rFonts w:hint="eastAsia" w:ascii="宋体" w:hAnsi="宋体"/>
          <w:color w:val="auto"/>
          <w:szCs w:val="21"/>
          <w:highlight w:val="none"/>
          <w:u w:val="single"/>
        </w:rPr>
        <w:t>缺陷责任期终止证书颁发后14天内</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14.4.2 最终结清证书和支付</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（1）发包人完成最终结清申请单的审批并颁发最终结清证书的期限：</w:t>
      </w:r>
      <w:r>
        <w:rPr>
          <w:rFonts w:hint="eastAsia" w:ascii="宋体" w:hAnsi="宋体"/>
          <w:color w:val="auto"/>
          <w:szCs w:val="21"/>
          <w:highlight w:val="none"/>
          <w:u w:val="single"/>
        </w:rPr>
        <w:t>发包人收到完整资料后14天内完成审批并颁发最终结清证书</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（2）发包人完成支付的期限：</w:t>
      </w:r>
      <w:r>
        <w:rPr>
          <w:rFonts w:hint="eastAsia" w:ascii="宋体" w:hAnsi="宋体"/>
          <w:color w:val="auto"/>
          <w:szCs w:val="21"/>
          <w:highlight w:val="none"/>
          <w:u w:val="single"/>
        </w:rPr>
        <w:t>颁发最终结清证书后14天内</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本条补充14.5款：</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14.5 逾期办理或不配合办理竣工结算的处理</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有下列情形之一的，视为承包人放弃与发包人共同办理竣工结算的权利，发包人有权会同跟审单位、监理人根据有效资料共同确定竣工结算金额。</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（1）承包人逾期未报送竣工结算资料，亦未获得发包人批准延期报送，经发包人两次书面催告仍未在限期内报送的；</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承包人在接到监理人或发包人对竣工结算申请单提出的审核意见后，未在限期内按监理人或发包人提出的合理要求补充资料和（或）修改竣工结算资料，亦未获得发包人批准延期报送，经发包人两次书面催告仍未在限期内报送的；</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（3）承包人不配合发包人、跟审单位、监理人、发包人委托的工程造价咨询服务单位办理竣工结算的，经发包人两次书面函告仍未改正的。</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（4）</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发包人应在竣工结算定案表确定后28天内，以书面形式将竣工结算定案表函告承包人，该定案表自送达之日起生效。该书面资料应采用直接送达方式送达，双方应办理书面签收手续，承包人实际签收日期为送达之日；若承包人拒绝签收的，视为已经送达，以该书面资料载明的签发日期为送达之日</w:t>
      </w:r>
      <w:r>
        <w:rPr>
          <w:rFonts w:hint="eastAsia" w:ascii="宋体" w:hAnsi="宋体"/>
          <w:color w:val="auto"/>
          <w:szCs w:val="21"/>
          <w:highlight w:val="none"/>
        </w:rPr>
        <w:t>。</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15. 缺陷责任期与保修</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15.3 质量保证金</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15.3.1 承包人提供质量保证金的方式</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质量保证金采用以下第</w:t>
      </w:r>
      <w:r>
        <w:rPr>
          <w:rFonts w:hint="eastAsia" w:ascii="宋体" w:hAnsi="宋体"/>
          <w:color w:val="auto"/>
          <w:szCs w:val="21"/>
          <w:highlight w:val="none"/>
          <w:u w:val="single"/>
        </w:rPr>
        <w:t xml:space="preserve">  （2）  </w:t>
      </w:r>
      <w:r>
        <w:rPr>
          <w:rFonts w:hint="eastAsia" w:ascii="宋体" w:hAnsi="宋体"/>
          <w:color w:val="auto"/>
          <w:szCs w:val="21"/>
          <w:highlight w:val="none"/>
        </w:rPr>
        <w:t>种方式：</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（1）质量保证金保函</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u w:val="single"/>
        </w:rPr>
        <w:t>1）按招标文件载明的格式或发包人认可的格式向发包人提交不可撤销的见索即付银行保函</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2）出具保函的银行级别：</w:t>
      </w:r>
      <w:r>
        <w:rPr>
          <w:rFonts w:hint="eastAsia" w:ascii="宋体" w:hAnsi="宋体"/>
          <w:color w:val="auto"/>
          <w:szCs w:val="21"/>
          <w:highlight w:val="none"/>
          <w:u w:val="single"/>
        </w:rPr>
        <w:t>地市级及以上国家政策性银行或股份制商业银行的支行或其上级银行</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3）保函金额为：</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4）提交时间：</w:t>
      </w:r>
      <w:r>
        <w:rPr>
          <w:rFonts w:hint="eastAsia" w:ascii="宋体" w:hAnsi="宋体"/>
          <w:color w:val="auto"/>
          <w:szCs w:val="21"/>
          <w:highlight w:val="none"/>
          <w:u w:val="single"/>
        </w:rPr>
        <w:t>工程竣工验收合格后14天内</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u w:val="single"/>
        </w:rPr>
        <w:t>承包人提交质量保证金保函的，发包人应同时退还（若有）扣留的作为质量保证金的工程价款、履约担保、低价风险担保；保函金额不得超过工程价款结算总额的3%</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（2）竣工结算价的</w:t>
      </w:r>
      <w:r>
        <w:rPr>
          <w:rFonts w:hint="eastAsia" w:ascii="宋体" w:hAnsi="宋体"/>
          <w:color w:val="auto"/>
          <w:szCs w:val="21"/>
          <w:highlight w:val="none"/>
          <w:u w:val="single"/>
        </w:rPr>
        <w:t xml:space="preserve"> 3% </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（3）其他方式：</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15.3.2 质量保证金的扣留</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质量保证金的扣留采取以下第</w:t>
      </w:r>
      <w:r>
        <w:rPr>
          <w:rFonts w:hint="eastAsia" w:ascii="宋体" w:hAnsi="宋体"/>
          <w:color w:val="auto"/>
          <w:szCs w:val="21"/>
          <w:highlight w:val="none"/>
          <w:u w:val="single"/>
        </w:rPr>
        <w:t xml:space="preserve">  （2）  </w:t>
      </w:r>
      <w:r>
        <w:rPr>
          <w:rFonts w:hint="eastAsia" w:ascii="宋体" w:hAnsi="宋体"/>
          <w:color w:val="auto"/>
          <w:szCs w:val="21"/>
          <w:highlight w:val="none"/>
        </w:rPr>
        <w:t>种方式：</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（1）在支付工程进度款时逐次扣留，在此情形下，质量保证金的计算基数不包括预付款的支付、扣回以及价格调整的金额；</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（2）工程竣工结算时一次性扣留质量保证金；</w:t>
      </w:r>
    </w:p>
    <w:p>
      <w:pPr>
        <w:autoSpaceDE w:val="0"/>
        <w:autoSpaceDN w:val="0"/>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rPr>
        <w:t>（3）</w:t>
      </w:r>
      <w:r>
        <w:rPr>
          <w:rFonts w:hint="eastAsia" w:ascii="宋体" w:hAnsi="宋体"/>
          <w:color w:val="auto"/>
          <w:szCs w:val="21"/>
          <w:highlight w:val="none"/>
          <w:u w:val="single"/>
        </w:rPr>
        <w:t xml:space="preserve">其他扣留方式：        </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15.3.3质量保证金的退还</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（1）在发包人颁发缺陷责任期终止证书之日起30天内退还。</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（2）缺陷责任期内，承包人认真履行合同约定的责任，到期后，承包人可向发包人申请返还质量保证金。</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（3）质量保证金是否支付利息采取以下</w:t>
      </w:r>
      <w:r>
        <w:rPr>
          <w:rFonts w:hint="eastAsia" w:ascii="宋体" w:hAnsi="宋体"/>
          <w:color w:val="auto"/>
          <w:szCs w:val="21"/>
          <w:highlight w:val="none"/>
          <w:u w:val="single"/>
        </w:rPr>
        <w:t>第②种</w:t>
      </w:r>
      <w:r>
        <w:rPr>
          <w:rFonts w:hint="eastAsia" w:ascii="宋体" w:hAnsi="宋体"/>
          <w:color w:val="auto"/>
          <w:szCs w:val="21"/>
          <w:highlight w:val="none"/>
        </w:rPr>
        <w:t>方式：</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u w:val="single"/>
        </w:rPr>
        <w:t>①按照中国人民银行  年  月公布的5年期贷款市场报价利率支付利息</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u w:val="single"/>
        </w:rPr>
        <w:t>②不采用</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15.4 保修</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15.4.1 保修责任</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工程保修期为：按照附件1《工程质量保修书》的规定执行。</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15.4.3 修复通知</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承包人收到保修通知并到达工程现场的合理时间：</w:t>
      </w:r>
      <w:r>
        <w:rPr>
          <w:rFonts w:hint="eastAsia" w:ascii="宋体" w:hAnsi="宋体"/>
          <w:color w:val="auto"/>
          <w:szCs w:val="21"/>
          <w:highlight w:val="none"/>
          <w:u w:val="single"/>
        </w:rPr>
        <w:t xml:space="preserve"> 2小时内，最长不能超过4小时</w:t>
      </w:r>
      <w:r>
        <w:rPr>
          <w:rFonts w:hint="eastAsia" w:ascii="宋体" w:hAnsi="宋体"/>
          <w:color w:val="auto"/>
          <w:szCs w:val="21"/>
          <w:highlight w:val="none"/>
        </w:rPr>
        <w:t>。</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16. 违约</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16.1 发包人违约</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16.1.1 发包人违约的情形</w:t>
      </w:r>
    </w:p>
    <w:p>
      <w:pPr>
        <w:spacing w:line="360" w:lineRule="auto"/>
        <w:ind w:firstLine="420" w:firstLineChars="200"/>
        <w:rPr>
          <w:rFonts w:ascii="宋体" w:hAnsi="宋体"/>
          <w:color w:val="auto"/>
          <w:szCs w:val="21"/>
          <w:highlight w:val="none"/>
        </w:rPr>
      </w:pPr>
      <w:r>
        <w:rPr>
          <w:rFonts w:hint="eastAsia" w:ascii="宋体" w:hAnsi="宋体" w:cs="Microsoft Sans Serif"/>
          <w:color w:val="auto"/>
          <w:kern w:val="0"/>
          <w:szCs w:val="21"/>
          <w:highlight w:val="none"/>
        </w:rPr>
        <w:t>除通用合同条款约定外，发包人违约的其他情形：</w:t>
      </w:r>
    </w:p>
    <w:p>
      <w:pPr>
        <w:spacing w:line="360" w:lineRule="auto"/>
        <w:ind w:firstLine="420" w:firstLineChars="200"/>
        <w:rPr>
          <w:rFonts w:ascii="宋体" w:hAnsi="宋体"/>
          <w:color w:val="auto"/>
          <w:szCs w:val="21"/>
          <w:highlight w:val="none"/>
        </w:rPr>
      </w:pPr>
      <w:r>
        <w:rPr>
          <w:rFonts w:hint="eastAsia" w:ascii="宋体" w:hAnsi="宋体" w:cs="Microsoft Sans Serif"/>
          <w:color w:val="auto"/>
          <w:kern w:val="0"/>
          <w:szCs w:val="21"/>
          <w:highlight w:val="none"/>
        </w:rPr>
        <w:t>（1）根据专用合同条款7.5.1项因发包人原因导致工期延误的；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（4）根据5.3.3发包人或监理人要求重新检查的，经检查证明工程质量符合合同要求的，并由此延误的工期的；</w:t>
      </w:r>
    </w:p>
    <w:p>
      <w:pPr>
        <w:pStyle w:val="65"/>
        <w:spacing w:line="360" w:lineRule="auto"/>
        <w:jc w:val="left"/>
        <w:rPr>
          <w:rFonts w:ascii="宋体" w:hAnsi="宋体" w:cs="Microsoft Sans Serif"/>
          <w:color w:val="auto"/>
          <w:kern w:val="0"/>
          <w:sz w:val="21"/>
          <w:szCs w:val="21"/>
          <w:highlight w:val="none"/>
        </w:rPr>
      </w:pPr>
      <w:r>
        <w:rPr>
          <w:rFonts w:hint="eastAsia" w:ascii="宋体" w:hAnsi="宋体" w:cs="Microsoft Sans Serif"/>
          <w:color w:val="auto"/>
          <w:kern w:val="0"/>
          <w:sz w:val="21"/>
          <w:szCs w:val="21"/>
          <w:highlight w:val="none"/>
        </w:rPr>
        <w:t>（7）因发包人原因导致工程无法按期办理竣工验收的；</w:t>
      </w:r>
    </w:p>
    <w:p>
      <w:pPr>
        <w:pStyle w:val="65"/>
        <w:spacing w:line="360" w:lineRule="auto"/>
        <w:jc w:val="left"/>
        <w:rPr>
          <w:rFonts w:ascii="宋体" w:hAnsi="宋体" w:cs="Microsoft Sans Serif"/>
          <w:color w:val="auto"/>
          <w:kern w:val="0"/>
          <w:sz w:val="21"/>
          <w:szCs w:val="21"/>
          <w:highlight w:val="none"/>
        </w:rPr>
      </w:pPr>
      <w:r>
        <w:rPr>
          <w:rFonts w:hint="eastAsia" w:ascii="宋体" w:hAnsi="宋体" w:cs="Microsoft Sans Serif"/>
          <w:color w:val="auto"/>
          <w:kern w:val="0"/>
          <w:sz w:val="21"/>
          <w:szCs w:val="21"/>
          <w:highlight w:val="none"/>
        </w:rPr>
        <w:t>（8）发包人无正当理由未按约定退还履约担保、低价风险担保、预付款担保或质量保证金的；</w:t>
      </w:r>
    </w:p>
    <w:p>
      <w:pPr>
        <w:pStyle w:val="65"/>
        <w:spacing w:line="360" w:lineRule="auto"/>
        <w:jc w:val="left"/>
        <w:rPr>
          <w:rFonts w:ascii="宋体" w:hAnsi="宋体" w:cs="Microsoft Sans Serif"/>
          <w:color w:val="auto"/>
          <w:kern w:val="0"/>
          <w:sz w:val="21"/>
          <w:szCs w:val="21"/>
          <w:highlight w:val="none"/>
        </w:rPr>
      </w:pPr>
      <w:r>
        <w:rPr>
          <w:rFonts w:hint="eastAsia" w:ascii="宋体" w:hAnsi="宋体" w:cs="Microsoft Sans Serif"/>
          <w:color w:val="auto"/>
          <w:kern w:val="0"/>
          <w:sz w:val="21"/>
          <w:szCs w:val="21"/>
          <w:highlight w:val="none"/>
        </w:rPr>
        <w:t>（9）发包人不当提取履约担保、低价风险担保或质量保证金的；</w:t>
      </w:r>
    </w:p>
    <w:p>
      <w:pPr>
        <w:snapToGrid w:val="0"/>
        <w:spacing w:line="360" w:lineRule="auto"/>
        <w:ind w:firstLine="420" w:firstLineChars="200"/>
        <w:jc w:val="left"/>
        <w:rPr>
          <w:rFonts w:ascii="宋体" w:hAnsi="宋体" w:cs="Microsoft Sans Serif"/>
          <w:color w:val="auto"/>
          <w:kern w:val="0"/>
          <w:szCs w:val="21"/>
          <w:highlight w:val="none"/>
          <w:u w:val="single"/>
        </w:rPr>
      </w:pPr>
      <w:r>
        <w:rPr>
          <w:rFonts w:hint="eastAsia" w:ascii="宋体" w:hAnsi="宋体" w:cs="Microsoft Sans Serif"/>
          <w:color w:val="auto"/>
          <w:kern w:val="0"/>
          <w:szCs w:val="21"/>
          <w:highlight w:val="none"/>
          <w:u w:val="single"/>
        </w:rPr>
        <w:t xml:space="preserve">（12）其他：        </w:t>
      </w:r>
      <w:r>
        <w:rPr>
          <w:rFonts w:hint="eastAsia" w:ascii="宋体" w:hAnsi="宋体" w:cs="Microsoft Sans Serif"/>
          <w:color w:val="auto"/>
          <w:kern w:val="0"/>
          <w:szCs w:val="21"/>
          <w:highlight w:val="none"/>
        </w:rPr>
        <w:t>。</w:t>
      </w:r>
    </w:p>
    <w:p>
      <w:pPr>
        <w:pStyle w:val="65"/>
        <w:spacing w:line="360" w:lineRule="auto"/>
        <w:rPr>
          <w:rFonts w:ascii="宋体" w:hAnsi="宋体"/>
          <w:color w:val="auto"/>
          <w:sz w:val="21"/>
          <w:szCs w:val="21"/>
          <w:highlight w:val="none"/>
        </w:rPr>
      </w:pPr>
      <w:r>
        <w:rPr>
          <w:rFonts w:hint="eastAsia" w:ascii="宋体" w:hAnsi="宋体"/>
          <w:color w:val="auto"/>
          <w:sz w:val="21"/>
          <w:szCs w:val="21"/>
          <w:highlight w:val="none"/>
        </w:rPr>
        <w:t>16.1.2发包人违约的责任</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（1）因发包人原因未能及时办理完毕前述许可、批准或备案的违约责任：由发包人承担由此顺延工期，具体索赔程序按照第19条〔索赔〕约定执行。</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（2）因监理人未能按合同约定发出指示、指示延误或发出了错误指示而导致承包人工期延误的，由发包人承担由此顺延工期，具体索赔程序按照第19条〔索赔〕约定执行。</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（3）因发包人原因导致工期延误的违约责任：由发包人承担由此顺延工期，具体索赔程序按照第19条〔索赔〕约定执行。</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（4）因发包人原因未能在计划开工日期前7天内下达开工通知的违约责任：由发包人承担由此顺延工期，具体索赔程序按照第19条〔索赔〕约定执行。</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（5）根据5.3.3项发包人或监理人要求重新检查的，经检查证明工程质量符合合同要求的，由发包人承担由此顺延工期，具体索赔程序按照第19条〔索赔〕约定执行。</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8）发包人提供的基准资料错误并导致承包人测量放线工作返工或造成工程损失的，以及发包人提供的材料、工程设备的规格、数量或质量不符合合同约定，或因发包人原因导致交货日期延误或交货地点变更等情况的违约责任：由发包人承担由此顺延工期，具体索赔程序按照第19条〔索赔〕约定执行。</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（9）因发包人原因造成工程质量未达到合同约定标准的，由发包人承担由此延误的工期。</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（10）因发包人违反合同约定造成暂停施工的违约责任：由发包人承担由此顺延工期，具体索赔程序按照第19条〔索赔〕约定执行。</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（11）发包人无正当理由没有在约定期限内发出复工指示，导致承包人无法复工的违约责任：由发包人承担由此顺延工期，具体索赔程序按照第19条〔索赔〕约定执行。</w:t>
      </w:r>
    </w:p>
    <w:p>
      <w:pPr>
        <w:spacing w:line="360" w:lineRule="auto"/>
        <w:ind w:firstLine="420" w:firstLineChars="200"/>
        <w:jc w:val="left"/>
        <w:rPr>
          <w:rFonts w:ascii="宋体" w:hAnsi="宋体" w:cs="Microsoft Sans Serif"/>
          <w:color w:val="auto"/>
          <w:kern w:val="0"/>
          <w:szCs w:val="21"/>
          <w:highlight w:val="none"/>
          <w:u w:val="single"/>
        </w:rPr>
      </w:pPr>
      <w:r>
        <w:rPr>
          <w:rFonts w:hint="eastAsia" w:ascii="宋体" w:hAnsi="宋体" w:cs="Microsoft Sans Serif"/>
          <w:color w:val="auto"/>
          <w:kern w:val="0"/>
          <w:szCs w:val="21"/>
          <w:highlight w:val="none"/>
        </w:rPr>
        <w:t>（12）因发包人原因导致工程无法按期办理竣工验收或竣工结算的违约责任：由发包人承担由此顺延工期，具体索赔程序按照第19条〔索赔〕约定执行。</w:t>
      </w:r>
    </w:p>
    <w:p>
      <w:pPr>
        <w:spacing w:line="360" w:lineRule="auto"/>
        <w:ind w:firstLine="420" w:firstLineChars="200"/>
        <w:jc w:val="left"/>
        <w:rPr>
          <w:color w:val="auto"/>
          <w:highlight w:val="none"/>
        </w:rPr>
      </w:pPr>
      <w:r>
        <w:rPr>
          <w:rFonts w:hint="eastAsia" w:ascii="宋体" w:hAnsi="宋体"/>
          <w:color w:val="auto"/>
          <w:szCs w:val="21"/>
          <w:highlight w:val="none"/>
        </w:rPr>
        <w:t>（13）</w:t>
      </w:r>
      <w:r>
        <w:rPr>
          <w:rFonts w:hint="eastAsia" w:ascii="宋体" w:hAnsi="宋体" w:cs="Microsoft Sans Serif"/>
          <w:color w:val="auto"/>
          <w:kern w:val="0"/>
          <w:szCs w:val="21"/>
          <w:highlight w:val="none"/>
        </w:rPr>
        <w:t>发包人无正当理由未按约定退还履约担保、低价风险担保、预付款担保或质量保证金的违约责任：发包人应向承包人支付违约金，自应当退还之日起28天后开始计算违约金，</w:t>
      </w:r>
      <w:r>
        <w:rPr>
          <w:rFonts w:hint="eastAsia" w:ascii="宋体" w:hAnsi="宋体" w:cs="Microsoft Sans Serif"/>
          <w:color w:val="auto"/>
          <w:kern w:val="0"/>
          <w:szCs w:val="21"/>
          <w:highlight w:val="none"/>
          <w:u w:val="single"/>
        </w:rPr>
        <w:t>计算公式：违约金=应退未退担保金额×中国人民银行  年  月公布的5年期贷款市场报价利率/360天×逾期天数</w:t>
      </w:r>
      <w:r>
        <w:rPr>
          <w:rFonts w:hint="eastAsia" w:ascii="宋体" w:hAnsi="宋体"/>
          <w:color w:val="auto"/>
          <w:szCs w:val="21"/>
          <w:highlight w:val="none"/>
          <w:u w:val="single"/>
        </w:rPr>
        <w:t>（自第29天起计算）</w:t>
      </w:r>
      <w:r>
        <w:rPr>
          <w:rFonts w:hint="eastAsia" w:ascii="宋体" w:hAnsi="宋体" w:cs="Microsoft Sans Serif"/>
          <w:color w:val="auto"/>
          <w:kern w:val="0"/>
          <w:szCs w:val="21"/>
          <w:highlight w:val="none"/>
        </w:rPr>
        <w:t>。</w:t>
      </w:r>
    </w:p>
    <w:p>
      <w:pPr>
        <w:pStyle w:val="2"/>
        <w:spacing w:after="0" w:line="360" w:lineRule="auto"/>
        <w:ind w:firstLine="420" w:firstLineChars="200"/>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（14）</w:t>
      </w:r>
      <w:r>
        <w:rPr>
          <w:rFonts w:hint="eastAsia" w:ascii="宋体" w:hAnsi="宋体"/>
          <w:color w:val="auto"/>
          <w:szCs w:val="21"/>
          <w:highlight w:val="none"/>
        </w:rPr>
        <w:t>发包人不当提取履约担保、低价风险担保、预付款担保或质量保证金的，应及时予以退还，若不当提取超过28天的，应承担违约责任：发包人应向承包人支付违约金，</w:t>
      </w:r>
      <w:r>
        <w:rPr>
          <w:rFonts w:hint="eastAsia" w:ascii="宋体" w:hAnsi="宋体"/>
          <w:color w:val="auto"/>
          <w:szCs w:val="21"/>
          <w:highlight w:val="none"/>
          <w:u w:val="single"/>
        </w:rPr>
        <w:t>计算公式：违约金=不当提取的担保金额×中国人民银行  年  月公布的5年期贷款市场报价利率/360天×逾期天数（自第29天起计算）</w:t>
      </w:r>
      <w:r>
        <w:rPr>
          <w:rFonts w:hint="eastAsia" w:ascii="宋体" w:hAnsi="宋体"/>
          <w:color w:val="auto"/>
          <w:szCs w:val="21"/>
          <w:highlight w:val="none"/>
        </w:rPr>
        <w:t>。</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（16）由于发包人原因对承包人造成的人员人身伤亡和财产损失的，由发包人负责赔偿，并承担由此延误的工期。</w:t>
      </w:r>
    </w:p>
    <w:p>
      <w:pPr>
        <w:spacing w:line="360" w:lineRule="auto"/>
        <w:ind w:firstLine="420" w:firstLineChars="200"/>
        <w:jc w:val="left"/>
        <w:rPr>
          <w:rFonts w:ascii="宋体" w:hAnsi="宋体" w:cs="Microsoft Sans Serif"/>
          <w:color w:val="auto"/>
          <w:kern w:val="0"/>
          <w:szCs w:val="21"/>
          <w:highlight w:val="none"/>
        </w:rPr>
      </w:pP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（18）其他：</w:t>
      </w:r>
      <w:r>
        <w:rPr>
          <w:rFonts w:hint="eastAsia" w:ascii="宋体" w:hAnsi="宋体" w:cs="Microsoft Sans Serif"/>
          <w:color w:val="auto"/>
          <w:kern w:val="0"/>
          <w:szCs w:val="21"/>
          <w:highlight w:val="none"/>
          <w:u w:val="single"/>
        </w:rPr>
        <w:t xml:space="preserve">    /    </w:t>
      </w:r>
      <w:r>
        <w:rPr>
          <w:rFonts w:hint="eastAsia" w:ascii="宋体" w:hAnsi="宋体" w:cs="Microsoft Sans Serif"/>
          <w:color w:val="auto"/>
          <w:kern w:val="0"/>
          <w:szCs w:val="21"/>
          <w:highlight w:val="none"/>
        </w:rPr>
        <w:t>。</w:t>
      </w:r>
    </w:p>
    <w:p>
      <w:pPr>
        <w:autoSpaceDE w:val="0"/>
        <w:autoSpaceDN w:val="0"/>
        <w:adjustRightInd w:val="0"/>
        <w:spacing w:line="360" w:lineRule="auto"/>
        <w:ind w:firstLine="420" w:firstLineChars="200"/>
        <w:jc w:val="left"/>
        <w:rPr>
          <w:rFonts w:ascii="宋体" w:hAnsi="宋体" w:cs="Microsoft Sans Serif"/>
          <w:color w:val="auto"/>
          <w:kern w:val="0"/>
          <w:szCs w:val="21"/>
          <w:highlight w:val="none"/>
        </w:rPr>
      </w:pP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16.1.3 因发包人违约解除合同</w:t>
      </w:r>
    </w:p>
    <w:p>
      <w:pPr>
        <w:autoSpaceDE w:val="0"/>
        <w:autoSpaceDN w:val="0"/>
        <w:adjustRightIn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因发包人违约并致使合同目的不能实现的，承包人有权解除合同：</w:t>
      </w:r>
    </w:p>
    <w:p>
      <w:pPr>
        <w:autoSpaceDE w:val="0"/>
        <w:autoSpaceDN w:val="0"/>
        <w:adjustRightIn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（1）因发包人原因延迟支付合同价款超过180天的；</w:t>
      </w:r>
    </w:p>
    <w:p>
      <w:pPr>
        <w:autoSpaceDE w:val="0"/>
        <w:autoSpaceDN w:val="0"/>
        <w:adjustRightIn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（2）因发包人原因导致工期延误超过90天的；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（3）因发包人第16.1.2（5）违约情形导致暂停施工满56天，且发包人仍未纠正其违约行为的；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（4）其他未履行合同项下的义务构成对合同的实质性违约，并且在收到承包人要求说明其违约并予以补救的通知后56天内仍未补救该实质性违约的；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（5）</w:t>
      </w:r>
      <w:r>
        <w:rPr>
          <w:rFonts w:hint="eastAsia" w:ascii="宋体" w:hAnsi="宋体" w:cs="Microsoft Sans Serif"/>
          <w:color w:val="auto"/>
          <w:kern w:val="0"/>
          <w:szCs w:val="21"/>
          <w:highlight w:val="none"/>
          <w:u w:val="single"/>
        </w:rPr>
        <w:t>合同约定的承包人有权解除合同的其他情形</w:t>
      </w:r>
      <w:r>
        <w:rPr>
          <w:rFonts w:hint="eastAsia" w:ascii="宋体" w:hAnsi="宋体" w:cs="Microsoft Sans Serif"/>
          <w:color w:val="auto"/>
          <w:kern w:val="0"/>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16.1.4 因发包人违约解除合同后的付款</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承包人按照本款约定解除合同的，跟审单位完成清算，发包人应在解除合同后28天内支付下列款项，并解除履约担保、低价风险担保、预付款担保：</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（1）合同解除前所完成工作的价款；</w:t>
      </w:r>
    </w:p>
    <w:p>
      <w:pPr>
        <w:snapToGrid w:val="0"/>
        <w:spacing w:line="360" w:lineRule="auto"/>
        <w:ind w:firstLine="420" w:firstLineChars="200"/>
        <w:jc w:val="left"/>
        <w:rPr>
          <w:rFonts w:ascii="宋体" w:hAnsi="宋体" w:cs="Microsoft Sans Serif"/>
          <w:color w:val="auto"/>
          <w:kern w:val="0"/>
          <w:szCs w:val="21"/>
          <w:highlight w:val="none"/>
        </w:rPr>
      </w:pP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（4）按照合同约定在合同解除前应支付的违约金；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（6）按照合同约定应退还的质量保证金；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（8）</w:t>
      </w:r>
      <w:r>
        <w:rPr>
          <w:rFonts w:hint="eastAsia" w:ascii="宋体" w:hAnsi="宋体" w:cs="Microsoft Sans Serif"/>
          <w:color w:val="auto"/>
          <w:kern w:val="0"/>
          <w:szCs w:val="21"/>
          <w:highlight w:val="none"/>
          <w:u w:val="single"/>
        </w:rPr>
        <w:t xml:space="preserve">    /    。</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合同当事人未能就解除合同后的结清达成一致的，按照第20条〔争议解决〕的约定处理。</w:t>
      </w:r>
    </w:p>
    <w:p>
      <w:pPr>
        <w:snapToGrid w:val="0"/>
        <w:spacing w:line="360" w:lineRule="auto"/>
        <w:ind w:firstLine="420" w:firstLineChars="200"/>
        <w:jc w:val="left"/>
        <w:rPr>
          <w:rFonts w:ascii="宋体" w:hAnsi="宋体" w:cs="Microsoft Sans Serif"/>
          <w:color w:val="auto"/>
          <w:kern w:val="0"/>
          <w:szCs w:val="21"/>
          <w:highlight w:val="none"/>
          <w:u w:val="single"/>
        </w:rPr>
      </w:pPr>
      <w:r>
        <w:rPr>
          <w:rFonts w:hint="eastAsia" w:ascii="宋体" w:hAnsi="宋体" w:cs="Microsoft Sans Serif"/>
          <w:color w:val="auto"/>
          <w:kern w:val="0"/>
          <w:szCs w:val="21"/>
          <w:highlight w:val="none"/>
        </w:rPr>
        <w:t>承包人应妥善做好已完工程和与工程有关的已购材料、工程设备的保护和移交工作，并将施工设备和人员撤出施工现场，发包人应为承包人撤出提供必要条件。</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16.2 承包人违约</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16.2.1 承包人违约的情形</w:t>
      </w:r>
    </w:p>
    <w:p>
      <w:pPr>
        <w:snapToGrid w:val="0"/>
        <w:spacing w:line="360" w:lineRule="auto"/>
        <w:ind w:firstLine="420" w:firstLineChars="200"/>
        <w:jc w:val="left"/>
        <w:rPr>
          <w:rFonts w:ascii="宋体" w:hAnsi="宋体" w:cs="Microsoft Sans Serif"/>
          <w:color w:val="auto"/>
          <w:kern w:val="0"/>
          <w:szCs w:val="21"/>
          <w:highlight w:val="none"/>
          <w:u w:val="single"/>
        </w:rPr>
      </w:pPr>
      <w:r>
        <w:rPr>
          <w:rFonts w:hint="eastAsia" w:ascii="宋体" w:hAnsi="宋体" w:cs="Microsoft Sans Serif"/>
          <w:color w:val="auto"/>
          <w:kern w:val="0"/>
          <w:szCs w:val="21"/>
          <w:highlight w:val="none"/>
        </w:rPr>
        <w:t>除通用合同条款约定外，承包人违约的其他情形：</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（1）承包人未按合同约定提交履约担保或质量保证金的；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（2）承包人未能按期开工的；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（3）承包人未按投标文件或监理人的要求及时配备称职的主要管理人员，或承包人未按经审定的施工组织设计配备或更换关键施工设备的；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（4）承包人有安全问题或有违反安全管理规章制度情况的；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（5）承包人在缺陷责任期及保修期内，未能在合理期限对工程缺陷进行修复，或拒绝按发包人要求进行修复的；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（6）承包人拖欠其工人或所雇人员工资或报酬，导致其工人或所雇人员向有关部门投诉、控告、检举或以聚集等方式讨要工资或报酬的；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（7）承包人不配合发包人、监理人及发包人委托的工程造价咨询服务单位结算审核或承包人其他原因导致未按期完成工程竣工结算的；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（8）承包人违反合同约定进行转包或违法分包的；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（9）承包人未按合同约定移交全部或部分工作的；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（10）承包人未按合同约定购买保险的；</w:t>
      </w:r>
    </w:p>
    <w:p>
      <w:pPr>
        <w:snapToGrid w:val="0"/>
        <w:spacing w:line="360" w:lineRule="auto"/>
        <w:ind w:firstLine="420" w:firstLineChars="200"/>
        <w:jc w:val="left"/>
        <w:rPr>
          <w:rFonts w:ascii="宋体" w:hAnsi="宋体"/>
          <w:color w:val="auto"/>
          <w:szCs w:val="21"/>
          <w:highlight w:val="none"/>
        </w:rPr>
      </w:pPr>
      <w:r>
        <w:rPr>
          <w:rFonts w:hint="eastAsia" w:ascii="宋体" w:hAnsi="宋体" w:cs="Microsoft Sans Serif"/>
          <w:color w:val="auto"/>
          <w:kern w:val="0"/>
          <w:szCs w:val="21"/>
          <w:highlight w:val="none"/>
        </w:rPr>
        <w:t>（11）项目经理若有以下情形，属于承包人违约：</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1）项目经理不按承诺到岗的；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2）每月在施工现场的天数少于约定天数的；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3）承包人未提交项目经理劳动合同和社会保险证明的；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4）未经批准，擅自离开施工现场（超过约定时间）的；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5）未经批准，擅自变更项目经理的；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6）按照渝建发〔2015〕35号文的要求，施工期间，项目经理因在一个记分周期内累计记分达到12分，被建设行政主管部门依法责令停止执业的；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7）发包人有正当理由认为项目经理不称职/不履职，且承包人在约定时间内不予更换的；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8）其他双方约定的情形：</w:t>
      </w:r>
      <w:r>
        <w:rPr>
          <w:rFonts w:hint="eastAsia" w:ascii="宋体" w:hAnsi="宋体" w:cs="Microsoft Sans Serif"/>
          <w:color w:val="auto"/>
          <w:kern w:val="0"/>
          <w:szCs w:val="21"/>
          <w:highlight w:val="none"/>
          <w:u w:val="single"/>
        </w:rPr>
        <w:t xml:space="preserve">        </w:t>
      </w:r>
      <w:r>
        <w:rPr>
          <w:rFonts w:hint="eastAsia" w:ascii="宋体" w:hAnsi="宋体" w:cs="Microsoft Sans Serif"/>
          <w:color w:val="auto"/>
          <w:kern w:val="0"/>
          <w:szCs w:val="21"/>
          <w:highlight w:val="none"/>
        </w:rPr>
        <w:t>。</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（12）技术负责人若有以下情形，属于承包人违约：</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1）每月在施工现场的天数少于约定天数的；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2）承包人未提交技术负责人劳动合同和社会保险证明的；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3）未经批准，擅自离开施工现场（超过约定时间）的；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4）未经批准，擅自变更技术负责人的；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5）发包人有正当理由认为技术负责人不称职/不履职，且承包人在约定时间内不予更换的；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6）其他双方约定的情形：</w:t>
      </w:r>
      <w:r>
        <w:rPr>
          <w:rFonts w:hint="eastAsia" w:ascii="宋体" w:hAnsi="宋体" w:cs="Microsoft Sans Serif"/>
          <w:color w:val="auto"/>
          <w:kern w:val="0"/>
          <w:szCs w:val="21"/>
          <w:highlight w:val="none"/>
          <w:u w:val="single"/>
        </w:rPr>
        <w:t xml:space="preserve">        </w:t>
      </w:r>
      <w:r>
        <w:rPr>
          <w:rFonts w:hint="eastAsia" w:ascii="宋体" w:hAnsi="宋体" w:cs="Microsoft Sans Serif"/>
          <w:color w:val="auto"/>
          <w:kern w:val="0"/>
          <w:szCs w:val="21"/>
          <w:highlight w:val="none"/>
        </w:rPr>
        <w:t>。</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（13）主要施工管理人员若有以下情形，属于承包人违约：</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1）承包人未提交主要管理人员劳动合同和社会保险证明的；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2）未经批准，擅自离开施工现场（超过约定时间）的；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3）未经批准，擅自变更主要施工管理人员的；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4）发包人有正当理由认为主要施工管理人员不称职/不履职，且承包人在约定时间内不予更换的；</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5）其他双方约定的情形：</w:t>
      </w:r>
      <w:r>
        <w:rPr>
          <w:rFonts w:hint="eastAsia" w:ascii="宋体" w:hAnsi="宋体" w:cs="Microsoft Sans Serif"/>
          <w:color w:val="auto"/>
          <w:kern w:val="0"/>
          <w:szCs w:val="21"/>
          <w:highlight w:val="none"/>
          <w:u w:val="single"/>
        </w:rPr>
        <w:t xml:space="preserve">        </w:t>
      </w:r>
      <w:r>
        <w:rPr>
          <w:rFonts w:hint="eastAsia" w:ascii="宋体" w:hAnsi="宋体" w:cs="Microsoft Sans Serif"/>
          <w:color w:val="auto"/>
          <w:kern w:val="0"/>
          <w:szCs w:val="21"/>
          <w:highlight w:val="none"/>
        </w:rPr>
        <w:t>。</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（14）</w:t>
      </w:r>
      <w:r>
        <w:rPr>
          <w:rFonts w:hint="eastAsia" w:ascii="宋体" w:hAnsi="宋体" w:cs="Microsoft Sans Serif"/>
          <w:color w:val="auto"/>
          <w:kern w:val="0"/>
          <w:szCs w:val="21"/>
          <w:highlight w:val="none"/>
          <w:u w:val="single"/>
        </w:rPr>
        <w:t xml:space="preserve">        。</w:t>
      </w:r>
    </w:p>
    <w:p>
      <w:pPr>
        <w:adjustRightInd w:val="0"/>
        <w:snapToGrid w:val="0"/>
        <w:spacing w:line="360" w:lineRule="auto"/>
        <w:ind w:firstLine="420" w:firstLineChars="200"/>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16.2.2 承包人违约的责任</w:t>
      </w:r>
    </w:p>
    <w:p>
      <w:pPr>
        <w:adjustRightInd w:val="0"/>
        <w:snapToGrid w:val="0"/>
        <w:spacing w:line="360" w:lineRule="auto"/>
        <w:ind w:firstLine="420" w:firstLineChars="200"/>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承包人违约责任的承担方式和计算方法：</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（1）承包人未按合同约定提交履约担保、质量保证金的违约责任：承包人应支付违约金，</w:t>
      </w:r>
      <w:r>
        <w:rPr>
          <w:rFonts w:hint="eastAsia" w:ascii="宋体" w:hAnsi="宋体" w:cs="Microsoft Sans Serif"/>
          <w:color w:val="auto"/>
          <w:szCs w:val="21"/>
          <w:highlight w:val="none"/>
        </w:rPr>
        <w:t>违约金的计算方法：</w:t>
      </w:r>
      <w:r>
        <w:rPr>
          <w:rFonts w:hint="eastAsia" w:ascii="宋体" w:hAnsi="宋体" w:cs="Microsoft Sans Serif"/>
          <w:color w:val="auto"/>
          <w:kern w:val="0"/>
          <w:szCs w:val="21"/>
          <w:highlight w:val="none"/>
        </w:rPr>
        <w:t>每延误1天，承包人按合同金额的</w:t>
      </w:r>
      <w:r>
        <w:rPr>
          <w:rFonts w:hint="eastAsia" w:ascii="宋体" w:hAnsi="宋体" w:cs="Microsoft Sans Serif"/>
          <w:color w:val="auto"/>
          <w:kern w:val="0"/>
          <w:szCs w:val="21"/>
          <w:highlight w:val="none"/>
          <w:u w:val="single"/>
        </w:rPr>
        <w:t>1％/天</w:t>
      </w:r>
      <w:r>
        <w:rPr>
          <w:rFonts w:hint="eastAsia" w:ascii="宋体" w:hAnsi="宋体" w:cs="Microsoft Sans Serif"/>
          <w:color w:val="auto"/>
          <w:kern w:val="0"/>
          <w:szCs w:val="21"/>
          <w:highlight w:val="none"/>
        </w:rPr>
        <w:t>计算违约金，累计违约金上限：</w:t>
      </w:r>
      <w:r>
        <w:rPr>
          <w:rFonts w:hint="eastAsia" w:ascii="宋体" w:hAnsi="宋体" w:cs="Microsoft Sans Serif"/>
          <w:color w:val="auto"/>
          <w:kern w:val="0"/>
          <w:szCs w:val="21"/>
          <w:highlight w:val="none"/>
          <w:u w:val="single"/>
        </w:rPr>
        <w:t xml:space="preserve">  （不超过签约合同价的3%）</w:t>
      </w:r>
      <w:r>
        <w:rPr>
          <w:rFonts w:hint="eastAsia" w:ascii="宋体" w:hAnsi="宋体" w:cs="Microsoft Sans Serif"/>
          <w:color w:val="auto"/>
          <w:kern w:val="0"/>
          <w:szCs w:val="21"/>
          <w:highlight w:val="none"/>
          <w:lang w:val="zh-CN"/>
        </w:rPr>
        <w:t>。</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（2）承包人违反合同约定进行转包或违法分包的违约责任：按照违反合同约定进行转包和（或）违法分包相应转包和（或）分包合同的合同金额的</w:t>
      </w:r>
      <w:r>
        <w:rPr>
          <w:rFonts w:hint="eastAsia" w:ascii="宋体" w:hAnsi="宋体" w:cs="Microsoft Sans Serif"/>
          <w:color w:val="auto"/>
          <w:kern w:val="0"/>
          <w:szCs w:val="21"/>
          <w:highlight w:val="none"/>
          <w:u w:val="single"/>
        </w:rPr>
        <w:t xml:space="preserve"> 10%</w:t>
      </w:r>
      <w:r>
        <w:rPr>
          <w:rFonts w:hint="eastAsia" w:ascii="宋体" w:hAnsi="宋体" w:cs="Microsoft Sans Serif"/>
          <w:color w:val="auto"/>
          <w:kern w:val="0"/>
          <w:szCs w:val="21"/>
          <w:highlight w:val="none"/>
        </w:rPr>
        <w:t>支付违约金，违法转/分包商应在7天内撤离出场。</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（3）承包人违反合同约定采购和使用不合格的材料和工程设备的违约责任：按照违反合同约定采购和使用不合格的材料和（或）工程设备相应合同金额的</w:t>
      </w:r>
      <w:r>
        <w:rPr>
          <w:rFonts w:hint="eastAsia" w:ascii="宋体" w:hAnsi="宋体" w:cs="Microsoft Sans Serif"/>
          <w:color w:val="auto"/>
          <w:kern w:val="0"/>
          <w:szCs w:val="21"/>
          <w:highlight w:val="none"/>
          <w:u w:val="single"/>
        </w:rPr>
        <w:t xml:space="preserve"> 10%</w:t>
      </w:r>
      <w:r>
        <w:rPr>
          <w:rFonts w:hint="eastAsia" w:ascii="宋体" w:hAnsi="宋体" w:cs="Microsoft Sans Serif"/>
          <w:color w:val="auto"/>
          <w:kern w:val="0"/>
          <w:szCs w:val="21"/>
          <w:highlight w:val="none"/>
        </w:rPr>
        <w:t>支付违约金。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（4）因承包人原因导致工程质量不符合规定或合同要求的违约责任：承包人退还已支付工程质量不符合合同要求工程的工程款，并按照工程质量不符合合同要求工程相应合同金额的</w:t>
      </w:r>
      <w:r>
        <w:rPr>
          <w:rFonts w:hint="eastAsia" w:ascii="宋体" w:hAnsi="宋体" w:cs="Microsoft Sans Serif"/>
          <w:color w:val="auto"/>
          <w:kern w:val="0"/>
          <w:szCs w:val="21"/>
          <w:highlight w:val="none"/>
          <w:u w:val="single"/>
        </w:rPr>
        <w:t xml:space="preserve"> 10%</w:t>
      </w:r>
      <w:r>
        <w:rPr>
          <w:rFonts w:hint="eastAsia" w:ascii="宋体" w:hAnsi="宋体" w:cs="Microsoft Sans Serif"/>
          <w:color w:val="auto"/>
          <w:kern w:val="0"/>
          <w:szCs w:val="21"/>
          <w:highlight w:val="none"/>
        </w:rPr>
        <w:t>支付违约金。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（5）承包人违反材料与设备的约定，未经批准，擅自将已按照合同约定进入施工现场的材料或设备撤离施工现场的违约责任：按照承包人擅自撤离施工现场材料和（或）设备相应合同金额的</w:t>
      </w:r>
      <w:r>
        <w:rPr>
          <w:rFonts w:hint="eastAsia" w:ascii="宋体" w:hAnsi="宋体" w:cs="Microsoft Sans Serif"/>
          <w:color w:val="auto"/>
          <w:kern w:val="0"/>
          <w:szCs w:val="21"/>
          <w:highlight w:val="none"/>
          <w:u w:val="single"/>
        </w:rPr>
        <w:t xml:space="preserve"> 5%</w:t>
      </w:r>
      <w:r>
        <w:rPr>
          <w:rFonts w:hint="eastAsia" w:ascii="宋体" w:hAnsi="宋体" w:cs="Microsoft Sans Serif"/>
          <w:color w:val="auto"/>
          <w:kern w:val="0"/>
          <w:szCs w:val="21"/>
          <w:highlight w:val="none"/>
        </w:rPr>
        <w:t>支付违约金。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（6）因承包人原因造成工期延误的违约承担方式和计算方法：由承包人承担由此增加的费用，</w:t>
      </w:r>
      <w:r>
        <w:rPr>
          <w:rFonts w:hint="eastAsia" w:ascii="宋体" w:hAnsi="宋体" w:cs="Microsoft Sans Serif"/>
          <w:color w:val="auto"/>
          <w:szCs w:val="21"/>
          <w:highlight w:val="none"/>
        </w:rPr>
        <w:t>由此导致工期延误的，工期不予顺延；逾期竣工违约金的计算方法：</w:t>
      </w:r>
      <w:r>
        <w:rPr>
          <w:rFonts w:hint="eastAsia" w:ascii="宋体" w:hAnsi="宋体" w:cs="Microsoft Sans Serif"/>
          <w:color w:val="auto"/>
          <w:kern w:val="0"/>
          <w:szCs w:val="21"/>
          <w:highlight w:val="none"/>
        </w:rPr>
        <w:t>每延误1天，承包人按合同金额的0.5％</w:t>
      </w:r>
      <w:r>
        <w:rPr>
          <w:rFonts w:hint="eastAsia" w:ascii="宋体" w:hAnsi="宋体" w:cs="Microsoft Sans Serif"/>
          <w:color w:val="auto"/>
          <w:kern w:val="0"/>
          <w:szCs w:val="21"/>
          <w:highlight w:val="none"/>
          <w:u w:val="single"/>
        </w:rPr>
        <w:t>/天</w:t>
      </w:r>
      <w:r>
        <w:rPr>
          <w:rFonts w:hint="eastAsia" w:ascii="宋体" w:hAnsi="宋体" w:cs="Microsoft Sans Serif"/>
          <w:color w:val="auto"/>
          <w:kern w:val="0"/>
          <w:szCs w:val="21"/>
          <w:highlight w:val="none"/>
        </w:rPr>
        <w:t>计算逾期竣工违约金，累计违约金上限：（不超过签约合同价的5%）</w:t>
      </w:r>
      <w:r>
        <w:rPr>
          <w:rFonts w:hint="eastAsia" w:ascii="宋体" w:hAnsi="宋体" w:cs="Microsoft Sans Serif"/>
          <w:color w:val="auto"/>
          <w:kern w:val="0"/>
          <w:szCs w:val="21"/>
          <w:highlight w:val="none"/>
          <w:lang w:val="zh-CN"/>
        </w:rPr>
        <w:t>；</w:t>
      </w:r>
      <w:r>
        <w:rPr>
          <w:rFonts w:hint="eastAsia" w:ascii="宋体" w:hAnsi="宋体" w:cs="Microsoft Sans Serif"/>
          <w:color w:val="auto"/>
          <w:kern w:val="0"/>
          <w:szCs w:val="21"/>
          <w:highlight w:val="none"/>
        </w:rPr>
        <w:t>承包人支付逾期竣工违约金后，不免除承包人继续完成工程及修补缺陷的义务。</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（7）承包人在缺陷责任期及保修期内，未能在合理期限对工程缺陷进行修复，或拒绝按发包人要求进行修复的违约责任：按照发包人修复缺陷费用的</w:t>
      </w:r>
      <w:r>
        <w:rPr>
          <w:rFonts w:hint="eastAsia" w:ascii="宋体" w:hAnsi="宋体" w:cs="Microsoft Sans Serif"/>
          <w:color w:val="auto"/>
          <w:kern w:val="0"/>
          <w:szCs w:val="21"/>
          <w:highlight w:val="none"/>
          <w:u w:val="single"/>
        </w:rPr>
        <w:t xml:space="preserve"> 2%</w:t>
      </w:r>
      <w:r>
        <w:rPr>
          <w:rFonts w:hint="eastAsia" w:ascii="宋体" w:hAnsi="宋体" w:cs="Microsoft Sans Serif"/>
          <w:color w:val="auto"/>
          <w:kern w:val="0"/>
          <w:szCs w:val="21"/>
          <w:highlight w:val="none"/>
        </w:rPr>
        <w:t>支付违约金。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（8）承包人明确表示或者以其行为表明不履行合同主要义务的违约责任：按签约合同价的</w:t>
      </w:r>
      <w:r>
        <w:rPr>
          <w:rFonts w:hint="eastAsia" w:ascii="宋体" w:hAnsi="宋体" w:cs="Microsoft Sans Serif"/>
          <w:color w:val="auto"/>
          <w:kern w:val="0"/>
          <w:szCs w:val="21"/>
          <w:highlight w:val="none"/>
          <w:u w:val="single"/>
        </w:rPr>
        <w:t xml:space="preserve"> 10%</w:t>
      </w:r>
      <w:r>
        <w:rPr>
          <w:rFonts w:hint="eastAsia" w:ascii="宋体" w:hAnsi="宋体" w:cs="Microsoft Sans Serif"/>
          <w:color w:val="auto"/>
          <w:kern w:val="0"/>
          <w:szCs w:val="21"/>
          <w:highlight w:val="none"/>
        </w:rPr>
        <w:t>支付违约金。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（9）承包人未能按照合同约定履行其他义务的违约责任：按</w:t>
      </w:r>
      <w:r>
        <w:rPr>
          <w:rFonts w:hint="eastAsia" w:ascii="宋体" w:hAnsi="宋体" w:cs="Microsoft Sans Serif"/>
          <w:color w:val="auto"/>
          <w:kern w:val="0"/>
          <w:szCs w:val="21"/>
          <w:highlight w:val="none"/>
          <w:u w:val="single"/>
        </w:rPr>
        <w:t>5000元/次</w:t>
      </w:r>
      <w:r>
        <w:rPr>
          <w:rFonts w:hint="eastAsia" w:ascii="宋体" w:hAnsi="宋体" w:cs="Microsoft Sans Serif"/>
          <w:color w:val="auto"/>
          <w:kern w:val="0"/>
          <w:szCs w:val="21"/>
          <w:highlight w:val="none"/>
        </w:rPr>
        <w:t>支付违约金。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（10）承包人未能按期开工的违约责任：按合同价</w:t>
      </w:r>
      <w:r>
        <w:rPr>
          <w:rFonts w:hint="eastAsia" w:ascii="宋体" w:hAnsi="宋体" w:cs="Microsoft Sans Serif"/>
          <w:color w:val="auto"/>
          <w:kern w:val="0"/>
          <w:szCs w:val="21"/>
          <w:highlight w:val="none"/>
          <w:u w:val="single"/>
        </w:rPr>
        <w:t>0.2‰/天</w:t>
      </w:r>
      <w:r>
        <w:rPr>
          <w:rFonts w:hint="eastAsia" w:ascii="宋体" w:hAnsi="宋体" w:cs="Microsoft Sans Serif"/>
          <w:color w:val="auto"/>
          <w:kern w:val="0"/>
          <w:szCs w:val="21"/>
          <w:highlight w:val="none"/>
        </w:rPr>
        <w:t>支付违约金，本项违约金累计限额为签约合同价的</w:t>
      </w:r>
      <w:r>
        <w:rPr>
          <w:rFonts w:hint="eastAsia" w:ascii="宋体" w:hAnsi="宋体" w:cs="Microsoft Sans Serif"/>
          <w:color w:val="auto"/>
          <w:kern w:val="0"/>
          <w:szCs w:val="21"/>
          <w:highlight w:val="none"/>
          <w:u w:val="single"/>
        </w:rPr>
        <w:t xml:space="preserve"> 1 %</w:t>
      </w:r>
      <w:r>
        <w:rPr>
          <w:rFonts w:hint="eastAsia" w:ascii="宋体" w:hAnsi="宋体" w:cs="Microsoft Sans Serif"/>
          <w:color w:val="auto"/>
          <w:kern w:val="0"/>
          <w:szCs w:val="21"/>
          <w:highlight w:val="none"/>
        </w:rPr>
        <w:t>。</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（11）承包人未按经审定的施工组织设计配备或更换关键施工设备的违约责任：按</w:t>
      </w:r>
      <w:r>
        <w:rPr>
          <w:rFonts w:hint="eastAsia" w:ascii="宋体" w:hAnsi="宋体" w:cs="Microsoft Sans Serif"/>
          <w:color w:val="auto"/>
          <w:kern w:val="0"/>
          <w:szCs w:val="21"/>
          <w:highlight w:val="none"/>
          <w:u w:val="single"/>
        </w:rPr>
        <w:t>50000元/台·次</w:t>
      </w:r>
      <w:r>
        <w:rPr>
          <w:rFonts w:hint="eastAsia" w:ascii="宋体" w:hAnsi="宋体" w:cs="Microsoft Sans Serif"/>
          <w:color w:val="auto"/>
          <w:kern w:val="0"/>
          <w:szCs w:val="21"/>
          <w:highlight w:val="none"/>
        </w:rPr>
        <w:t>支付违约金。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（12）承包人有安全问题或有违反安全管理规章制度情况的违约责任：根据具体情节，按签约合同价的</w:t>
      </w:r>
      <w:r>
        <w:rPr>
          <w:rFonts w:hint="eastAsia" w:ascii="宋体" w:hAnsi="宋体" w:cs="Microsoft Sans Serif"/>
          <w:color w:val="auto"/>
          <w:kern w:val="0"/>
          <w:szCs w:val="21"/>
          <w:highlight w:val="none"/>
          <w:u w:val="single"/>
        </w:rPr>
        <w:t>0.5‰～4‰/次</w:t>
      </w:r>
      <w:r>
        <w:rPr>
          <w:rFonts w:hint="eastAsia" w:ascii="宋体" w:hAnsi="宋体" w:cs="Microsoft Sans Serif"/>
          <w:color w:val="auto"/>
          <w:kern w:val="0"/>
          <w:szCs w:val="21"/>
          <w:highlight w:val="none"/>
        </w:rPr>
        <w:t>支付违约金（累计不超过签约合同价的1%，详见附件9安全管理协议）。</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（13）承包人拖欠其工人或所雇人员工资或报酬，导致其工人或所雇人员向有关部门投诉、控告、检举或以聚集、网络及媒体投诉等方式讨要工资或报酬的违约责任：根据具体情节，按违约金额</w:t>
      </w:r>
      <w:r>
        <w:rPr>
          <w:rFonts w:hint="eastAsia" w:ascii="宋体" w:hAnsi="宋体" w:cs="Microsoft Sans Serif"/>
          <w:color w:val="auto"/>
          <w:kern w:val="0"/>
          <w:szCs w:val="21"/>
          <w:highlight w:val="none"/>
          <w:u w:val="single"/>
        </w:rPr>
        <w:t xml:space="preserve"> 200000元/次</w:t>
      </w:r>
      <w:r>
        <w:rPr>
          <w:rFonts w:hint="eastAsia" w:ascii="宋体" w:hAnsi="宋体" w:cs="Microsoft Sans Serif"/>
          <w:color w:val="auto"/>
          <w:kern w:val="0"/>
          <w:szCs w:val="21"/>
          <w:highlight w:val="none"/>
        </w:rPr>
        <w:t>支付违约金。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（14）承包人不配合发包人、监理人及发包人委托的工程造价咨询服务单位结算审核的违约责任：根据具体情节，按</w:t>
      </w:r>
      <w:r>
        <w:rPr>
          <w:rFonts w:hint="eastAsia" w:ascii="宋体" w:hAnsi="宋体" w:cs="Microsoft Sans Serif"/>
          <w:color w:val="auto"/>
          <w:kern w:val="0"/>
          <w:szCs w:val="21"/>
          <w:highlight w:val="none"/>
          <w:u w:val="single"/>
        </w:rPr>
        <w:t xml:space="preserve"> 50000元/次</w:t>
      </w:r>
      <w:r>
        <w:rPr>
          <w:rFonts w:hint="eastAsia" w:ascii="宋体" w:hAnsi="宋体" w:cs="Microsoft Sans Serif"/>
          <w:color w:val="auto"/>
          <w:kern w:val="0"/>
          <w:szCs w:val="21"/>
          <w:highlight w:val="none"/>
        </w:rPr>
        <w:t>支付违约金。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（15）承包人未按合同约定移交全部和部分工程的违约责任：由承包人承担工程照管、成品保护、保管等与工程有关的各种费用，并按结算金额或违约部分结算金额的</w:t>
      </w:r>
      <w:r>
        <w:rPr>
          <w:rFonts w:hint="eastAsia" w:ascii="宋体" w:hAnsi="宋体" w:cs="Microsoft Sans Serif"/>
          <w:color w:val="auto"/>
          <w:kern w:val="0"/>
          <w:szCs w:val="21"/>
          <w:highlight w:val="none"/>
          <w:u w:val="single"/>
        </w:rPr>
        <w:t>0.5～1‰</w:t>
      </w:r>
      <w:r>
        <w:rPr>
          <w:rFonts w:hint="eastAsia" w:ascii="宋体" w:hAnsi="宋体" w:cs="Microsoft Sans Serif"/>
          <w:color w:val="auto"/>
          <w:kern w:val="0"/>
          <w:szCs w:val="21"/>
          <w:highlight w:val="none"/>
        </w:rPr>
        <w:t>支付违约金。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szCs w:val="21"/>
          <w:highlight w:val="none"/>
        </w:rPr>
        <w:t>（16）承包人未按合同约定购买保险的违约责任：除按18.6.2项约定执行外，每延迟1天，按</w:t>
      </w:r>
      <w:r>
        <w:rPr>
          <w:rFonts w:hint="eastAsia" w:ascii="宋体" w:hAnsi="宋体" w:cs="Microsoft Sans Serif"/>
          <w:color w:val="auto"/>
          <w:szCs w:val="21"/>
          <w:highlight w:val="none"/>
          <w:u w:val="single"/>
        </w:rPr>
        <w:t>500元/天</w:t>
      </w:r>
      <w:r>
        <w:rPr>
          <w:rFonts w:hint="eastAsia" w:ascii="宋体" w:hAnsi="宋体" w:cs="Microsoft Sans Serif"/>
          <w:color w:val="auto"/>
          <w:szCs w:val="21"/>
          <w:highlight w:val="none"/>
        </w:rPr>
        <w:t>支付违约金。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（17）发生第16.2.1项（11）目、16.2.1项（12）目、16.2.1项（13）目违约情形的违约责任：除承担由此增加的费用和工期延误的责任，承包人应向发包人支付违约金：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1）项目经理违约承担方式和计算方法：对于第16.2.1项（11）目的情形，每发现一次，根据具体情节，按</w:t>
      </w:r>
      <w:r>
        <w:rPr>
          <w:rFonts w:hint="eastAsia" w:ascii="宋体" w:hAnsi="宋体" w:cs="Microsoft Sans Serif"/>
          <w:color w:val="auto"/>
          <w:kern w:val="0"/>
          <w:szCs w:val="21"/>
          <w:highlight w:val="none"/>
          <w:u w:val="single"/>
        </w:rPr>
        <w:t>1000～30000元/天·次</w:t>
      </w:r>
      <w:r>
        <w:rPr>
          <w:rFonts w:hint="eastAsia" w:ascii="宋体" w:hAnsi="宋体" w:cs="Microsoft Sans Serif"/>
          <w:color w:val="auto"/>
          <w:kern w:val="0"/>
          <w:szCs w:val="21"/>
          <w:highlight w:val="none"/>
        </w:rPr>
        <w:t>计算违约金；项目经理不按承诺到岗的（</w:t>
      </w:r>
      <w:r>
        <w:rPr>
          <w:rFonts w:ascii="宋体" w:hAnsi="宋体" w:cs="Microsoft Sans Serif"/>
          <w:color w:val="auto"/>
          <w:kern w:val="0"/>
          <w:szCs w:val="21"/>
          <w:highlight w:val="none"/>
        </w:rPr>
        <w:t>3.2.3项约定的情形除外</w:t>
      </w:r>
      <w:r>
        <w:rPr>
          <w:rFonts w:hint="eastAsia" w:ascii="宋体" w:hAnsi="宋体" w:cs="Microsoft Sans Serif"/>
          <w:color w:val="auto"/>
          <w:kern w:val="0"/>
          <w:szCs w:val="21"/>
          <w:highlight w:val="none"/>
        </w:rPr>
        <w:t>），按履约保证金的</w:t>
      </w:r>
      <w:r>
        <w:rPr>
          <w:rFonts w:hint="eastAsia" w:ascii="宋体" w:hAnsi="宋体" w:cs="Microsoft Sans Serif"/>
          <w:color w:val="auto"/>
          <w:kern w:val="0"/>
          <w:szCs w:val="21"/>
          <w:highlight w:val="none"/>
          <w:u w:val="single"/>
        </w:rPr>
        <w:t>（50～100）%</w:t>
      </w:r>
      <w:r>
        <w:rPr>
          <w:rFonts w:hint="eastAsia" w:ascii="宋体" w:hAnsi="宋体" w:cs="Microsoft Sans Serif"/>
          <w:color w:val="auto"/>
          <w:kern w:val="0"/>
          <w:szCs w:val="21"/>
          <w:highlight w:val="none"/>
        </w:rPr>
        <w:t>支付违约金，并解除合同；擅自更换项目经理的，按签约合同价的</w:t>
      </w:r>
      <w:r>
        <w:rPr>
          <w:rFonts w:hint="eastAsia" w:ascii="宋体" w:hAnsi="宋体" w:cs="Microsoft Sans Serif"/>
          <w:color w:val="auto"/>
          <w:kern w:val="0"/>
          <w:szCs w:val="21"/>
          <w:highlight w:val="none"/>
          <w:u w:val="single"/>
        </w:rPr>
        <w:t>（0.5～3）%/人·次</w:t>
      </w:r>
      <w:r>
        <w:rPr>
          <w:rFonts w:hint="eastAsia" w:ascii="宋体" w:hAnsi="宋体" w:cs="Microsoft Sans Serif"/>
          <w:color w:val="auto"/>
          <w:kern w:val="0"/>
          <w:szCs w:val="21"/>
          <w:highlight w:val="none"/>
        </w:rPr>
        <w:t>支付违约金，每次不低于</w:t>
      </w:r>
      <w:r>
        <w:rPr>
          <w:rFonts w:hint="eastAsia" w:ascii="宋体" w:hAnsi="宋体" w:cs="Microsoft Sans Serif"/>
          <w:color w:val="auto"/>
          <w:kern w:val="0"/>
          <w:szCs w:val="21"/>
          <w:highlight w:val="none"/>
          <w:u w:val="single"/>
        </w:rPr>
        <w:t>20万</w:t>
      </w:r>
      <w:r>
        <w:rPr>
          <w:rFonts w:hint="eastAsia" w:ascii="宋体" w:hAnsi="宋体" w:cs="Microsoft Sans Serif"/>
          <w:color w:val="auto"/>
          <w:kern w:val="0"/>
          <w:szCs w:val="21"/>
          <w:highlight w:val="none"/>
        </w:rPr>
        <w:t>，累计不超过</w:t>
      </w:r>
      <w:r>
        <w:rPr>
          <w:rFonts w:hint="eastAsia" w:ascii="宋体" w:hAnsi="宋体" w:cs="Microsoft Sans Serif"/>
          <w:color w:val="auto"/>
          <w:kern w:val="0"/>
          <w:szCs w:val="21"/>
          <w:highlight w:val="none"/>
          <w:u w:val="single"/>
        </w:rPr>
        <w:t>200万</w:t>
      </w:r>
      <w:r>
        <w:rPr>
          <w:rFonts w:hint="eastAsia" w:ascii="宋体" w:hAnsi="宋体" w:cs="Microsoft Sans Serif"/>
          <w:color w:val="auto"/>
          <w:kern w:val="0"/>
          <w:szCs w:val="21"/>
          <w:highlight w:val="none"/>
        </w:rPr>
        <w:t>；项目经理被责令停止执业的，按签约合同价的</w:t>
      </w:r>
      <w:r>
        <w:rPr>
          <w:rFonts w:hint="eastAsia" w:ascii="宋体" w:hAnsi="宋体" w:cs="Microsoft Sans Serif"/>
          <w:color w:val="auto"/>
          <w:kern w:val="0"/>
          <w:szCs w:val="21"/>
          <w:highlight w:val="none"/>
          <w:u w:val="single"/>
        </w:rPr>
        <w:t>（0.5～3）%/人·次</w:t>
      </w:r>
      <w:r>
        <w:rPr>
          <w:rFonts w:hint="eastAsia" w:ascii="宋体" w:hAnsi="宋体" w:cs="Microsoft Sans Serif"/>
          <w:color w:val="auto"/>
          <w:kern w:val="0"/>
          <w:szCs w:val="21"/>
          <w:highlight w:val="none"/>
        </w:rPr>
        <w:t>支付违约金，每次不低于</w:t>
      </w:r>
      <w:r>
        <w:rPr>
          <w:rFonts w:hint="eastAsia" w:ascii="宋体" w:hAnsi="宋体" w:cs="Microsoft Sans Serif"/>
          <w:color w:val="auto"/>
          <w:kern w:val="0"/>
          <w:szCs w:val="21"/>
          <w:highlight w:val="none"/>
          <w:u w:val="single"/>
        </w:rPr>
        <w:t>20万</w:t>
      </w:r>
      <w:r>
        <w:rPr>
          <w:rFonts w:hint="eastAsia" w:ascii="宋体" w:hAnsi="宋体" w:cs="Microsoft Sans Serif"/>
          <w:color w:val="auto"/>
          <w:kern w:val="0"/>
          <w:szCs w:val="21"/>
          <w:highlight w:val="none"/>
        </w:rPr>
        <w:t>，累计不超过</w:t>
      </w:r>
      <w:r>
        <w:rPr>
          <w:rFonts w:hint="eastAsia" w:ascii="宋体" w:hAnsi="宋体" w:cs="Microsoft Sans Serif"/>
          <w:color w:val="auto"/>
          <w:kern w:val="0"/>
          <w:szCs w:val="21"/>
          <w:highlight w:val="none"/>
          <w:u w:val="single"/>
        </w:rPr>
        <w:t>200万</w:t>
      </w:r>
      <w:r>
        <w:rPr>
          <w:rFonts w:hint="eastAsia" w:ascii="宋体" w:hAnsi="宋体" w:cs="Microsoft Sans Serif"/>
          <w:color w:val="auto"/>
          <w:kern w:val="0"/>
          <w:szCs w:val="21"/>
          <w:highlight w:val="none"/>
        </w:rPr>
        <w:t>；项目经理被责令停止执业的，按签约合同价的</w:t>
      </w:r>
      <w:r>
        <w:rPr>
          <w:rFonts w:hint="eastAsia" w:ascii="宋体" w:hAnsi="宋体" w:cs="Microsoft Sans Serif"/>
          <w:color w:val="auto"/>
          <w:kern w:val="0"/>
          <w:szCs w:val="21"/>
          <w:highlight w:val="none"/>
          <w:u w:val="single"/>
        </w:rPr>
        <w:t>（0.5～3）%/人•次</w:t>
      </w:r>
      <w:r>
        <w:rPr>
          <w:rFonts w:hint="eastAsia" w:ascii="宋体" w:hAnsi="宋体" w:cs="Microsoft Sans Serif"/>
          <w:color w:val="auto"/>
          <w:kern w:val="0"/>
          <w:szCs w:val="21"/>
          <w:highlight w:val="none"/>
        </w:rPr>
        <w:t>支付违约金，每次不低于</w:t>
      </w:r>
      <w:r>
        <w:rPr>
          <w:rFonts w:hint="eastAsia" w:ascii="宋体" w:hAnsi="宋体" w:cs="Microsoft Sans Serif"/>
          <w:color w:val="auto"/>
          <w:kern w:val="0"/>
          <w:szCs w:val="21"/>
          <w:highlight w:val="none"/>
          <w:u w:val="single"/>
        </w:rPr>
        <w:t>20</w:t>
      </w:r>
      <w:r>
        <w:rPr>
          <w:rFonts w:hint="eastAsia" w:ascii="宋体" w:hAnsi="宋体" w:cs="Microsoft Sans Serif"/>
          <w:color w:val="auto"/>
          <w:kern w:val="0"/>
          <w:szCs w:val="21"/>
          <w:highlight w:val="none"/>
        </w:rPr>
        <w:t>万，累计不超过</w:t>
      </w:r>
      <w:r>
        <w:rPr>
          <w:rFonts w:hint="eastAsia" w:ascii="宋体" w:hAnsi="宋体" w:cs="Microsoft Sans Serif"/>
          <w:color w:val="auto"/>
          <w:kern w:val="0"/>
          <w:szCs w:val="21"/>
          <w:highlight w:val="none"/>
          <w:u w:val="single"/>
        </w:rPr>
        <w:t>200</w:t>
      </w:r>
      <w:r>
        <w:rPr>
          <w:rFonts w:hint="eastAsia" w:ascii="宋体" w:hAnsi="宋体" w:cs="Microsoft Sans Serif"/>
          <w:color w:val="auto"/>
          <w:kern w:val="0"/>
          <w:szCs w:val="21"/>
          <w:highlight w:val="none"/>
        </w:rPr>
        <w:t>万。</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2）主要技术负责人违约承担方式和计算方法：对于第16.2.1项（12）目的六种情形，每发现一次，根据具体情节，按</w:t>
      </w:r>
      <w:r>
        <w:rPr>
          <w:rFonts w:hint="eastAsia" w:ascii="宋体" w:hAnsi="宋体" w:cs="Microsoft Sans Serif"/>
          <w:color w:val="auto"/>
          <w:kern w:val="0"/>
          <w:szCs w:val="21"/>
          <w:highlight w:val="none"/>
          <w:u w:val="single"/>
        </w:rPr>
        <w:t>1000～30000元/天·次</w:t>
      </w:r>
      <w:r>
        <w:rPr>
          <w:rFonts w:hint="eastAsia" w:ascii="宋体" w:hAnsi="宋体" w:cs="Microsoft Sans Serif"/>
          <w:color w:val="auto"/>
          <w:kern w:val="0"/>
          <w:szCs w:val="21"/>
          <w:highlight w:val="none"/>
        </w:rPr>
        <w:t>计算违约金；擅自更换主要技术负责人的，按签约合同价的</w:t>
      </w:r>
      <w:r>
        <w:rPr>
          <w:rFonts w:hint="eastAsia" w:ascii="宋体" w:hAnsi="宋体" w:cs="Microsoft Sans Serif"/>
          <w:color w:val="auto"/>
          <w:kern w:val="0"/>
          <w:szCs w:val="21"/>
          <w:highlight w:val="none"/>
          <w:u w:val="single"/>
        </w:rPr>
        <w:t>（0.5～2）%/人·次</w:t>
      </w:r>
      <w:r>
        <w:rPr>
          <w:rFonts w:hint="eastAsia" w:ascii="宋体" w:hAnsi="宋体" w:cs="Microsoft Sans Serif"/>
          <w:color w:val="auto"/>
          <w:kern w:val="0"/>
          <w:szCs w:val="21"/>
          <w:highlight w:val="none"/>
        </w:rPr>
        <w:t>支付违约金，每次不低于</w:t>
      </w:r>
      <w:r>
        <w:rPr>
          <w:rFonts w:hint="eastAsia" w:ascii="宋体" w:hAnsi="宋体" w:cs="Microsoft Sans Serif"/>
          <w:color w:val="auto"/>
          <w:kern w:val="0"/>
          <w:szCs w:val="21"/>
          <w:highlight w:val="none"/>
          <w:u w:val="single"/>
        </w:rPr>
        <w:t>10万</w:t>
      </w:r>
      <w:r>
        <w:rPr>
          <w:rFonts w:hint="eastAsia" w:ascii="宋体" w:hAnsi="宋体" w:cs="Microsoft Sans Serif"/>
          <w:color w:val="auto"/>
          <w:kern w:val="0"/>
          <w:szCs w:val="21"/>
          <w:highlight w:val="none"/>
        </w:rPr>
        <w:t>，累计不超过</w:t>
      </w:r>
      <w:r>
        <w:rPr>
          <w:rFonts w:hint="eastAsia" w:ascii="宋体" w:hAnsi="宋体" w:cs="Microsoft Sans Serif"/>
          <w:color w:val="auto"/>
          <w:kern w:val="0"/>
          <w:szCs w:val="21"/>
          <w:highlight w:val="none"/>
          <w:u w:val="single"/>
        </w:rPr>
        <w:t>100万</w:t>
      </w:r>
      <w:r>
        <w:rPr>
          <w:rFonts w:hint="eastAsia" w:ascii="宋体" w:hAnsi="宋体" w:cs="Microsoft Sans Serif"/>
          <w:color w:val="auto"/>
          <w:kern w:val="0"/>
          <w:szCs w:val="21"/>
          <w:highlight w:val="none"/>
        </w:rPr>
        <w:t>。</w:t>
      </w:r>
    </w:p>
    <w:p>
      <w:pPr>
        <w:snapToGrid w:val="0"/>
        <w:spacing w:line="360" w:lineRule="auto"/>
        <w:ind w:firstLine="420" w:firstLineChars="200"/>
        <w:jc w:val="left"/>
        <w:rPr>
          <w:rFonts w:ascii="宋体" w:hAnsi="宋体"/>
          <w:color w:val="auto"/>
          <w:szCs w:val="21"/>
          <w:highlight w:val="none"/>
        </w:rPr>
      </w:pPr>
      <w:r>
        <w:rPr>
          <w:rFonts w:hint="eastAsia" w:ascii="宋体" w:hAnsi="宋体" w:cs="Microsoft Sans Serif"/>
          <w:color w:val="auto"/>
          <w:kern w:val="0"/>
          <w:szCs w:val="21"/>
          <w:highlight w:val="none"/>
        </w:rPr>
        <w:t>3）主要施工管理人员违约承担方式和计算方法：对于第16.2.1项（13）目的五种情形，每发现一次，根据具体情节，按</w:t>
      </w:r>
      <w:r>
        <w:rPr>
          <w:rFonts w:hint="eastAsia" w:ascii="宋体" w:hAnsi="宋体" w:cs="Microsoft Sans Serif"/>
          <w:color w:val="auto"/>
          <w:kern w:val="0"/>
          <w:szCs w:val="21"/>
          <w:highlight w:val="none"/>
          <w:u w:val="single"/>
        </w:rPr>
        <w:t>500～10000元/天·次</w:t>
      </w:r>
      <w:r>
        <w:rPr>
          <w:rFonts w:hint="eastAsia" w:ascii="宋体" w:hAnsi="宋体" w:cs="Microsoft Sans Serif"/>
          <w:color w:val="auto"/>
          <w:kern w:val="0"/>
          <w:szCs w:val="21"/>
          <w:highlight w:val="none"/>
        </w:rPr>
        <w:t>计算违约金。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（18）</w:t>
      </w:r>
      <w:r>
        <w:rPr>
          <w:rFonts w:hint="eastAsia" w:ascii="宋体" w:hAnsi="宋体" w:cs="Microsoft Sans Serif"/>
          <w:color w:val="auto"/>
          <w:kern w:val="0"/>
          <w:szCs w:val="21"/>
          <w:highlight w:val="none"/>
          <w:u w:val="single"/>
        </w:rPr>
        <w:t xml:space="preserve"> 其他约定详见附件12（若附件与上述条款冲突，以上述条款为准）       </w:t>
      </w:r>
      <w:r>
        <w:rPr>
          <w:rFonts w:hint="eastAsia" w:ascii="宋体" w:hAnsi="宋体" w:cs="Microsoft Sans Serif"/>
          <w:color w:val="auto"/>
          <w:kern w:val="0"/>
          <w:szCs w:val="21"/>
          <w:highlight w:val="none"/>
        </w:rPr>
        <w:t>。</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szCs w:val="21"/>
          <w:highlight w:val="none"/>
        </w:rPr>
        <w:t>应当由承包人向发包人支付的违约金，发包人可直接提取届时有效的履约担保相应金额，不足部分由承包人支付；若发包人提取履约担保相应金额，则承包人应在提取后7日内补足或提交合同约定的履约担保的金额，否则按专用合同第</w:t>
      </w:r>
      <w:r>
        <w:rPr>
          <w:rFonts w:hint="eastAsia" w:ascii="宋体" w:hAnsi="宋体" w:cs="Microsoft Sans Serif"/>
          <w:color w:val="auto"/>
          <w:kern w:val="0"/>
          <w:szCs w:val="21"/>
          <w:highlight w:val="none"/>
        </w:rPr>
        <w:t>16.2.2项第（1）目承担违约责任</w:t>
      </w:r>
      <w:r>
        <w:rPr>
          <w:rFonts w:hint="eastAsia" w:ascii="宋体" w:hAnsi="宋体" w:cs="Microsoft Sans Serif"/>
          <w:color w:val="auto"/>
          <w:szCs w:val="21"/>
          <w:highlight w:val="none"/>
        </w:rPr>
        <w:t>，并从应付或到期应付给承包人的任何款项中或采用其他方法，扣除该违约金。</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szCs w:val="21"/>
          <w:highlight w:val="none"/>
        </w:rPr>
        <w:t>承包人必须及时纠正违约行为并采取积极措施，满足合同要求，自行承担与纠正违约行为有关的人身伤亡、罚款、索赔、损失补偿、诉讼费用及其他一切责任，工期不予顺延</w:t>
      </w:r>
      <w:r>
        <w:rPr>
          <w:rFonts w:hint="eastAsia" w:ascii="宋体" w:hAnsi="宋体" w:cs="Microsoft Sans Serif"/>
          <w:color w:val="auto"/>
          <w:kern w:val="0"/>
          <w:szCs w:val="21"/>
          <w:highlight w:val="none"/>
        </w:rPr>
        <w:t>，承担由此给</w:t>
      </w:r>
      <w:r>
        <w:rPr>
          <w:rFonts w:hint="eastAsia" w:ascii="宋体" w:hAnsi="宋体" w:cs="Microsoft Sans Serif"/>
          <w:color w:val="auto"/>
          <w:szCs w:val="21"/>
          <w:highlight w:val="none"/>
        </w:rPr>
        <w:t>发包人造成的经济损失。</w:t>
      </w:r>
    </w:p>
    <w:p>
      <w:pPr>
        <w:snapToGrid w:val="0"/>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szCs w:val="21"/>
          <w:highlight w:val="none"/>
        </w:rPr>
        <w:t>承包人承担承包范围的工程质量、安全、环保责任，因承包人原因引起的质量、安全、环保等事故由承包人承担相应的法律后果。</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16.2.3 因承包人违约解除合同</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因承包人违约并致使合同目的不能实现的，发包人有权解除合同：</w:t>
      </w:r>
    </w:p>
    <w:p>
      <w:pPr>
        <w:pStyle w:val="65"/>
        <w:spacing w:line="360" w:lineRule="auto"/>
        <w:jc w:val="left"/>
        <w:rPr>
          <w:rFonts w:ascii="宋体" w:hAnsi="宋体" w:cs="Microsoft Sans Serif"/>
          <w:color w:val="auto"/>
          <w:kern w:val="0"/>
          <w:sz w:val="21"/>
          <w:szCs w:val="21"/>
          <w:highlight w:val="none"/>
        </w:rPr>
      </w:pPr>
      <w:r>
        <w:rPr>
          <w:rFonts w:hint="eastAsia" w:ascii="宋体" w:hAnsi="宋体" w:cs="Microsoft Sans Serif"/>
          <w:color w:val="auto"/>
          <w:kern w:val="0"/>
          <w:sz w:val="21"/>
          <w:szCs w:val="21"/>
          <w:highlight w:val="none"/>
        </w:rPr>
        <w:t>（1）未按合同约定延迟提供履约担保、质量保证金超过</w:t>
      </w:r>
      <w:r>
        <w:rPr>
          <w:rFonts w:hint="eastAsia" w:ascii="宋体" w:hAnsi="宋体" w:cs="Microsoft Sans Serif"/>
          <w:color w:val="auto"/>
          <w:kern w:val="0"/>
          <w:sz w:val="21"/>
          <w:szCs w:val="21"/>
          <w:highlight w:val="none"/>
          <w:u w:val="single"/>
        </w:rPr>
        <w:t>14</w:t>
      </w:r>
      <w:r>
        <w:rPr>
          <w:rFonts w:hint="eastAsia" w:ascii="宋体" w:hAnsi="宋体" w:cs="Microsoft Sans Serif"/>
          <w:color w:val="auto"/>
          <w:kern w:val="0"/>
          <w:sz w:val="21"/>
          <w:szCs w:val="21"/>
          <w:highlight w:val="none"/>
        </w:rPr>
        <w:t>天的；</w:t>
      </w:r>
    </w:p>
    <w:p>
      <w:pPr>
        <w:pStyle w:val="65"/>
        <w:spacing w:line="360" w:lineRule="auto"/>
        <w:jc w:val="left"/>
        <w:rPr>
          <w:rFonts w:ascii="宋体" w:hAnsi="宋体" w:cs="Microsoft Sans Serif"/>
          <w:color w:val="auto"/>
          <w:kern w:val="0"/>
          <w:sz w:val="21"/>
          <w:szCs w:val="21"/>
          <w:highlight w:val="none"/>
        </w:rPr>
      </w:pPr>
      <w:r>
        <w:rPr>
          <w:rFonts w:hint="eastAsia" w:ascii="宋体" w:hAnsi="宋体" w:cs="Microsoft Sans Serif"/>
          <w:color w:val="auto"/>
          <w:kern w:val="0"/>
          <w:sz w:val="21"/>
          <w:szCs w:val="21"/>
          <w:highlight w:val="none"/>
        </w:rPr>
        <w:t>（2）未按合同约定购买保险且经催告后超过</w:t>
      </w:r>
      <w:r>
        <w:rPr>
          <w:rFonts w:hint="eastAsia" w:ascii="宋体" w:hAnsi="宋体" w:cs="Microsoft Sans Serif"/>
          <w:color w:val="auto"/>
          <w:kern w:val="0"/>
          <w:sz w:val="21"/>
          <w:szCs w:val="21"/>
          <w:highlight w:val="none"/>
          <w:u w:val="single"/>
        </w:rPr>
        <w:t>15</w:t>
      </w:r>
      <w:r>
        <w:rPr>
          <w:rFonts w:hint="eastAsia" w:ascii="宋体" w:hAnsi="宋体" w:cs="Microsoft Sans Serif"/>
          <w:color w:val="auto"/>
          <w:kern w:val="0"/>
          <w:sz w:val="21"/>
          <w:szCs w:val="21"/>
          <w:highlight w:val="none"/>
        </w:rPr>
        <w:t>天的；</w:t>
      </w:r>
    </w:p>
    <w:p>
      <w:pPr>
        <w:pStyle w:val="65"/>
        <w:spacing w:line="360" w:lineRule="auto"/>
        <w:jc w:val="left"/>
        <w:rPr>
          <w:rFonts w:ascii="宋体" w:hAnsi="宋体" w:cs="Microsoft Sans Serif"/>
          <w:color w:val="auto"/>
          <w:kern w:val="0"/>
          <w:sz w:val="21"/>
          <w:szCs w:val="21"/>
          <w:highlight w:val="none"/>
        </w:rPr>
      </w:pPr>
      <w:r>
        <w:rPr>
          <w:rFonts w:hint="eastAsia" w:ascii="宋体" w:hAnsi="宋体" w:cs="Microsoft Sans Serif"/>
          <w:color w:val="auto"/>
          <w:kern w:val="0"/>
          <w:sz w:val="21"/>
          <w:szCs w:val="21"/>
          <w:highlight w:val="none"/>
        </w:rPr>
        <w:t>（3）因承包人原因导致开工时间累计延误超过</w:t>
      </w:r>
      <w:r>
        <w:rPr>
          <w:rFonts w:hint="eastAsia" w:ascii="宋体" w:hAnsi="宋体" w:cs="Microsoft Sans Serif"/>
          <w:color w:val="auto"/>
          <w:kern w:val="0"/>
          <w:sz w:val="21"/>
          <w:szCs w:val="21"/>
          <w:highlight w:val="none"/>
          <w:u w:val="single"/>
        </w:rPr>
        <w:t>15</w:t>
      </w:r>
      <w:r>
        <w:rPr>
          <w:rFonts w:hint="eastAsia" w:ascii="宋体" w:hAnsi="宋体" w:cs="Microsoft Sans Serif"/>
          <w:color w:val="auto"/>
          <w:kern w:val="0"/>
          <w:sz w:val="21"/>
          <w:szCs w:val="21"/>
          <w:highlight w:val="none"/>
        </w:rPr>
        <w:t>天的；</w:t>
      </w:r>
    </w:p>
    <w:p>
      <w:pPr>
        <w:pStyle w:val="65"/>
        <w:spacing w:line="360" w:lineRule="auto"/>
        <w:jc w:val="left"/>
        <w:rPr>
          <w:rFonts w:ascii="宋体" w:hAnsi="宋体" w:cs="Microsoft Sans Serif"/>
          <w:color w:val="auto"/>
          <w:kern w:val="0"/>
          <w:sz w:val="21"/>
          <w:szCs w:val="21"/>
          <w:highlight w:val="none"/>
        </w:rPr>
      </w:pPr>
      <w:r>
        <w:rPr>
          <w:rFonts w:hint="eastAsia" w:ascii="宋体" w:hAnsi="宋体" w:cs="Microsoft Sans Serif"/>
          <w:color w:val="auto"/>
          <w:kern w:val="0"/>
          <w:sz w:val="21"/>
          <w:szCs w:val="21"/>
          <w:highlight w:val="none"/>
        </w:rPr>
        <w:t>（4）因承包人原因导致工期延误超过</w:t>
      </w:r>
      <w:r>
        <w:rPr>
          <w:rFonts w:hint="eastAsia" w:ascii="宋体" w:hAnsi="宋体" w:cs="Microsoft Sans Serif"/>
          <w:color w:val="auto"/>
          <w:kern w:val="0"/>
          <w:sz w:val="21"/>
          <w:szCs w:val="21"/>
          <w:highlight w:val="none"/>
          <w:u w:val="single"/>
        </w:rPr>
        <w:t>30</w:t>
      </w:r>
      <w:r>
        <w:rPr>
          <w:rFonts w:hint="eastAsia" w:ascii="宋体" w:hAnsi="宋体" w:cs="Microsoft Sans Serif"/>
          <w:color w:val="auto"/>
          <w:kern w:val="0"/>
          <w:sz w:val="21"/>
          <w:szCs w:val="21"/>
          <w:highlight w:val="none"/>
        </w:rPr>
        <w:t>天的；</w:t>
      </w:r>
    </w:p>
    <w:p>
      <w:pPr>
        <w:pStyle w:val="65"/>
        <w:spacing w:line="360" w:lineRule="auto"/>
        <w:jc w:val="left"/>
        <w:rPr>
          <w:rFonts w:ascii="宋体" w:hAnsi="宋体" w:cs="Microsoft Sans Serif"/>
          <w:color w:val="auto"/>
          <w:kern w:val="0"/>
          <w:sz w:val="21"/>
          <w:szCs w:val="21"/>
          <w:highlight w:val="none"/>
        </w:rPr>
      </w:pPr>
      <w:r>
        <w:rPr>
          <w:rFonts w:hint="eastAsia" w:ascii="宋体" w:hAnsi="宋体" w:cs="Microsoft Sans Serif"/>
          <w:color w:val="auto"/>
          <w:kern w:val="0"/>
          <w:sz w:val="21"/>
          <w:szCs w:val="21"/>
          <w:highlight w:val="none"/>
        </w:rPr>
        <w:t>（5）发生第21.2款〔退出机制〕约定的情形的；</w:t>
      </w:r>
    </w:p>
    <w:p>
      <w:pPr>
        <w:pStyle w:val="65"/>
        <w:spacing w:line="360" w:lineRule="auto"/>
        <w:jc w:val="left"/>
        <w:rPr>
          <w:rFonts w:ascii="宋体" w:hAnsi="宋体" w:cs="Microsoft Sans Serif"/>
          <w:color w:val="auto"/>
          <w:kern w:val="0"/>
          <w:sz w:val="21"/>
          <w:szCs w:val="21"/>
          <w:highlight w:val="none"/>
        </w:rPr>
      </w:pPr>
      <w:r>
        <w:rPr>
          <w:rFonts w:hint="eastAsia" w:ascii="宋体" w:hAnsi="宋体" w:cs="Microsoft Sans Serif"/>
          <w:color w:val="auto"/>
          <w:kern w:val="0"/>
          <w:sz w:val="21"/>
          <w:szCs w:val="21"/>
          <w:highlight w:val="none"/>
        </w:rPr>
        <w:t>（6）监理人发出整改通知后，承包人在监理人限定的期限内仍不纠正违约行为的；</w:t>
      </w:r>
    </w:p>
    <w:p>
      <w:pPr>
        <w:pStyle w:val="65"/>
        <w:spacing w:line="360" w:lineRule="auto"/>
        <w:jc w:val="left"/>
        <w:rPr>
          <w:rFonts w:ascii="宋体" w:hAnsi="宋体" w:cs="Microsoft Sans Serif"/>
          <w:color w:val="auto"/>
          <w:kern w:val="0"/>
          <w:sz w:val="21"/>
          <w:szCs w:val="21"/>
          <w:highlight w:val="none"/>
        </w:rPr>
      </w:pPr>
      <w:r>
        <w:rPr>
          <w:rFonts w:hint="eastAsia" w:ascii="宋体" w:hAnsi="宋体" w:cs="Microsoft Sans Serif"/>
          <w:color w:val="auto"/>
          <w:kern w:val="0"/>
          <w:sz w:val="21"/>
          <w:szCs w:val="21"/>
          <w:highlight w:val="none"/>
        </w:rPr>
        <w:t>（7）承包人进入清算或者严重资不抵债且无法履行合同的；</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（8）违反适用法律而被相关政府部门依法吊销营业执照、责令停业、清算或宣布破产、责令关闭的；</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（9）承包人未履行合同项下的义务构成对合同的实质性违约，并且在收到发包人要求说明其违约并予以补救的通知后</w:t>
      </w:r>
      <w:r>
        <w:rPr>
          <w:rFonts w:hint="eastAsia" w:ascii="宋体" w:hAnsi="宋体" w:cs="Microsoft Sans Serif"/>
          <w:color w:val="auto"/>
          <w:kern w:val="0"/>
          <w:szCs w:val="21"/>
          <w:highlight w:val="none"/>
          <w:u w:val="single"/>
        </w:rPr>
        <w:t xml:space="preserve"> 20 </w:t>
      </w:r>
      <w:r>
        <w:rPr>
          <w:rFonts w:hint="eastAsia" w:ascii="宋体" w:hAnsi="宋体" w:cs="Microsoft Sans Serif"/>
          <w:color w:val="auto"/>
          <w:kern w:val="0"/>
          <w:szCs w:val="21"/>
          <w:highlight w:val="none"/>
        </w:rPr>
        <w:t>天内仍未能补救该实质性违约的；</w:t>
      </w:r>
    </w:p>
    <w:p>
      <w:pPr>
        <w:pStyle w:val="65"/>
        <w:spacing w:line="360" w:lineRule="auto"/>
        <w:jc w:val="left"/>
        <w:rPr>
          <w:rFonts w:ascii="宋体" w:hAnsi="宋体" w:cs="Microsoft Sans Serif"/>
          <w:color w:val="auto"/>
          <w:kern w:val="0"/>
          <w:sz w:val="21"/>
          <w:szCs w:val="21"/>
          <w:highlight w:val="none"/>
        </w:rPr>
      </w:pPr>
      <w:r>
        <w:rPr>
          <w:rFonts w:hint="eastAsia" w:ascii="宋体" w:hAnsi="宋体" w:cs="Microsoft Sans Serif"/>
          <w:color w:val="auto"/>
          <w:kern w:val="0"/>
          <w:sz w:val="21"/>
          <w:szCs w:val="21"/>
          <w:highlight w:val="none"/>
        </w:rPr>
        <w:t>（10）</w:t>
      </w:r>
      <w:r>
        <w:rPr>
          <w:rFonts w:hint="eastAsia" w:ascii="宋体" w:hAnsi="宋体" w:cs="Microsoft Sans Serif"/>
          <w:color w:val="auto"/>
          <w:kern w:val="0"/>
          <w:sz w:val="21"/>
          <w:szCs w:val="21"/>
          <w:highlight w:val="none"/>
          <w:u w:val="single"/>
        </w:rPr>
        <w:t>合同约定的发包人有权解除合同的其他情形</w:t>
      </w:r>
      <w:r>
        <w:rPr>
          <w:rFonts w:hint="eastAsia" w:ascii="宋体" w:hAnsi="宋体" w:cs="Microsoft Sans Serif"/>
          <w:color w:val="auto"/>
          <w:kern w:val="0"/>
          <w:sz w:val="21"/>
          <w:szCs w:val="21"/>
          <w:highlight w:val="none"/>
        </w:rPr>
        <w:t>。</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16.2.4因承包人违约解除合同后的处理</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因承包人违约导致合同解除的，合同当事人应在合同解除后</w:t>
      </w:r>
      <w:r>
        <w:rPr>
          <w:rFonts w:hint="eastAsia" w:ascii="宋体" w:hAnsi="宋体" w:cs="Microsoft Sans Serif"/>
          <w:color w:val="auto"/>
          <w:kern w:val="0"/>
          <w:szCs w:val="21"/>
          <w:highlight w:val="none"/>
          <w:u w:val="single"/>
        </w:rPr>
        <w:t>30</w:t>
      </w:r>
      <w:r>
        <w:rPr>
          <w:rFonts w:hint="eastAsia" w:ascii="宋体" w:hAnsi="宋体" w:cs="Microsoft Sans Serif"/>
          <w:color w:val="auto"/>
          <w:kern w:val="0"/>
          <w:szCs w:val="21"/>
          <w:highlight w:val="none"/>
        </w:rPr>
        <w:t>天内完成估价、付款和清算，并按以下约定执行：</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（1）合同解除后，按第14.2款结算审定方式确定承包人实际完成工作对应的合同价款，以及承包人已提供的材料、工程设备、施工设备和临时工程等的价值；</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（2）合同解除后，承包人应支付违约金；</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（3）合同解除后，赔偿因解除合同给发包人造成的损失；</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（4）合同解除后，承包人应按照发包人要求和监理人的指示完成现场的清理和撤离。</w:t>
      </w:r>
    </w:p>
    <w:p>
      <w:pPr>
        <w:spacing w:line="360" w:lineRule="auto"/>
        <w:ind w:firstLine="420" w:firstLineChars="200"/>
        <w:jc w:val="left"/>
        <w:rPr>
          <w:rFonts w:ascii="宋体" w:hAnsi="宋体"/>
          <w:color w:val="auto"/>
          <w:szCs w:val="21"/>
          <w:highlight w:val="none"/>
        </w:rPr>
      </w:pPr>
      <w:r>
        <w:rPr>
          <w:rFonts w:hint="eastAsia" w:ascii="宋体" w:hAnsi="宋体" w:cs="Microsoft Sans Serif"/>
          <w:color w:val="auto"/>
          <w:kern w:val="0"/>
          <w:szCs w:val="21"/>
          <w:highlight w:val="none"/>
        </w:rPr>
        <w:t>（5）</w:t>
      </w:r>
      <w:r>
        <w:rPr>
          <w:rFonts w:hint="eastAsia" w:ascii="宋体" w:hAnsi="宋体" w:cs="Microsoft Sans Serif"/>
          <w:color w:val="auto"/>
          <w:kern w:val="0"/>
          <w:szCs w:val="21"/>
          <w:highlight w:val="none"/>
          <w:u w:val="single"/>
        </w:rPr>
        <w:t xml:space="preserve">   /     </w:t>
      </w:r>
      <w:r>
        <w:rPr>
          <w:rFonts w:hint="eastAsia" w:ascii="宋体" w:hAnsi="宋体" w:cs="Microsoft Sans Serif"/>
          <w:color w:val="auto"/>
          <w:kern w:val="0"/>
          <w:szCs w:val="21"/>
          <w:highlight w:val="none"/>
        </w:rPr>
        <w:t>。</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因承包人违约导致解除合同的，发包人有权暂停对承包人的付款，查清各项付款和已扣款项。发包人和承包人未能就合同解除后的清算和款项支付达成一致的，按照第20条〔争议解决〕的约定处理。</w:t>
      </w:r>
    </w:p>
    <w:p>
      <w:pPr>
        <w:spacing w:line="360" w:lineRule="auto"/>
        <w:ind w:firstLine="420" w:firstLineChars="200"/>
        <w:jc w:val="left"/>
        <w:rPr>
          <w:rFonts w:ascii="宋体" w:hAnsi="宋体" w:cs="Microsoft Sans Serif"/>
          <w:color w:val="auto"/>
          <w:kern w:val="0"/>
          <w:szCs w:val="21"/>
          <w:highlight w:val="none"/>
        </w:rPr>
      </w:pPr>
      <w:r>
        <w:rPr>
          <w:rFonts w:hint="eastAsia" w:ascii="宋体" w:hAnsi="宋体" w:cs="Microsoft Sans Serif"/>
          <w:color w:val="auto"/>
          <w:kern w:val="0"/>
          <w:szCs w:val="21"/>
          <w:highlight w:val="none"/>
        </w:rPr>
        <w:t>合同解除后，发包人可派员进驻施工现场，另行组织人员或委托其他承包人继续完成合同工程；因继续完成工程的需要，发包人有权使用承包人在施工现场的材料、设备、临时工程、承包人文件和由承包人或以其名义编制的其他文件；发包人继续使用承包人在施工现场的材料、设备、临时工程、承包人文件和由承包人或以其名义编制的其他文件的费用承担方式由双方协商确定；发包人继续使用的行为不免除或减轻承包人应承担的违约责任，也不影响发包人根据合同享有的索赔等权利。</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17. 不可抗力</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17.1 不可抗力的确认</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除通用合同条款约定的不可抗力事件之外，视为不可抗力的其他情形：</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（1）洪水、火山爆发、山崩、山体滑坡、泥石流、龙卷风、隧道内不可预测的突发性地质灾害等自然灾害；</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（2）骚乱、戒严、封锁、禁运、恐怖行为、等社会行为，但承包人或其分包人派遣与雇佣的人员由于合同工程施工原因引起的除外；</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（3）不能合理预见的重大交通阻滞、停运、交通事故</w:t>
      </w:r>
      <w:r>
        <w:rPr>
          <w:rFonts w:ascii="宋体" w:hAnsi="宋体"/>
          <w:color w:val="auto"/>
          <w:szCs w:val="21"/>
          <w:highlight w:val="none"/>
        </w:rPr>
        <w:t>、</w:t>
      </w:r>
      <w:r>
        <w:rPr>
          <w:rFonts w:hint="eastAsia" w:ascii="宋体" w:hAnsi="宋体"/>
          <w:color w:val="auto"/>
          <w:szCs w:val="21"/>
          <w:highlight w:val="none"/>
        </w:rPr>
        <w:t>疫情</w:t>
      </w:r>
      <w:r>
        <w:rPr>
          <w:rFonts w:ascii="宋体" w:hAnsi="宋体"/>
          <w:color w:val="auto"/>
          <w:szCs w:val="21"/>
          <w:highlight w:val="none"/>
        </w:rPr>
        <w:t>，</w:t>
      </w:r>
      <w:r>
        <w:rPr>
          <w:rFonts w:hint="eastAsia" w:ascii="宋体" w:hAnsi="宋体"/>
          <w:color w:val="auto"/>
          <w:szCs w:val="21"/>
          <w:highlight w:val="none"/>
        </w:rPr>
        <w:t>非双方责任引起的火灾、爆炸、船舶撞击等情形；</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（4）化学或放射性污染或核辐射；</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（5）环保治理等政府行为导致项目停工的。</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（6）</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17.3 不可抗力后果的承担</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17.3.1 不可抗力引起的后果及造成的损失由合同当事人按照法律规定及合同约定各自承担。不可抗力发生前已完成的工程应当按照合同约定进行计量支付。</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17.3.2 不可抗力导致的人员伤亡、财产损失、费用增加和（或）工期延误等后果，由合同当事人按以下原则承担：</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（1）永久工程、已运至施工现场的施工材料和工程设备的损坏，以及因工程损坏造成的第三方人员伤亡和财产损失由发包人承担；</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（2）承包人施工设备的损坏由承包人承担；</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（3）发包人和承包人承担各自人员伤亡和财产的损失；</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（4）因不可抗力影响承包人履行合同约定的义务，已经引起或将引起工期延误的，应当顺延工期，由此导致承包人停工的费用损失由发包人和承包人合理共担；</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（5）因不可抗力引起或将引起工期延误，发包人要求赶工的，由此增加的赶工费用由发包人承担；</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（6）承包人在停工期间按照发包人要求照管、清理和修复工程的费用由发包人承担；</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（7）不可抗力事件发生后，合同当事人均应采取措施尽量避免和减少损失的扩大，任何一方当事人没有采取有效措施导致损失扩大的，应对扩大的损失承担责任。</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（8）</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17.4 因不可抗力解除合同</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合同解除后，发包人应在商定或确定发包人应支付款项后</w:t>
      </w:r>
      <w:r>
        <w:rPr>
          <w:rFonts w:hint="eastAsia" w:ascii="宋体" w:hAnsi="宋体"/>
          <w:color w:val="auto"/>
          <w:szCs w:val="21"/>
          <w:highlight w:val="none"/>
          <w:u w:val="single"/>
        </w:rPr>
        <w:t>28</w:t>
      </w:r>
      <w:r>
        <w:rPr>
          <w:rFonts w:hint="eastAsia" w:ascii="宋体" w:hAnsi="宋体"/>
          <w:color w:val="auto"/>
          <w:szCs w:val="21"/>
          <w:highlight w:val="none"/>
        </w:rPr>
        <w:t>天内完成款项的支付。</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18. 保险</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18.1 工程保险</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关于工程保险的特别约定：发包人应投保</w:t>
      </w:r>
      <w:r>
        <w:rPr>
          <w:rFonts w:hint="eastAsia" w:ascii="宋体" w:hAnsi="宋体"/>
          <w:color w:val="auto"/>
          <w:szCs w:val="21"/>
          <w:highlight w:val="none"/>
          <w:u w:val="single"/>
        </w:rPr>
        <w:t>建筑工程一切险或安装工程一切险</w:t>
      </w:r>
      <w:r>
        <w:rPr>
          <w:rFonts w:hint="eastAsia" w:ascii="宋体" w:hAnsi="宋体"/>
          <w:color w:val="auto"/>
          <w:szCs w:val="21"/>
          <w:highlight w:val="none"/>
        </w:rPr>
        <w:t>；发包人委托承包人投保的，因投保产生的保险费和其他相关费用由发包人承担。</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18.3 其他保险</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关于其他保险的约定：</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承包人是否应为其施工设备等办理财产保险：</w:t>
      </w:r>
      <w:r>
        <w:rPr>
          <w:rFonts w:hint="eastAsia" w:ascii="宋体" w:hAnsi="宋体"/>
          <w:color w:val="auto"/>
          <w:szCs w:val="21"/>
          <w:highlight w:val="none"/>
          <w:u w:val="single"/>
        </w:rPr>
        <w:t xml:space="preserve">   是    </w:t>
      </w:r>
      <w:r>
        <w:rPr>
          <w:rFonts w:hint="eastAsia" w:ascii="宋体" w:hAnsi="宋体"/>
          <w:color w:val="auto"/>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安全生产责任险：</w:t>
      </w:r>
      <w:r>
        <w:rPr>
          <w:rFonts w:hint="eastAsia" w:ascii="宋体" w:hAnsi="宋体"/>
          <w:color w:val="auto"/>
          <w:szCs w:val="21"/>
          <w:highlight w:val="none"/>
          <w:u w:val="single"/>
        </w:rPr>
        <w:t>承包人应按《重庆市人民政府办公厅关于在高危行业领域强制推行安全生产责任保险的实施意见》（渝府办法〔2017〕182号）的要求办理安全生产责任保险</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18.7 通知义务</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关于变更保险合同时的通知义务的约定：</w:t>
      </w:r>
      <w:r>
        <w:rPr>
          <w:rFonts w:hint="eastAsia" w:ascii="宋体" w:hAnsi="宋体"/>
          <w:color w:val="auto"/>
          <w:szCs w:val="21"/>
          <w:highlight w:val="none"/>
          <w:u w:val="single"/>
        </w:rPr>
        <w:t>按通用合同条款执行</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18.8 其他</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18.8.1 工程开工日前，承包人向发包人提交各项生效的保险证据和保险单副本。未按本项约定提交的，每延后1天，承包人按500元/天支付违约金。</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18.8.2 承包人保险赔偿金不足以补偿发包人损失时，差额由承包人负责补足。</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19. 索赔</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19.1 承包人的索赔</w:t>
      </w:r>
    </w:p>
    <w:p>
      <w:pPr>
        <w:autoSpaceDE w:val="0"/>
        <w:autoSpaceDN w:val="0"/>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根据合同约定，承包人认为有权得到追加付款和（或）延长工期的，应按以下程序向发包人提出索赔：</w:t>
      </w:r>
    </w:p>
    <w:p>
      <w:pPr>
        <w:autoSpaceDE w:val="0"/>
        <w:autoSpaceDN w:val="0"/>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（1）承包人应在索赔事件发生后28天内，向监理人递交索赔意向通知书，并说明发生索赔事件的事由；承包人未在前述28天内发出索赔意向通知书的，丧失要求追加付款和（或）延长工期的权利；</w:t>
      </w:r>
    </w:p>
    <w:p>
      <w:pPr>
        <w:autoSpaceDE w:val="0"/>
        <w:autoSpaceDN w:val="0"/>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（2）承包人应在发出索赔意向通知书后28天内，向监理人正式递交索赔报告；索赔报告应详细说明索赔理由以及要求追加的付款金额和（或）延长的工期，并附必要的记录和证明材料；</w:t>
      </w:r>
    </w:p>
    <w:p>
      <w:pPr>
        <w:autoSpaceDE w:val="0"/>
        <w:autoSpaceDN w:val="0"/>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（3）索赔事件具有持续影响的，承包人应按监理人要求的合理时间间隔继续递交延续索赔通知，说明持续影响的实际情况和记录，列出累计的追加付款金额和（或）工期延长天数；</w:t>
      </w:r>
    </w:p>
    <w:p>
      <w:pPr>
        <w:autoSpaceDE w:val="0"/>
        <w:autoSpaceDN w:val="0"/>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（4）在索赔事件影响结束后28天内，承包人应向监理人递交最终索赔报告，说明最终要求索赔的追加付款金额和（或）延长的工期，并附必要的记录和证明材料。</w:t>
      </w:r>
    </w:p>
    <w:p>
      <w:pPr>
        <w:autoSpaceDE w:val="0"/>
        <w:autoSpaceDN w:val="0"/>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（5）</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19.2 对承包人索赔的处理</w:t>
      </w:r>
    </w:p>
    <w:p>
      <w:pPr>
        <w:autoSpaceDE w:val="0"/>
        <w:autoSpaceDN w:val="0"/>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对承包人索赔的处理如下：</w:t>
      </w:r>
    </w:p>
    <w:p>
      <w:pPr>
        <w:autoSpaceDE w:val="0"/>
        <w:autoSpaceDN w:val="0"/>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（1）监理人应在收到索赔报告后14天内完成审查并报送发包人。监理人对索赔报告存在异议的，有权要求承包人提交全部原始记录副本</w:t>
      </w:r>
      <w:r>
        <w:rPr>
          <w:rFonts w:hint="eastAsia" w:ascii="宋体" w:hAnsi="宋体"/>
          <w:color w:val="auto"/>
          <w:szCs w:val="21"/>
          <w:highlight w:val="none"/>
        </w:rPr>
        <w:t>；</w:t>
      </w:r>
    </w:p>
    <w:p>
      <w:pPr>
        <w:autoSpaceDE w:val="0"/>
        <w:autoSpaceDN w:val="0"/>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（2）发包人应在监理人收到索赔报告或有关索赔的进一步证明材料后的28天内，由监理人向承包人出具经发包人签认的索赔处理结果。发包人逾期未答复的，承包人应以书面形式催告发包人</w:t>
      </w:r>
      <w:r>
        <w:rPr>
          <w:rFonts w:ascii="宋体" w:hAnsi="宋体"/>
          <w:color w:val="auto"/>
          <w:szCs w:val="21"/>
          <w:highlight w:val="none"/>
          <w:u w:val="single"/>
        </w:rPr>
        <w:t>；</w:t>
      </w:r>
    </w:p>
    <w:p>
      <w:pPr>
        <w:autoSpaceDE w:val="0"/>
        <w:autoSpaceDN w:val="0"/>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（3）承包人接受索赔处理结果的，索赔款项在当期进度款中进行支付；承包人不接受索赔处理结果的，按照第20条〔争议解决〕约定处理</w:t>
      </w:r>
      <w:r>
        <w:rPr>
          <w:rFonts w:hint="eastAsia" w:ascii="宋体" w:hAnsi="宋体"/>
          <w:color w:val="auto"/>
          <w:szCs w:val="21"/>
          <w:highlight w:val="none"/>
        </w:rPr>
        <w:t>；</w:t>
      </w:r>
    </w:p>
    <w:p>
      <w:pPr>
        <w:autoSpaceDE w:val="0"/>
        <w:autoSpaceDN w:val="0"/>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（4）工期延误的关键线路按照经监理人、发包人审批同意的施工组织设计计算</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19.3发包人的索赔</w:t>
      </w:r>
    </w:p>
    <w:p>
      <w:pPr>
        <w:autoSpaceDE w:val="0"/>
        <w:autoSpaceDN w:val="0"/>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根据合同约定，发包人认为有权得到赔付金额和（或）延长缺陷责任期的，监理人应向承包人发出通知并附有详细的证明。</w:t>
      </w:r>
    </w:p>
    <w:p>
      <w:pPr>
        <w:autoSpaceDE w:val="0"/>
        <w:autoSpaceDN w:val="0"/>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rPr>
        <w:t>发包人应在索赔事件发生后28天内通过监理人向承包人提出索赔意向通知书，发包人未在前述28天内发出索赔意向通知书的，丧失要求赔付金额和（或）延长缺陷责任期的权利。发包人应在发出索赔意向通知书后28天内，通过监理人向承包人正式递交索赔报告；索赔事件具有持续影响的，发包人应在索赔事件影响结束后28天内，通过监理人向承包人正式递交最终索赔报告。</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19.4 对发包人索赔的处理</w:t>
      </w:r>
    </w:p>
    <w:p>
      <w:pPr>
        <w:autoSpaceDE w:val="0"/>
        <w:autoSpaceDN w:val="0"/>
        <w:spacing w:line="360" w:lineRule="auto"/>
        <w:ind w:right="105" w:rightChars="50"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对发包人索赔的处理如下：</w:t>
      </w:r>
    </w:p>
    <w:p>
      <w:pPr>
        <w:autoSpaceDE w:val="0"/>
        <w:autoSpaceDN w:val="0"/>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（1）承包人收到发包人提交的索赔报告后，应及时审查索赔报告的内容、查验发包人证明材料；</w:t>
      </w:r>
    </w:p>
    <w:p>
      <w:pPr>
        <w:autoSpaceDE w:val="0"/>
        <w:autoSpaceDN w:val="0"/>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承包人应在收到索赔报告或有关索赔的进一步证明材料后28天内，将索赔处理结果答复发包人。如果承包人未在上述期限内作出答复的，监理人应以书面形式催告承包人，经监理人三次书面催告后，承包人仍未按期限答复的，则视为对发包人索赔要求的认可；</w:t>
      </w:r>
    </w:p>
    <w:p>
      <w:pPr>
        <w:autoSpaceDE w:val="0"/>
        <w:autoSpaceDN w:val="0"/>
        <w:spacing w:line="360" w:lineRule="auto"/>
        <w:ind w:right="105" w:rightChars="50" w:firstLine="420" w:firstLineChars="200"/>
        <w:jc w:val="left"/>
        <w:rPr>
          <w:rFonts w:ascii="宋体" w:hAnsi="宋体"/>
          <w:color w:val="auto"/>
          <w:szCs w:val="21"/>
          <w:highlight w:val="none"/>
          <w:u w:val="single"/>
        </w:rPr>
      </w:pPr>
      <w:r>
        <w:rPr>
          <w:rFonts w:hint="eastAsia" w:ascii="宋体" w:hAnsi="宋体"/>
          <w:color w:val="auto"/>
          <w:szCs w:val="21"/>
          <w:highlight w:val="none"/>
        </w:rPr>
        <w:t>（3）承包人接受索赔处理结果的，发包人可从应支付给承包人的合同价款中扣除赔付的金额或延长缺陷责任期；发包人不接受索赔处理结果的，按第20条〔争议解决〕约定处理。</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19.5 提出索赔的期限</w:t>
      </w:r>
    </w:p>
    <w:p>
      <w:pPr>
        <w:autoSpaceDE w:val="0"/>
        <w:autoSpaceDN w:val="0"/>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任一索赔事件发生后28天内，承包人/发包人未向对方发出索赔意向通知书的，视为其已放弃索赔权，无权再就该索赔事项提出任何索赔。</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20. 争议解决</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20.3 争议评审</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合同当事人是否同意将工程争议提交争议评审小组决定：</w:t>
      </w:r>
      <w:r>
        <w:rPr>
          <w:rFonts w:hint="eastAsia" w:ascii="宋体" w:hAnsi="宋体"/>
          <w:color w:val="auto"/>
          <w:szCs w:val="21"/>
          <w:highlight w:val="none"/>
          <w:u w:val="single"/>
        </w:rPr>
        <w:t xml:space="preserve">    /    </w:t>
      </w:r>
      <w:r>
        <w:rPr>
          <w:rFonts w:hint="eastAsia" w:ascii="宋体" w:hAnsi="宋体"/>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20.4 仲裁或诉讼</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因合同及合同有关事项发生的争议，按下列第</w:t>
      </w:r>
      <w:r>
        <w:rPr>
          <w:rFonts w:hint="eastAsia" w:ascii="宋体" w:hAnsi="宋体"/>
          <w:color w:val="auto"/>
          <w:szCs w:val="21"/>
          <w:highlight w:val="none"/>
          <w:u w:val="single"/>
        </w:rPr>
        <w:t xml:space="preserve">  2  </w:t>
      </w:r>
      <w:r>
        <w:rPr>
          <w:rFonts w:hint="eastAsia" w:ascii="宋体" w:hAnsi="宋体"/>
          <w:color w:val="auto"/>
          <w:szCs w:val="21"/>
          <w:highlight w:val="none"/>
        </w:rPr>
        <w:t>种方式解决：</w:t>
      </w:r>
    </w:p>
    <w:p>
      <w:pPr>
        <w:spacing w:line="360" w:lineRule="auto"/>
        <w:ind w:right="105" w:rightChars="50" w:firstLine="420" w:firstLineChars="200"/>
        <w:jc w:val="left"/>
        <w:rPr>
          <w:rFonts w:ascii="宋体" w:hAnsi="宋体"/>
          <w:color w:val="auto"/>
          <w:szCs w:val="21"/>
          <w:highlight w:val="none"/>
        </w:rPr>
      </w:pPr>
      <w:r>
        <w:rPr>
          <w:rFonts w:ascii="宋体" w:hAnsi="宋体"/>
          <w:color w:val="auto"/>
          <w:szCs w:val="21"/>
          <w:highlight w:val="none"/>
        </w:rPr>
        <w:t>（1）向</w:t>
      </w:r>
      <w:r>
        <w:rPr>
          <w:rFonts w:ascii="宋体" w:hAnsi="宋体"/>
          <w:color w:val="auto"/>
          <w:szCs w:val="21"/>
          <w:highlight w:val="none"/>
          <w:u w:val="single"/>
        </w:rPr>
        <w:t xml:space="preserve">                     </w:t>
      </w:r>
      <w:r>
        <w:rPr>
          <w:rFonts w:ascii="宋体" w:hAnsi="宋体"/>
          <w:color w:val="auto"/>
          <w:szCs w:val="21"/>
          <w:highlight w:val="none"/>
        </w:rPr>
        <w:t>仲裁委员会申请仲裁；</w:t>
      </w:r>
    </w:p>
    <w:p>
      <w:pPr>
        <w:spacing w:line="360" w:lineRule="auto"/>
        <w:ind w:right="105" w:rightChars="50" w:firstLine="420" w:firstLineChars="200"/>
        <w:jc w:val="left"/>
        <w:rPr>
          <w:rFonts w:ascii="宋体" w:hAnsi="宋体"/>
          <w:color w:val="auto"/>
          <w:szCs w:val="21"/>
          <w:highlight w:val="none"/>
        </w:rPr>
      </w:pPr>
      <w:r>
        <w:rPr>
          <w:rFonts w:ascii="宋体" w:hAnsi="宋体"/>
          <w:color w:val="auto"/>
          <w:szCs w:val="21"/>
          <w:highlight w:val="none"/>
        </w:rPr>
        <w:t>（2）向</w:t>
      </w:r>
      <w:r>
        <w:rPr>
          <w:rFonts w:ascii="宋体" w:hAnsi="宋体"/>
          <w:color w:val="auto"/>
          <w:szCs w:val="21"/>
          <w:highlight w:val="none"/>
          <w:u w:val="single"/>
        </w:rPr>
        <w:t xml:space="preserve"> </w:t>
      </w:r>
      <w:r>
        <w:rPr>
          <w:rFonts w:hint="eastAsia" w:ascii="宋体" w:hAnsi="宋体"/>
          <w:color w:val="auto"/>
          <w:szCs w:val="21"/>
          <w:highlight w:val="none"/>
          <w:u w:val="single"/>
        </w:rPr>
        <w:t>本工程项目所在地</w:t>
      </w:r>
      <w:r>
        <w:rPr>
          <w:rFonts w:ascii="宋体" w:hAnsi="宋体"/>
          <w:color w:val="auto"/>
          <w:szCs w:val="21"/>
          <w:highlight w:val="none"/>
          <w:u w:val="single"/>
        </w:rPr>
        <w:t xml:space="preserve"> </w:t>
      </w:r>
      <w:r>
        <w:rPr>
          <w:rFonts w:ascii="宋体" w:hAnsi="宋体"/>
          <w:color w:val="auto"/>
          <w:szCs w:val="21"/>
          <w:highlight w:val="none"/>
        </w:rPr>
        <w:t>人民法院起诉。</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21. 补充条款</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21.1 退出机制</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21.1.1有下列情形之一的，发包人有权解除合同，亦有权兑付履约担保，并对承包人做清退出场处理</w:t>
      </w:r>
      <w:r>
        <w:rPr>
          <w:rFonts w:hint="eastAsia" w:ascii="宋体" w:hAnsi="宋体"/>
          <w:color w:val="auto"/>
          <w:kern w:val="0"/>
          <w:szCs w:val="21"/>
          <w:highlight w:val="none"/>
        </w:rPr>
        <w:t>：</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（1）因承包人原因造成较大及以上等级生产安全事故或工程质量事故的；</w:t>
      </w:r>
    </w:p>
    <w:p>
      <w:pPr>
        <w:spacing w:line="360" w:lineRule="auto"/>
        <w:ind w:right="105" w:rightChars="50"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（2）因承包人债权债务纠纷或其他纠纷导致工程无法正常施工的。</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kern w:val="0"/>
          <w:szCs w:val="21"/>
          <w:highlight w:val="none"/>
        </w:rPr>
        <w:t>（3）</w:t>
      </w:r>
      <w:r>
        <w:rPr>
          <w:rFonts w:hint="eastAsia" w:ascii="宋体" w:hAnsi="宋体"/>
          <w:color w:val="auto"/>
          <w:kern w:val="0"/>
          <w:szCs w:val="21"/>
          <w:highlight w:val="none"/>
          <w:u w:val="single"/>
        </w:rPr>
        <w:t xml:space="preserve"> 发包人认为对本工程造成严重影响的情况   </w:t>
      </w:r>
      <w:r>
        <w:rPr>
          <w:rFonts w:hint="eastAsia" w:ascii="宋体" w:hAnsi="宋体"/>
          <w:color w:val="auto"/>
          <w:kern w:val="0"/>
          <w:szCs w:val="21"/>
          <w:highlight w:val="none"/>
        </w:rPr>
        <w:t>。</w:t>
      </w:r>
    </w:p>
    <w:p>
      <w:pPr>
        <w:pStyle w:val="2"/>
        <w:spacing w:after="0" w:line="360" w:lineRule="auto"/>
        <w:ind w:firstLine="420" w:firstLineChars="200"/>
        <w:rPr>
          <w:rFonts w:ascii="宋体" w:hAnsi="宋体"/>
          <w:color w:val="auto"/>
          <w:szCs w:val="21"/>
          <w:highlight w:val="none"/>
        </w:rPr>
      </w:pPr>
      <w:r>
        <w:rPr>
          <w:rFonts w:hint="eastAsia" w:ascii="宋体" w:hAnsi="宋体"/>
          <w:color w:val="auto"/>
          <w:szCs w:val="21"/>
          <w:highlight w:val="none"/>
        </w:rPr>
        <w:t>21.1.2有下列情形之一的，承包人有权解除合同，并按16.1.4约定执行：</w:t>
      </w:r>
    </w:p>
    <w:p>
      <w:pPr>
        <w:pStyle w:val="2"/>
        <w:spacing w:after="0"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（1）因发包人征地、拆迁、补偿、审批手续等原因致使本工程延期开工超过90天的。</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kern w:val="0"/>
          <w:szCs w:val="21"/>
          <w:highlight w:val="none"/>
        </w:rPr>
        <w:t>（2）</w:t>
      </w:r>
      <w:r>
        <w:rPr>
          <w:rFonts w:hint="eastAsia" w:ascii="宋体" w:hAnsi="宋体"/>
          <w:color w:val="auto"/>
          <w:kern w:val="0"/>
          <w:szCs w:val="21"/>
          <w:highlight w:val="none"/>
          <w:u w:val="single"/>
        </w:rPr>
        <w:t xml:space="preserve">    /    </w:t>
      </w:r>
      <w:r>
        <w:rPr>
          <w:rFonts w:hint="eastAsia" w:ascii="宋体" w:hAnsi="宋体"/>
          <w:color w:val="auto"/>
          <w:kern w:val="0"/>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21.2智慧工地</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工地建设可参照重庆市城乡建设委员会《关于印发“智慧工地”建设工作方案的通知》（渝建〔2017〕414号）的相关要求建设。（文件更新的，按新闻件执行）</w:t>
      </w:r>
    </w:p>
    <w:p>
      <w:pPr>
        <w:pStyle w:val="7"/>
        <w:spacing w:before="0" w:beforeAutospacing="0" w:after="0" w:afterAutospacing="0" w:line="360" w:lineRule="auto"/>
        <w:ind w:firstLine="422" w:firstLineChars="200"/>
        <w:rPr>
          <w:color w:val="auto"/>
          <w:sz w:val="21"/>
          <w:szCs w:val="21"/>
          <w:highlight w:val="none"/>
          <w:u w:val="single"/>
        </w:rPr>
      </w:pPr>
      <w:r>
        <w:rPr>
          <w:rFonts w:hint="eastAsia"/>
          <w:color w:val="auto"/>
          <w:sz w:val="21"/>
          <w:szCs w:val="21"/>
          <w:highlight w:val="none"/>
        </w:rPr>
        <w:t>21.3低价风险担保</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承包人提供低价风险担保的情形：采用经评审的最低投标价法的项目投标报价低于最高限价85%时。</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承包人提供低价风险担保的形式、金额及期限：</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（1）低价风险担保的形式：现金或银行保函或现金+银行保函的组合；采用保函形式的，保函必须为不可撤销、不可转让且见索即付的独立保函；</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（2）低价风险担保的金额：</w:t>
      </w:r>
      <w:r>
        <w:rPr>
          <w:rFonts w:hint="eastAsia" w:ascii="仿宋_GB2312" w:hAnsi="宋体" w:eastAsia="仿宋_GB2312" w:cs="宋体"/>
          <w:color w:val="auto"/>
          <w:kern w:val="0"/>
          <w:szCs w:val="21"/>
          <w:highlight w:val="none"/>
          <w:u w:val="single"/>
        </w:rPr>
        <w:t xml:space="preserve">     </w:t>
      </w:r>
      <w:r>
        <w:rPr>
          <w:rFonts w:hint="eastAsia" w:ascii="仿宋_GB2312" w:hAnsi="宋体" w:eastAsia="仿宋_GB2312" w:cs="宋体"/>
          <w:color w:val="auto"/>
          <w:kern w:val="0"/>
          <w:szCs w:val="21"/>
          <w:highlight w:val="none"/>
          <w:u w:val="single"/>
        </w:rPr>
        <w:tab/>
      </w:r>
      <w:r>
        <w:rPr>
          <w:rFonts w:hint="eastAsia" w:ascii="仿宋_GB2312" w:hAnsi="宋体" w:eastAsia="仿宋_GB2312" w:cs="宋体"/>
          <w:color w:val="auto"/>
          <w:kern w:val="0"/>
          <w:szCs w:val="21"/>
          <w:highlight w:val="none"/>
          <w:u w:val="single"/>
        </w:rPr>
        <w:t xml:space="preserve">       </w:t>
      </w:r>
      <w:r>
        <w:rPr>
          <w:rFonts w:hint="eastAsia" w:ascii="宋体" w:hAnsi="宋体"/>
          <w:color w:val="auto"/>
          <w:szCs w:val="21"/>
          <w:highlight w:val="none"/>
        </w:rPr>
        <w:t>；</w:t>
      </w:r>
    </w:p>
    <w:p>
      <w:pPr>
        <w:tabs>
          <w:tab w:val="left" w:pos="1134"/>
        </w:tabs>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（3）低价风险担保的提交时间：</w:t>
      </w:r>
      <w:r>
        <w:rPr>
          <w:rFonts w:hint="eastAsia"/>
          <w:color w:val="auto"/>
          <w:szCs w:val="21"/>
          <w:highlight w:val="none"/>
          <w:u w:val="single"/>
        </w:rPr>
        <w:t>从招标人中标通知书送达拟中标人之日起    工作日内</w:t>
      </w:r>
      <w:r>
        <w:rPr>
          <w:rFonts w:hint="eastAsia" w:ascii="宋体" w:hAnsi="宋体"/>
          <w:color w:val="auto"/>
          <w:szCs w:val="21"/>
          <w:highlight w:val="none"/>
          <w:u w:val="single"/>
        </w:rPr>
        <w:t>；</w:t>
      </w:r>
    </w:p>
    <w:p>
      <w:pPr>
        <w:tabs>
          <w:tab w:val="left" w:pos="1134"/>
        </w:tabs>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（4）低价风险担保的期限：</w:t>
      </w:r>
      <w:r>
        <w:rPr>
          <w:rFonts w:hint="eastAsia"/>
          <w:color w:val="auto"/>
          <w:szCs w:val="21"/>
          <w:highlight w:val="none"/>
          <w:u w:val="single"/>
        </w:rPr>
        <w:t>自低价风险担保生效之日起至竣工验收合格之日止</w:t>
      </w:r>
      <w:r>
        <w:rPr>
          <w:rFonts w:hint="eastAsia" w:ascii="宋体" w:hAnsi="宋体"/>
          <w:color w:val="auto"/>
          <w:szCs w:val="21"/>
          <w:highlight w:val="none"/>
        </w:rPr>
        <w:t>。</w:t>
      </w:r>
    </w:p>
    <w:p>
      <w:pPr>
        <w:pStyle w:val="2"/>
        <w:spacing w:after="0"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低价风险担保的退还时间：</w:t>
      </w:r>
      <w:r>
        <w:rPr>
          <w:rFonts w:hint="eastAsia" w:ascii="宋体" w:hAnsi="宋体"/>
          <w:color w:val="auto"/>
          <w:szCs w:val="21"/>
          <w:highlight w:val="none"/>
          <w:u w:val="single"/>
        </w:rPr>
        <w:t xml:space="preserve">采用现金担保的，工程竣工验收合格后14天内退还，合同履行期间允许承包人用符合要求的银行保函进行置换；采用银行保函的，工程竣工验收合格后14天内退还。采用分段退还的，低价风险担保的退还时间及方式为：        </w:t>
      </w:r>
      <w:r>
        <w:rPr>
          <w:rFonts w:hint="eastAsia" w:ascii="宋体" w:hAnsi="宋体"/>
          <w:color w:val="auto"/>
          <w:szCs w:val="21"/>
          <w:highlight w:val="none"/>
        </w:rPr>
        <w:t>。</w:t>
      </w:r>
    </w:p>
    <w:p>
      <w:pPr>
        <w:pStyle w:val="2"/>
        <w:spacing w:after="0"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（5）低价风险担保的扣减：</w:t>
      </w:r>
    </w:p>
    <w:p>
      <w:pPr>
        <w:pStyle w:val="2"/>
        <w:spacing w:after="0"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①承包人在工程施工期间，以其投标时填报的工程主要材料价格低于同期工程造价管理机构发布的信息价格为由拒绝材料采购；或因其自身其他原因导致工程窝工或停工等，给发包人造成直接经济损失且拒绝承担的，按低价风险担保金额的</w:t>
      </w:r>
      <w:r>
        <w:rPr>
          <w:rFonts w:hint="eastAsia" w:ascii="宋体" w:hAnsi="宋体"/>
          <w:color w:val="auto"/>
          <w:szCs w:val="21"/>
          <w:highlight w:val="none"/>
          <w:u w:val="single"/>
        </w:rPr>
        <w:t>50～100%</w:t>
      </w:r>
      <w:r>
        <w:rPr>
          <w:rFonts w:hint="eastAsia" w:ascii="宋体" w:hAnsi="宋体"/>
          <w:color w:val="auto"/>
          <w:szCs w:val="21"/>
          <w:highlight w:val="none"/>
        </w:rPr>
        <w:t>扣减，直至解除合同；</w:t>
      </w:r>
    </w:p>
    <w:p>
      <w:pPr>
        <w:pStyle w:val="2"/>
        <w:spacing w:after="0"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②承包人在工程施工期间或竣工验收时，工程质量不符合国家现行有关施工质量验收规范要求的，按低价风险担保金额的</w:t>
      </w:r>
      <w:r>
        <w:rPr>
          <w:rFonts w:hint="eastAsia" w:ascii="宋体" w:hAnsi="宋体"/>
          <w:color w:val="auto"/>
          <w:szCs w:val="21"/>
          <w:highlight w:val="none"/>
          <w:u w:val="single"/>
        </w:rPr>
        <w:t>50～100%</w:t>
      </w:r>
      <w:r>
        <w:rPr>
          <w:rFonts w:hint="eastAsia" w:ascii="宋体" w:hAnsi="宋体"/>
          <w:color w:val="auto"/>
          <w:szCs w:val="21"/>
          <w:highlight w:val="none"/>
        </w:rPr>
        <w:t>扣减，直至解除合同；</w:t>
      </w:r>
    </w:p>
    <w:p>
      <w:pPr>
        <w:pStyle w:val="2"/>
        <w:spacing w:after="0"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③承包人因16.2.3项原因被解除合同的，低价风险担保将全额扣除；</w:t>
      </w:r>
    </w:p>
    <w:p>
      <w:pPr>
        <w:pStyle w:val="7"/>
        <w:spacing w:before="0" w:beforeAutospacing="0" w:after="0" w:afterAutospacing="0" w:line="360" w:lineRule="auto"/>
        <w:ind w:firstLine="400" w:firstLineChars="200"/>
        <w:rPr>
          <w:color w:val="auto"/>
          <w:sz w:val="21"/>
          <w:szCs w:val="21"/>
          <w:highlight w:val="none"/>
        </w:rPr>
      </w:pPr>
      <w:r>
        <w:rPr>
          <w:rFonts w:hint="eastAsia"/>
          <w:b w:val="0"/>
          <w:bCs w:val="0"/>
          <w:color w:val="auto"/>
          <w:szCs w:val="21"/>
          <w:highlight w:val="none"/>
        </w:rPr>
        <w:t>④因承包人过错导致的其他情形：</w:t>
      </w:r>
      <w:r>
        <w:rPr>
          <w:rFonts w:hint="eastAsia"/>
          <w:b w:val="0"/>
          <w:bCs w:val="0"/>
          <w:color w:val="auto"/>
          <w:szCs w:val="21"/>
          <w:highlight w:val="none"/>
          <w:u w:val="single"/>
        </w:rPr>
        <w:t xml:space="preserve">        </w:t>
      </w:r>
      <w:r>
        <w:rPr>
          <w:rFonts w:hint="eastAsia"/>
          <w:b w:val="0"/>
          <w:bCs w:val="0"/>
          <w:color w:val="auto"/>
          <w:szCs w:val="21"/>
          <w:highlight w:val="none"/>
        </w:rPr>
        <w:t>。</w:t>
      </w:r>
    </w:p>
    <w:p>
      <w:pPr>
        <w:pStyle w:val="7"/>
        <w:spacing w:before="0" w:beforeAutospacing="0" w:after="0" w:afterAutospacing="0" w:line="360" w:lineRule="auto"/>
        <w:ind w:firstLine="422" w:firstLineChars="200"/>
        <w:rPr>
          <w:color w:val="auto"/>
          <w:sz w:val="21"/>
          <w:szCs w:val="21"/>
          <w:highlight w:val="none"/>
        </w:rPr>
      </w:pPr>
      <w:r>
        <w:rPr>
          <w:rFonts w:hint="eastAsia"/>
          <w:color w:val="auto"/>
          <w:sz w:val="21"/>
          <w:szCs w:val="21"/>
          <w:highlight w:val="none"/>
        </w:rPr>
        <w:t xml:space="preserve">21.4 </w:t>
      </w:r>
      <w:r>
        <w:rPr>
          <w:rFonts w:hint="eastAsia"/>
          <w:color w:val="auto"/>
          <w:sz w:val="21"/>
          <w:szCs w:val="21"/>
          <w:highlight w:val="none"/>
          <w:u w:val="single"/>
        </w:rPr>
        <w:t xml:space="preserve">       </w:t>
      </w:r>
    </w:p>
    <w:p>
      <w:pPr>
        <w:pStyle w:val="6"/>
        <w:keepNext/>
        <w:keepLines/>
        <w:spacing w:beforeLines="50" w:beforeAutospacing="0" w:afterLines="50" w:afterAutospacing="0" w:line="360" w:lineRule="auto"/>
        <w:jc w:val="both"/>
        <w:rPr>
          <w:bCs w:val="0"/>
          <w:color w:val="auto"/>
          <w:kern w:val="2"/>
          <w:sz w:val="21"/>
          <w:szCs w:val="21"/>
          <w:highlight w:val="none"/>
        </w:rPr>
      </w:pPr>
      <w:r>
        <w:rPr>
          <w:rFonts w:hint="eastAsia"/>
          <w:color w:val="auto"/>
          <w:kern w:val="2"/>
          <w:sz w:val="21"/>
          <w:szCs w:val="21"/>
          <w:highlight w:val="none"/>
        </w:rPr>
        <w:t>22. 合同附件</w:t>
      </w:r>
    </w:p>
    <w:p>
      <w:pPr>
        <w:spacing w:line="360" w:lineRule="auto"/>
        <w:ind w:right="105" w:rightChars="50" w:firstLine="420" w:firstLineChars="200"/>
        <w:jc w:val="left"/>
        <w:rPr>
          <w:rFonts w:ascii="宋体" w:hAnsi="宋体"/>
          <w:color w:val="auto"/>
          <w:highlight w:val="none"/>
        </w:rPr>
      </w:pPr>
      <w:r>
        <w:rPr>
          <w:rFonts w:hint="eastAsia" w:ascii="宋体" w:hAnsi="宋体"/>
          <w:color w:val="auto"/>
          <w:highlight w:val="none"/>
        </w:rPr>
        <w:t>以下十一个附件是本合同的有效组成部分：</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附件1：工程质量保修书</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附件2：主要建设工程文件目录</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附件3：承包人项目管理机构组成表</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附件4：履约</w:t>
      </w:r>
      <w:r>
        <w:rPr>
          <w:rFonts w:ascii="宋体" w:hAnsi="宋体"/>
          <w:color w:val="auto"/>
          <w:szCs w:val="21"/>
          <w:highlight w:val="none"/>
        </w:rPr>
        <w:t>担保</w:t>
      </w:r>
      <w:r>
        <w:rPr>
          <w:rFonts w:hint="eastAsia" w:ascii="宋体" w:hAnsi="宋体"/>
          <w:color w:val="auto"/>
          <w:szCs w:val="21"/>
          <w:highlight w:val="none"/>
        </w:rPr>
        <w:t>（如有）</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附件</w:t>
      </w:r>
      <w:r>
        <w:rPr>
          <w:rFonts w:ascii="宋体" w:hAnsi="宋体"/>
          <w:color w:val="auto"/>
          <w:szCs w:val="21"/>
          <w:highlight w:val="none"/>
        </w:rPr>
        <w:t>5</w:t>
      </w:r>
      <w:r>
        <w:rPr>
          <w:rFonts w:hint="eastAsia" w:ascii="宋体" w:hAnsi="宋体"/>
          <w:color w:val="auto"/>
          <w:szCs w:val="21"/>
          <w:highlight w:val="none"/>
        </w:rPr>
        <w:t>：预付款担保（如有）</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附件</w:t>
      </w:r>
      <w:r>
        <w:rPr>
          <w:rFonts w:ascii="宋体" w:hAnsi="宋体"/>
          <w:color w:val="auto"/>
          <w:szCs w:val="21"/>
          <w:highlight w:val="none"/>
        </w:rPr>
        <w:t>6</w:t>
      </w:r>
      <w:r>
        <w:rPr>
          <w:rFonts w:hint="eastAsia" w:ascii="宋体" w:hAnsi="宋体"/>
          <w:color w:val="auto"/>
          <w:szCs w:val="21"/>
          <w:highlight w:val="none"/>
        </w:rPr>
        <w:t>：支付担保（如有）</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附件</w:t>
      </w:r>
      <w:r>
        <w:rPr>
          <w:rFonts w:ascii="宋体" w:hAnsi="宋体"/>
          <w:color w:val="auto"/>
          <w:szCs w:val="21"/>
          <w:highlight w:val="none"/>
        </w:rPr>
        <w:t>7</w:t>
      </w:r>
      <w:r>
        <w:rPr>
          <w:rFonts w:hint="eastAsia" w:ascii="宋体" w:hAnsi="宋体"/>
          <w:color w:val="auto"/>
          <w:szCs w:val="21"/>
          <w:highlight w:val="none"/>
        </w:rPr>
        <w:t>：专业工程暂估价表</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附件</w:t>
      </w:r>
      <w:r>
        <w:rPr>
          <w:rFonts w:ascii="宋体" w:hAnsi="宋体"/>
          <w:color w:val="auto"/>
          <w:szCs w:val="21"/>
          <w:highlight w:val="none"/>
        </w:rPr>
        <w:t>8</w:t>
      </w:r>
      <w:r>
        <w:rPr>
          <w:rFonts w:hint="eastAsia" w:ascii="宋体" w:hAnsi="宋体"/>
          <w:color w:val="auto"/>
          <w:szCs w:val="21"/>
          <w:highlight w:val="none"/>
        </w:rPr>
        <w:t>：廉洁从业协议</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附件</w:t>
      </w:r>
      <w:r>
        <w:rPr>
          <w:rFonts w:ascii="宋体" w:hAnsi="宋体"/>
          <w:color w:val="auto"/>
          <w:szCs w:val="21"/>
          <w:highlight w:val="none"/>
        </w:rPr>
        <w:t>9</w:t>
      </w:r>
      <w:r>
        <w:rPr>
          <w:rFonts w:hint="eastAsia" w:ascii="宋体" w:hAnsi="宋体"/>
          <w:color w:val="auto"/>
          <w:szCs w:val="21"/>
          <w:highlight w:val="none"/>
        </w:rPr>
        <w:t>：安全管理协议</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附件</w:t>
      </w:r>
      <w:r>
        <w:rPr>
          <w:rFonts w:ascii="宋体" w:hAnsi="宋体"/>
          <w:color w:val="auto"/>
          <w:szCs w:val="21"/>
          <w:highlight w:val="none"/>
        </w:rPr>
        <w:t>10</w:t>
      </w:r>
      <w:r>
        <w:rPr>
          <w:rFonts w:hint="eastAsia" w:ascii="宋体" w:hAnsi="宋体"/>
          <w:color w:val="auto"/>
          <w:szCs w:val="21"/>
          <w:highlight w:val="none"/>
        </w:rPr>
        <w:t>：保障农民工工资支付协议</w:t>
      </w:r>
    </w:p>
    <w:p>
      <w:pPr>
        <w:spacing w:line="360" w:lineRule="auto"/>
        <w:ind w:right="105" w:rightChars="50" w:firstLine="420" w:firstLineChars="200"/>
        <w:jc w:val="left"/>
        <w:rPr>
          <w:rFonts w:ascii="宋体" w:hAnsi="宋体"/>
          <w:color w:val="auto"/>
          <w:szCs w:val="21"/>
          <w:highlight w:val="none"/>
        </w:rPr>
      </w:pPr>
      <w:r>
        <w:rPr>
          <w:rFonts w:hint="eastAsia" w:ascii="宋体" w:hAnsi="宋体"/>
          <w:color w:val="auto"/>
          <w:szCs w:val="21"/>
          <w:highlight w:val="none"/>
        </w:rPr>
        <w:t>附件11：低价风险担保保函示范文本（独立保函）（如有）</w:t>
      </w:r>
    </w:p>
    <w:p>
      <w:pPr>
        <w:pStyle w:val="2"/>
        <w:rPr>
          <w:color w:val="auto"/>
          <w:highlight w:val="none"/>
        </w:rPr>
      </w:pPr>
      <w:r>
        <w:rPr>
          <w:rFonts w:hint="eastAsia" w:ascii="宋体" w:hAnsi="宋体"/>
          <w:color w:val="auto"/>
          <w:szCs w:val="21"/>
          <w:highlight w:val="none"/>
        </w:rPr>
        <w:t xml:space="preserve">    附件12：安全质量进度管理处罚措施表</w:t>
      </w:r>
    </w:p>
    <w:p>
      <w:pPr>
        <w:spacing w:line="360" w:lineRule="auto"/>
        <w:rPr>
          <w:rFonts w:ascii="宋体" w:hAnsi="宋体"/>
          <w:color w:val="auto"/>
          <w:szCs w:val="21"/>
          <w:highlight w:val="none"/>
        </w:rPr>
      </w:pPr>
      <w:r>
        <w:rPr>
          <w:rFonts w:hint="eastAsia" w:ascii="宋体" w:hAnsi="宋体"/>
          <w:color w:val="auto"/>
          <w:szCs w:val="21"/>
          <w:highlight w:val="none"/>
        </w:rPr>
        <w:br w:type="page"/>
      </w:r>
      <w:r>
        <w:rPr>
          <w:rFonts w:hint="eastAsia" w:ascii="宋体" w:hAnsi="宋体"/>
          <w:color w:val="auto"/>
          <w:szCs w:val="21"/>
          <w:highlight w:val="none"/>
        </w:rPr>
        <w:t>附件1：</w:t>
      </w:r>
    </w:p>
    <w:p>
      <w:pPr>
        <w:spacing w:beforeLines="50" w:afterLines="50" w:line="360" w:lineRule="auto"/>
        <w:jc w:val="center"/>
        <w:rPr>
          <w:rFonts w:ascii="宋体" w:hAnsi="宋体"/>
          <w:color w:val="auto"/>
          <w:szCs w:val="21"/>
          <w:highlight w:val="none"/>
        </w:rPr>
      </w:pPr>
      <w:r>
        <w:rPr>
          <w:rFonts w:hint="eastAsia" w:ascii="宋体" w:hAnsi="宋体"/>
          <w:color w:val="auto"/>
          <w:szCs w:val="21"/>
          <w:highlight w:val="none"/>
        </w:rPr>
        <w:t>工程质量保修书</w:t>
      </w:r>
    </w:p>
    <w:p>
      <w:pPr>
        <w:snapToGrid w:val="0"/>
        <w:spacing w:line="360" w:lineRule="auto"/>
        <w:ind w:firstLine="422" w:firstLineChars="200"/>
        <w:rPr>
          <w:rFonts w:ascii="宋体" w:hAnsi="宋体"/>
          <w:b/>
          <w:color w:val="auto"/>
          <w:szCs w:val="21"/>
          <w:highlight w:val="none"/>
          <w:u w:val="single"/>
        </w:rPr>
      </w:pPr>
      <w:r>
        <w:rPr>
          <w:rFonts w:hint="eastAsia" w:ascii="宋体" w:hAnsi="宋体"/>
          <w:b/>
          <w:color w:val="auto"/>
          <w:szCs w:val="21"/>
          <w:highlight w:val="none"/>
        </w:rPr>
        <w:t>发包人（全称）：</w:t>
      </w:r>
      <w:r>
        <w:rPr>
          <w:rFonts w:hint="eastAsia" w:ascii="宋体" w:hAnsi="宋体"/>
          <w:color w:val="auto"/>
          <w:szCs w:val="21"/>
          <w:highlight w:val="none"/>
          <w:u w:val="single"/>
        </w:rPr>
        <w:t xml:space="preserve">   </w:t>
      </w:r>
    </w:p>
    <w:p>
      <w:pPr>
        <w:snapToGrid w:val="0"/>
        <w:spacing w:line="360" w:lineRule="auto"/>
        <w:ind w:firstLine="422" w:firstLineChars="200"/>
        <w:rPr>
          <w:rFonts w:ascii="宋体" w:hAnsi="宋体"/>
          <w:b/>
          <w:color w:val="auto"/>
          <w:szCs w:val="21"/>
          <w:highlight w:val="none"/>
          <w:u w:val="single"/>
        </w:rPr>
      </w:pPr>
      <w:r>
        <w:rPr>
          <w:rFonts w:hint="eastAsia" w:ascii="宋体" w:hAnsi="宋体"/>
          <w:b/>
          <w:color w:val="auto"/>
          <w:szCs w:val="21"/>
          <w:highlight w:val="none"/>
        </w:rPr>
        <w:t>承包人（全称）：</w:t>
      </w:r>
      <w:r>
        <w:rPr>
          <w:rFonts w:hint="eastAsia" w:ascii="宋体" w:hAnsi="宋体"/>
          <w:color w:val="auto"/>
          <w:szCs w:val="21"/>
          <w:highlight w:val="none"/>
          <w:u w:val="single"/>
        </w:rPr>
        <w:t xml:space="preserve">  </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发包人和承包人根据《中华人民共和国建筑法》和《建设工程质量管理条例》，经协商一致就</w:t>
      </w:r>
      <w:r>
        <w:rPr>
          <w:rFonts w:hint="eastAsia" w:ascii="宋体" w:hAnsi="宋体"/>
          <w:color w:val="auto"/>
          <w:szCs w:val="21"/>
          <w:highlight w:val="none"/>
          <w:u w:val="single"/>
        </w:rPr>
        <w:t xml:space="preserve">        </w:t>
      </w:r>
      <w:r>
        <w:rPr>
          <w:rFonts w:hint="eastAsia" w:ascii="宋体" w:hAnsi="宋体"/>
          <w:color w:val="auto"/>
          <w:szCs w:val="21"/>
          <w:highlight w:val="none"/>
        </w:rPr>
        <w:t>（工程全称）签订工程质量保修书。</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一、工程质量保修范围和内容</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承包人在质量保修期内，按照有关法律规定和合同约定，承担工程质量保修责任。</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质量保修范围包括地基基础工程、主体结构工程，屋面防水工程、有防水要求的卫生间、房间和外墙面的防渗漏，供热与供冷系统，电气管线、给排水管道、设备安装和装修工程，以及双方约定的其他项目。具体保修的内容，双方约定如下：</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承包人承包范围内容均属质量保修范围内容；其中：</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1.属于设计原因造成的质量问题，承包人负责维修，不留隐患，费用由发包人承担；</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2.属于施工造成的质量问题，承包人负责维修，不留隐患；</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3.属于业主使用不当造成的质量问题，配合抢修，费用由发包人承担。</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二、质量保修期</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根据《建设工程质量管理条例》及有关规定，本工程质量保修期约定如下：</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1.基础设施工程、房屋建筑的地基基础工程和主体结构工程，为设计文件规定的该工程的合理使用年限；</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2.屋面防水工程、有防水要求的卫生间、房间和外墙面的防渗漏，为5年；</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3.供热与供冷系统，为2个采暖期、供冷期；</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4.电气管线、给排水管道、设备安装和装修工程，为2年；</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5.其他项目保修期限：2年；</w:t>
      </w:r>
      <w:r>
        <w:rPr>
          <w:rFonts w:hint="eastAsia" w:ascii="宋体" w:hAnsi="宋体"/>
          <w:i/>
          <w:color w:val="auto"/>
          <w:szCs w:val="21"/>
          <w:highlight w:val="none"/>
        </w:rPr>
        <w:t>[提示：如有不同，根据具体情况修改]</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建设工程的保修期，自工程竣工验收合格之日起计算。</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三、质量保修责任</w:t>
      </w:r>
    </w:p>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1.属于保修范围、内容的项目，承包人应当在接到保修通知之日起7天内派人保修。承包人不在约定期限内派人保修的，发包人可以委托他人修理</w:t>
      </w:r>
      <w:r>
        <w:rPr>
          <w:rFonts w:ascii="宋体" w:hAnsi="宋体"/>
          <w:color w:val="auto"/>
          <w:szCs w:val="21"/>
          <w:highlight w:val="none"/>
        </w:rPr>
        <w:t>，</w:t>
      </w:r>
      <w:r>
        <w:rPr>
          <w:rFonts w:hint="eastAsia" w:ascii="宋体" w:hAnsi="宋体"/>
          <w:color w:val="auto"/>
          <w:highlight w:val="none"/>
        </w:rPr>
        <w:t>由此产生的费用均由承包人承担</w:t>
      </w:r>
      <w:r>
        <w:rPr>
          <w:rFonts w:ascii="宋体" w:hAnsi="宋体"/>
          <w:color w:val="auto"/>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2.发生紧急事故需抢修的，承包人在接到事故通知后，应当立即到达事故现场抢修。</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对于涉及结构安全的质量问题，应当按照《房屋建筑工程质量保修办法》的规定，立即向当地建设行政主管部门报告，采取安全防范措施；由原设计单位或者具有相应资质等级的设计单位提出保修方案，承包人实施保修。</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4.质量保修完成后，由发包人组织验收。</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四、保修费用</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保修费用由质量缺陷的责任方承担。</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五、双方约定的其他工程质量保修事项</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u w:val="single"/>
        </w:rPr>
        <w:t>按国家相关法律和规定执行</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本工程质量保修书由发包人、承包人在工程竣工验收前共同签署，作为施工合同附件，其有效期限至保修期满。</w:t>
      </w:r>
    </w:p>
    <w:p>
      <w:pPr>
        <w:spacing w:line="360" w:lineRule="auto"/>
        <w:ind w:firstLine="420" w:firstLineChars="200"/>
        <w:rPr>
          <w:rFonts w:ascii="宋体" w:hAnsi="宋体"/>
          <w:color w:val="auto"/>
          <w:szCs w:val="21"/>
          <w:highlight w:val="none"/>
        </w:rPr>
      </w:pPr>
      <w:r>
        <w:rPr>
          <w:rFonts w:ascii="宋体" w:hAnsi="宋体"/>
          <w:color w:val="auto"/>
          <w:szCs w:val="21"/>
          <w:highlight w:val="none"/>
        </w:rPr>
        <w:t>六</w:t>
      </w:r>
      <w:r>
        <w:rPr>
          <w:rFonts w:hint="eastAsia" w:ascii="宋体" w:hAnsi="宋体"/>
          <w:color w:val="auto"/>
          <w:szCs w:val="21"/>
          <w:highlight w:val="none"/>
        </w:rPr>
        <w:t>、</w:t>
      </w:r>
      <w:r>
        <w:rPr>
          <w:rFonts w:ascii="宋体" w:hAnsi="宋体"/>
          <w:color w:val="auto"/>
          <w:szCs w:val="21"/>
          <w:highlight w:val="none"/>
        </w:rPr>
        <w:t>本文件生效</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本工程质量保修书经发包人与承包人盖章后生效。</w:t>
      </w:r>
    </w:p>
    <w:p>
      <w:pPr>
        <w:pStyle w:val="2"/>
        <w:spacing w:line="360" w:lineRule="auto"/>
        <w:ind w:firstLine="420" w:firstLineChars="200"/>
        <w:rPr>
          <w:rFonts w:ascii="宋体" w:hAnsi="宋体"/>
          <w:color w:val="auto"/>
          <w:szCs w:val="21"/>
          <w:highlight w:val="none"/>
        </w:rPr>
      </w:pPr>
    </w:p>
    <w:p>
      <w:pPr>
        <w:spacing w:line="360" w:lineRule="auto"/>
        <w:ind w:firstLine="420" w:firstLineChars="200"/>
        <w:rPr>
          <w:rFonts w:ascii="宋体" w:hAnsi="宋体"/>
          <w:snapToGrid w:val="0"/>
          <w:color w:val="auto"/>
          <w:kern w:val="0"/>
          <w:szCs w:val="21"/>
          <w:highlight w:val="none"/>
        </w:rPr>
      </w:pPr>
      <w:r>
        <w:rPr>
          <w:rFonts w:hint="eastAsia" w:ascii="宋体" w:hAnsi="宋体"/>
          <w:snapToGrid w:val="0"/>
          <w:color w:val="auto"/>
          <w:kern w:val="0"/>
          <w:szCs w:val="21"/>
          <w:highlight w:val="none"/>
        </w:rPr>
        <w:t>发包人：</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（盖单位公章）</w:t>
      </w:r>
    </w:p>
    <w:p>
      <w:pPr>
        <w:spacing w:line="360" w:lineRule="auto"/>
        <w:ind w:firstLine="420" w:firstLineChars="200"/>
        <w:rPr>
          <w:rFonts w:ascii="宋体" w:hAnsi="宋体"/>
          <w:snapToGrid w:val="0"/>
          <w:color w:val="auto"/>
          <w:kern w:val="0"/>
          <w:szCs w:val="21"/>
          <w:highlight w:val="none"/>
        </w:rPr>
      </w:pPr>
    </w:p>
    <w:p>
      <w:pPr>
        <w:spacing w:line="360" w:lineRule="auto"/>
        <w:ind w:firstLine="420" w:firstLineChars="200"/>
        <w:rPr>
          <w:rFonts w:ascii="宋体" w:hAnsi="宋体"/>
          <w:snapToGrid w:val="0"/>
          <w:color w:val="auto"/>
          <w:kern w:val="0"/>
          <w:szCs w:val="21"/>
          <w:highlight w:val="none"/>
        </w:rPr>
      </w:pPr>
    </w:p>
    <w:p>
      <w:pPr>
        <w:spacing w:line="360" w:lineRule="auto"/>
        <w:ind w:firstLine="420" w:firstLineChars="200"/>
        <w:rPr>
          <w:rFonts w:ascii="宋体" w:hAnsi="宋体"/>
          <w:snapToGrid w:val="0"/>
          <w:color w:val="auto"/>
          <w:kern w:val="0"/>
          <w:szCs w:val="21"/>
          <w:highlight w:val="none"/>
        </w:rPr>
      </w:pPr>
      <w:r>
        <w:rPr>
          <w:rFonts w:hint="eastAsia" w:ascii="宋体" w:hAnsi="宋体"/>
          <w:snapToGrid w:val="0"/>
          <w:color w:val="auto"/>
          <w:kern w:val="0"/>
          <w:szCs w:val="21"/>
          <w:highlight w:val="none"/>
        </w:rPr>
        <w:t>法定代表人或其委托代理人：</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（签名）</w:t>
      </w:r>
    </w:p>
    <w:p>
      <w:pPr>
        <w:spacing w:line="360" w:lineRule="auto"/>
        <w:ind w:firstLine="420" w:firstLineChars="200"/>
        <w:rPr>
          <w:rFonts w:ascii="宋体" w:hAnsi="宋体"/>
          <w:snapToGrid w:val="0"/>
          <w:color w:val="auto"/>
          <w:kern w:val="0"/>
          <w:szCs w:val="21"/>
          <w:highlight w:val="none"/>
        </w:rPr>
      </w:pPr>
    </w:p>
    <w:p>
      <w:pPr>
        <w:spacing w:line="360" w:lineRule="auto"/>
        <w:ind w:firstLine="420" w:firstLineChars="200"/>
        <w:rPr>
          <w:rFonts w:ascii="宋体" w:hAnsi="宋体"/>
          <w:snapToGrid w:val="0"/>
          <w:color w:val="auto"/>
          <w:kern w:val="0"/>
          <w:szCs w:val="21"/>
          <w:highlight w:val="none"/>
        </w:rPr>
      </w:pPr>
    </w:p>
    <w:p>
      <w:pPr>
        <w:spacing w:line="360" w:lineRule="auto"/>
        <w:ind w:firstLine="420" w:firstLineChars="200"/>
        <w:rPr>
          <w:rFonts w:ascii="宋体" w:hAnsi="宋体"/>
          <w:color w:val="auto"/>
          <w:szCs w:val="21"/>
          <w:highlight w:val="none"/>
        </w:rPr>
      </w:pPr>
      <w:r>
        <w:rPr>
          <w:rFonts w:hint="eastAsia" w:ascii="宋体" w:hAnsi="宋体"/>
          <w:snapToGrid w:val="0"/>
          <w:color w:val="auto"/>
          <w:kern w:val="0"/>
          <w:szCs w:val="21"/>
          <w:highlight w:val="none"/>
        </w:rPr>
        <w:t>承包人：</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（盖单位公章）</w:t>
      </w:r>
    </w:p>
    <w:p>
      <w:pPr>
        <w:spacing w:line="360" w:lineRule="auto"/>
        <w:ind w:firstLine="420" w:firstLineChars="200"/>
        <w:rPr>
          <w:rFonts w:ascii="宋体" w:hAnsi="宋体"/>
          <w:snapToGrid w:val="0"/>
          <w:color w:val="auto"/>
          <w:kern w:val="0"/>
          <w:szCs w:val="21"/>
          <w:highlight w:val="none"/>
        </w:rPr>
      </w:pPr>
    </w:p>
    <w:p>
      <w:pPr>
        <w:spacing w:line="360" w:lineRule="auto"/>
        <w:ind w:firstLine="420" w:firstLineChars="200"/>
        <w:rPr>
          <w:rFonts w:ascii="宋体" w:hAnsi="宋体"/>
          <w:snapToGrid w:val="0"/>
          <w:color w:val="auto"/>
          <w:kern w:val="0"/>
          <w:szCs w:val="21"/>
          <w:highlight w:val="none"/>
        </w:rPr>
      </w:pPr>
    </w:p>
    <w:p>
      <w:pPr>
        <w:spacing w:line="360" w:lineRule="auto"/>
        <w:ind w:firstLine="420" w:firstLineChars="200"/>
        <w:rPr>
          <w:rFonts w:ascii="宋体" w:hAnsi="宋体"/>
          <w:bCs/>
          <w:color w:val="auto"/>
          <w:kern w:val="0"/>
          <w:szCs w:val="21"/>
          <w:highlight w:val="none"/>
        </w:rPr>
      </w:pPr>
      <w:r>
        <w:rPr>
          <w:rFonts w:hint="eastAsia" w:ascii="宋体" w:hAnsi="宋体"/>
          <w:snapToGrid w:val="0"/>
          <w:color w:val="auto"/>
          <w:kern w:val="0"/>
          <w:szCs w:val="21"/>
          <w:highlight w:val="none"/>
        </w:rPr>
        <w:t>法定代表人或其委托代理人：</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（签名）</w:t>
      </w:r>
    </w:p>
    <w:p>
      <w:pPr>
        <w:spacing w:line="360" w:lineRule="auto"/>
        <w:ind w:firstLine="418" w:firstLineChars="200"/>
        <w:rPr>
          <w:rFonts w:ascii="宋体" w:hAnsi="宋体"/>
          <w:snapToGrid w:val="0"/>
          <w:color w:val="auto"/>
          <w:spacing w:val="1"/>
          <w:w w:val="99"/>
          <w:kern w:val="0"/>
          <w:position w:val="-2"/>
          <w:szCs w:val="21"/>
          <w:highlight w:val="none"/>
        </w:rPr>
      </w:pPr>
    </w:p>
    <w:p>
      <w:pPr>
        <w:spacing w:line="360" w:lineRule="auto"/>
        <w:ind w:firstLine="418" w:firstLineChars="200"/>
        <w:rPr>
          <w:rFonts w:ascii="宋体" w:hAnsi="宋体"/>
          <w:snapToGrid w:val="0"/>
          <w:color w:val="auto"/>
          <w:spacing w:val="1"/>
          <w:w w:val="99"/>
          <w:kern w:val="0"/>
          <w:position w:val="-2"/>
          <w:szCs w:val="21"/>
          <w:highlight w:val="none"/>
        </w:rPr>
      </w:pPr>
    </w:p>
    <w:p>
      <w:pPr>
        <w:spacing w:line="360" w:lineRule="auto"/>
        <w:ind w:firstLine="420" w:firstLineChars="200"/>
        <w:rPr>
          <w:rFonts w:ascii="宋体" w:hAnsi="宋体"/>
          <w:snapToGrid w:val="0"/>
          <w:color w:val="auto"/>
          <w:kern w:val="0"/>
          <w:szCs w:val="21"/>
          <w:highlight w:val="none"/>
        </w:rPr>
      </w:pPr>
      <w:r>
        <w:rPr>
          <w:rFonts w:hint="eastAsia" w:ascii="宋体" w:hAnsi="宋体"/>
          <w:snapToGrid w:val="0"/>
          <w:color w:val="auto"/>
          <w:kern w:val="0"/>
          <w:szCs w:val="21"/>
          <w:highlight w:val="none"/>
        </w:rPr>
        <w:t>签约时间：</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年</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月</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日</w:t>
      </w:r>
    </w:p>
    <w:p>
      <w:pPr>
        <w:spacing w:line="480" w:lineRule="auto"/>
        <w:rPr>
          <w:rFonts w:ascii="宋体" w:hAnsi="宋体"/>
          <w:color w:val="auto"/>
          <w:szCs w:val="21"/>
          <w:highlight w:val="none"/>
        </w:rPr>
      </w:pPr>
      <w:r>
        <w:rPr>
          <w:rFonts w:hint="eastAsia" w:ascii="宋体" w:hAnsi="宋体"/>
          <w:color w:val="auto"/>
          <w:szCs w:val="21"/>
          <w:highlight w:val="none"/>
        </w:rPr>
        <w:br w:type="page"/>
      </w:r>
      <w:r>
        <w:rPr>
          <w:rFonts w:hint="eastAsia" w:ascii="宋体" w:hAnsi="宋体"/>
          <w:color w:val="auto"/>
          <w:szCs w:val="21"/>
          <w:highlight w:val="none"/>
        </w:rPr>
        <w:t>附件2：</w:t>
      </w:r>
    </w:p>
    <w:p>
      <w:pPr>
        <w:spacing w:beforeLines="50" w:afterLines="50" w:line="480" w:lineRule="auto"/>
        <w:jc w:val="center"/>
        <w:rPr>
          <w:rFonts w:ascii="宋体" w:hAnsi="宋体"/>
          <w:color w:val="auto"/>
          <w:szCs w:val="21"/>
          <w:highlight w:val="none"/>
        </w:rPr>
      </w:pPr>
      <w:r>
        <w:rPr>
          <w:rFonts w:hint="eastAsia" w:ascii="宋体" w:hAnsi="宋体"/>
          <w:color w:val="auto"/>
          <w:szCs w:val="21"/>
          <w:highlight w:val="none"/>
        </w:rPr>
        <w:t>主要建设工程文件目录</w:t>
      </w:r>
    </w:p>
    <w:tbl>
      <w:tblPr>
        <w:tblStyle w:val="45"/>
        <w:tblW w:w="928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3536"/>
        <w:gridCol w:w="1418"/>
        <w:gridCol w:w="1418"/>
        <w:gridCol w:w="29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3536"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文件名称</w:t>
            </w:r>
          </w:p>
        </w:tc>
        <w:tc>
          <w:tcPr>
            <w:tcW w:w="1418"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套数</w:t>
            </w:r>
          </w:p>
        </w:tc>
        <w:tc>
          <w:tcPr>
            <w:tcW w:w="1418" w:type="dxa"/>
          </w:tcPr>
          <w:p>
            <w:pPr>
              <w:spacing w:line="400" w:lineRule="exact"/>
              <w:jc w:val="center"/>
              <w:rPr>
                <w:rFonts w:ascii="宋体" w:hAnsi="宋体"/>
                <w:color w:val="auto"/>
                <w:szCs w:val="21"/>
                <w:highlight w:val="none"/>
              </w:rPr>
            </w:pPr>
            <w:r>
              <w:rPr>
                <w:rFonts w:hint="eastAsia" w:ascii="宋体" w:hAnsi="宋体"/>
                <w:color w:val="auto"/>
                <w:szCs w:val="21"/>
                <w:highlight w:val="none"/>
              </w:rPr>
              <w:t>移交时间</w:t>
            </w:r>
          </w:p>
        </w:tc>
        <w:tc>
          <w:tcPr>
            <w:tcW w:w="2917" w:type="dxa"/>
          </w:tcPr>
          <w:p>
            <w:pPr>
              <w:spacing w:line="400" w:lineRule="exact"/>
              <w:jc w:val="center"/>
              <w:rPr>
                <w:rFonts w:ascii="宋体" w:hAnsi="宋体"/>
                <w:color w:val="auto"/>
                <w:szCs w:val="21"/>
                <w:highlight w:val="none"/>
              </w:rPr>
            </w:pPr>
            <w:r>
              <w:rPr>
                <w:rFonts w:hint="eastAsia" w:ascii="宋体" w:hAnsi="宋体"/>
                <w:color w:val="auto"/>
                <w:szCs w:val="21"/>
                <w:highlight w:val="none"/>
              </w:rPr>
              <w:t>责任人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2917"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2917"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2917"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2917"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2917"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2917"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2917"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2917"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2917"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2917"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2917"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2917"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2917"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2917"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2917"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2917"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2917"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3536"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1418" w:type="dxa"/>
          </w:tcPr>
          <w:p>
            <w:pPr>
              <w:spacing w:line="400" w:lineRule="exact"/>
              <w:ind w:firstLine="420" w:firstLineChars="200"/>
              <w:rPr>
                <w:rFonts w:ascii="宋体" w:hAnsi="宋体"/>
                <w:color w:val="auto"/>
                <w:szCs w:val="21"/>
                <w:highlight w:val="none"/>
              </w:rPr>
            </w:pPr>
          </w:p>
        </w:tc>
        <w:tc>
          <w:tcPr>
            <w:tcW w:w="2917" w:type="dxa"/>
          </w:tcPr>
          <w:p>
            <w:pPr>
              <w:spacing w:line="400" w:lineRule="exact"/>
              <w:ind w:firstLine="420" w:firstLineChars="200"/>
              <w:rPr>
                <w:rFonts w:ascii="宋体" w:hAnsi="宋体"/>
                <w:color w:val="auto"/>
                <w:szCs w:val="21"/>
                <w:highlight w:val="none"/>
              </w:rPr>
            </w:pPr>
          </w:p>
        </w:tc>
      </w:tr>
    </w:tbl>
    <w:p>
      <w:pPr>
        <w:spacing w:line="360" w:lineRule="auto"/>
        <w:ind w:firstLine="420" w:firstLineChars="200"/>
        <w:rPr>
          <w:rFonts w:ascii="宋体" w:hAnsi="宋体"/>
          <w:color w:val="auto"/>
          <w:szCs w:val="21"/>
          <w:highlight w:val="none"/>
        </w:rPr>
      </w:pPr>
    </w:p>
    <w:p>
      <w:pPr>
        <w:spacing w:line="480" w:lineRule="auto"/>
        <w:rPr>
          <w:rFonts w:ascii="宋体" w:hAnsi="宋体"/>
          <w:color w:val="auto"/>
          <w:szCs w:val="21"/>
          <w:highlight w:val="none"/>
        </w:rPr>
      </w:pPr>
      <w:r>
        <w:rPr>
          <w:rFonts w:hint="eastAsia" w:ascii="宋体" w:hAnsi="宋体"/>
          <w:color w:val="auto"/>
          <w:szCs w:val="21"/>
          <w:highlight w:val="none"/>
        </w:rPr>
        <w:br w:type="page"/>
      </w:r>
      <w:r>
        <w:rPr>
          <w:rFonts w:hint="eastAsia" w:ascii="宋体" w:hAnsi="宋体"/>
          <w:color w:val="auto"/>
          <w:szCs w:val="21"/>
          <w:highlight w:val="none"/>
        </w:rPr>
        <w:t>附件3：</w:t>
      </w:r>
    </w:p>
    <w:p>
      <w:pPr>
        <w:spacing w:beforeLines="50" w:afterLines="50" w:line="480" w:lineRule="auto"/>
        <w:jc w:val="center"/>
        <w:rPr>
          <w:rFonts w:ascii="宋体" w:hAnsi="宋体"/>
          <w:color w:val="auto"/>
          <w:szCs w:val="21"/>
          <w:highlight w:val="none"/>
        </w:rPr>
      </w:pPr>
      <w:r>
        <w:rPr>
          <w:rFonts w:hint="eastAsia" w:ascii="宋体" w:hAnsi="宋体"/>
          <w:color w:val="auto"/>
          <w:szCs w:val="21"/>
          <w:highlight w:val="none"/>
        </w:rPr>
        <w:t>承包人项目管理机构组成表</w:t>
      </w:r>
    </w:p>
    <w:tbl>
      <w:tblPr>
        <w:tblStyle w:val="45"/>
        <w:tblW w:w="98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871"/>
        <w:gridCol w:w="1418"/>
        <w:gridCol w:w="1134"/>
        <w:gridCol w:w="1134"/>
        <w:gridCol w:w="42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名    称</w:t>
            </w:r>
          </w:p>
        </w:tc>
        <w:tc>
          <w:tcPr>
            <w:tcW w:w="1418"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姓名</w:t>
            </w:r>
          </w:p>
        </w:tc>
        <w:tc>
          <w:tcPr>
            <w:tcW w:w="1134"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职务</w:t>
            </w:r>
          </w:p>
        </w:tc>
        <w:tc>
          <w:tcPr>
            <w:tcW w:w="1134"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职称</w:t>
            </w:r>
          </w:p>
        </w:tc>
        <w:tc>
          <w:tcPr>
            <w:tcW w:w="4252"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主要资历、经验及承担过的项目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47" w:hRule="atLeast"/>
          <w:jc w:val="center"/>
        </w:trPr>
        <w:tc>
          <w:tcPr>
            <w:tcW w:w="9809" w:type="dxa"/>
            <w:gridSpan w:val="5"/>
            <w:vAlign w:val="center"/>
          </w:tcPr>
          <w:p>
            <w:pPr>
              <w:spacing w:line="400" w:lineRule="exact"/>
              <w:rPr>
                <w:rFonts w:ascii="宋体" w:hAnsi="宋体"/>
                <w:color w:val="auto"/>
                <w:szCs w:val="21"/>
                <w:highlight w:val="none"/>
              </w:rPr>
            </w:pPr>
            <w:r>
              <w:rPr>
                <w:rFonts w:hint="eastAsia" w:ascii="宋体" w:hAnsi="宋体"/>
                <w:color w:val="auto"/>
                <w:szCs w:val="21"/>
                <w:highlight w:val="none"/>
              </w:rPr>
              <w:t>一、总部人员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项目主管</w:t>
            </w: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Align w:val="center"/>
          </w:tcPr>
          <w:p>
            <w:pPr>
              <w:spacing w:line="400" w:lineRule="exact"/>
              <w:jc w:val="center"/>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其他人员</w:t>
            </w: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Align w:val="center"/>
          </w:tcPr>
          <w:p>
            <w:pPr>
              <w:spacing w:line="400" w:lineRule="exact"/>
              <w:jc w:val="center"/>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9809" w:type="dxa"/>
            <w:gridSpan w:val="5"/>
            <w:vAlign w:val="center"/>
          </w:tcPr>
          <w:p>
            <w:pPr>
              <w:spacing w:line="400" w:lineRule="exact"/>
              <w:rPr>
                <w:rFonts w:ascii="宋体" w:hAnsi="宋体"/>
                <w:color w:val="auto"/>
                <w:szCs w:val="21"/>
                <w:highlight w:val="none"/>
              </w:rPr>
            </w:pPr>
            <w:r>
              <w:rPr>
                <w:rFonts w:hint="eastAsia" w:ascii="宋体" w:hAnsi="宋体"/>
                <w:color w:val="auto"/>
                <w:szCs w:val="21"/>
                <w:highlight w:val="none"/>
              </w:rPr>
              <w:t>二、现场人员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项目经理</w:t>
            </w: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项目副经理</w:t>
            </w: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技术负责人</w:t>
            </w: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造价管理</w:t>
            </w: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质量管理</w:t>
            </w: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材料管理</w:t>
            </w: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计划管理</w:t>
            </w: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安全管理</w:t>
            </w: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restart"/>
            <w:vAlign w:val="center"/>
          </w:tcPr>
          <w:p>
            <w:pPr>
              <w:spacing w:line="400" w:lineRule="exact"/>
              <w:jc w:val="center"/>
              <w:rPr>
                <w:rFonts w:ascii="宋体" w:hAnsi="宋体"/>
                <w:color w:val="auto"/>
                <w:szCs w:val="21"/>
                <w:highlight w:val="none"/>
              </w:rPr>
            </w:pPr>
            <w:r>
              <w:rPr>
                <w:rFonts w:hint="eastAsia" w:ascii="宋体" w:hAnsi="宋体"/>
                <w:color w:val="auto"/>
                <w:szCs w:val="21"/>
                <w:highlight w:val="none"/>
              </w:rPr>
              <w:t>其他人员</w:t>
            </w: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871" w:type="dxa"/>
            <w:vMerge w:val="continue"/>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7" w:hRule="atLeast"/>
          <w:jc w:val="center"/>
        </w:trPr>
        <w:tc>
          <w:tcPr>
            <w:tcW w:w="1871" w:type="dxa"/>
            <w:vMerge w:val="continue"/>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0" w:hRule="atLeast"/>
          <w:jc w:val="center"/>
        </w:trPr>
        <w:tc>
          <w:tcPr>
            <w:tcW w:w="1871" w:type="dxa"/>
            <w:vMerge w:val="continue"/>
            <w:vAlign w:val="center"/>
          </w:tcPr>
          <w:p>
            <w:pPr>
              <w:spacing w:line="400" w:lineRule="exact"/>
              <w:ind w:firstLine="420" w:firstLineChars="200"/>
              <w:rPr>
                <w:rFonts w:ascii="宋体" w:hAnsi="宋体"/>
                <w:color w:val="auto"/>
                <w:szCs w:val="21"/>
                <w:highlight w:val="none"/>
              </w:rPr>
            </w:pPr>
          </w:p>
        </w:tc>
        <w:tc>
          <w:tcPr>
            <w:tcW w:w="1418"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1134" w:type="dxa"/>
            <w:vAlign w:val="center"/>
          </w:tcPr>
          <w:p>
            <w:pPr>
              <w:spacing w:line="400" w:lineRule="exact"/>
              <w:ind w:firstLine="420" w:firstLineChars="200"/>
              <w:rPr>
                <w:rFonts w:ascii="宋体" w:hAnsi="宋体"/>
                <w:color w:val="auto"/>
                <w:szCs w:val="21"/>
                <w:highlight w:val="none"/>
              </w:rPr>
            </w:pPr>
          </w:p>
        </w:tc>
        <w:tc>
          <w:tcPr>
            <w:tcW w:w="4252" w:type="dxa"/>
            <w:vAlign w:val="center"/>
          </w:tcPr>
          <w:p>
            <w:pPr>
              <w:spacing w:line="400" w:lineRule="exact"/>
              <w:ind w:firstLine="420" w:firstLineChars="200"/>
              <w:rPr>
                <w:rFonts w:ascii="宋体" w:hAnsi="宋体"/>
                <w:color w:val="auto"/>
                <w:szCs w:val="21"/>
                <w:highlight w:val="none"/>
              </w:rPr>
            </w:pPr>
          </w:p>
        </w:tc>
      </w:tr>
    </w:tbl>
    <w:p>
      <w:pPr>
        <w:spacing w:line="480" w:lineRule="auto"/>
        <w:rPr>
          <w:rFonts w:ascii="宋体" w:hAnsi="宋体"/>
          <w:color w:val="auto"/>
          <w:szCs w:val="21"/>
          <w:highlight w:val="none"/>
        </w:rPr>
      </w:pPr>
      <w:r>
        <w:rPr>
          <w:rFonts w:hint="eastAsia" w:ascii="宋体" w:hAnsi="宋体"/>
          <w:color w:val="auto"/>
          <w:szCs w:val="21"/>
          <w:highlight w:val="none"/>
        </w:rPr>
        <w:br w:type="page"/>
      </w:r>
      <w:r>
        <w:rPr>
          <w:rFonts w:hint="eastAsia" w:ascii="宋体" w:hAnsi="宋体"/>
          <w:color w:val="auto"/>
          <w:szCs w:val="21"/>
          <w:highlight w:val="none"/>
        </w:rPr>
        <w:t>附件4：</w:t>
      </w:r>
    </w:p>
    <w:p>
      <w:pPr>
        <w:spacing w:beforeLines="50" w:afterLines="50" w:line="480" w:lineRule="auto"/>
        <w:jc w:val="center"/>
        <w:rPr>
          <w:rFonts w:ascii="宋体" w:hAnsi="宋体"/>
          <w:color w:val="auto"/>
          <w:szCs w:val="21"/>
          <w:highlight w:val="none"/>
        </w:rPr>
      </w:pPr>
      <w:r>
        <w:rPr>
          <w:rFonts w:hint="eastAsia" w:ascii="宋体" w:hAnsi="宋体"/>
          <w:color w:val="auto"/>
          <w:szCs w:val="21"/>
          <w:highlight w:val="none"/>
        </w:rPr>
        <w:t>履约担保（如有）</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u w:val="single"/>
        </w:rPr>
        <w:tab/>
      </w:r>
      <w:r>
        <w:rPr>
          <w:rFonts w:hint="eastAsia" w:ascii="宋体" w:hAnsi="宋体"/>
          <w:color w:val="auto"/>
          <w:szCs w:val="21"/>
          <w:highlight w:val="none"/>
          <w:u w:val="single"/>
        </w:rPr>
        <w:t xml:space="preserve">       </w:t>
      </w:r>
      <w:r>
        <w:rPr>
          <w:rFonts w:hint="eastAsia" w:ascii="宋体" w:hAnsi="宋体"/>
          <w:color w:val="auto"/>
          <w:szCs w:val="21"/>
          <w:highlight w:val="none"/>
        </w:rPr>
        <w:t>（发包人名称）：</w:t>
      </w:r>
    </w:p>
    <w:p>
      <w:pPr>
        <w:spacing w:line="360" w:lineRule="auto"/>
        <w:ind w:firstLine="420" w:firstLineChars="200"/>
        <w:rPr>
          <w:rFonts w:ascii="宋体" w:hAnsi="宋体"/>
          <w:color w:val="auto"/>
          <w:szCs w:val="21"/>
          <w:highlight w:val="none"/>
        </w:rPr>
      </w:pP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鉴于</w:t>
      </w:r>
      <w:r>
        <w:rPr>
          <w:rFonts w:hint="eastAsia" w:ascii="宋体" w:hAnsi="宋体"/>
          <w:color w:val="auto"/>
          <w:szCs w:val="21"/>
          <w:highlight w:val="none"/>
          <w:u w:val="single"/>
        </w:rPr>
        <w:t xml:space="preserve">                </w:t>
      </w:r>
      <w:r>
        <w:rPr>
          <w:rFonts w:hint="eastAsia" w:ascii="宋体" w:hAnsi="宋体"/>
          <w:color w:val="auto"/>
          <w:szCs w:val="21"/>
          <w:highlight w:val="none"/>
        </w:rPr>
        <w:t>（发包人名称，以下简称“发包人”）与</w:t>
      </w:r>
    </w:p>
    <w:p>
      <w:pPr>
        <w:spacing w:line="360" w:lineRule="auto"/>
        <w:rPr>
          <w:rFonts w:ascii="宋体" w:hAnsi="宋体"/>
          <w:color w:val="auto"/>
          <w:szCs w:val="21"/>
          <w:highlight w:val="none"/>
        </w:rPr>
      </w:pPr>
      <w:r>
        <w:rPr>
          <w:rFonts w:hint="eastAsia" w:ascii="宋体" w:hAnsi="宋体"/>
          <w:color w:val="auto"/>
          <w:szCs w:val="21"/>
          <w:highlight w:val="none"/>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（承包人名称）（以下称“承包人”）于</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日就</w:t>
      </w:r>
      <w:r>
        <w:rPr>
          <w:rFonts w:hint="eastAsia" w:ascii="宋体" w:hAnsi="宋体"/>
          <w:color w:val="auto"/>
          <w:szCs w:val="21"/>
          <w:highlight w:val="none"/>
          <w:u w:val="single"/>
        </w:rPr>
        <w:t xml:space="preserve">                         </w:t>
      </w:r>
      <w:r>
        <w:rPr>
          <w:rFonts w:hint="eastAsia" w:ascii="宋体" w:hAnsi="宋体"/>
          <w:color w:val="auto"/>
          <w:szCs w:val="21"/>
          <w:highlight w:val="none"/>
        </w:rPr>
        <w:t>（工程名称）施工及有关事项协商一致共同签订《建设工程施工合同》。我方愿意无条件地、不可撤销地就承包人履行与你方签订的合同，向你方提供连带责任担保。</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 担保金额人民币（大写）</w:t>
      </w:r>
      <w:r>
        <w:rPr>
          <w:rFonts w:hint="eastAsia" w:ascii="宋体" w:hAnsi="宋体"/>
          <w:color w:val="auto"/>
          <w:szCs w:val="21"/>
          <w:highlight w:val="none"/>
          <w:u w:val="single"/>
        </w:rPr>
        <w:t xml:space="preserve">        </w:t>
      </w:r>
      <w:r>
        <w:rPr>
          <w:rFonts w:hint="eastAsia" w:ascii="宋体" w:hAnsi="宋体"/>
          <w:color w:val="auto"/>
          <w:szCs w:val="21"/>
          <w:highlight w:val="none"/>
        </w:rPr>
        <w:t>元（¥</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 担保有效期：</w:t>
      </w:r>
      <w:r>
        <w:rPr>
          <w:rFonts w:hint="eastAsia" w:ascii="宋体" w:hAnsi="宋体"/>
          <w:color w:val="auto"/>
          <w:szCs w:val="21"/>
          <w:highlight w:val="none"/>
          <w:u w:val="single"/>
        </w:rPr>
        <w:t>自</w:t>
      </w:r>
      <w:r>
        <w:rPr>
          <w:rStyle w:val="54"/>
          <w:rFonts w:hint="eastAsia"/>
          <w:color w:val="auto"/>
          <w:highlight w:val="none"/>
        </w:rPr>
        <w:t>我</w:t>
      </w:r>
      <w:r>
        <w:rPr>
          <w:rFonts w:hint="eastAsia" w:ascii="宋体" w:hAnsi="宋体"/>
          <w:color w:val="auto"/>
          <w:szCs w:val="21"/>
          <w:highlight w:val="none"/>
          <w:u w:val="single"/>
        </w:rPr>
        <w:t>方法定代表人（或其委托代理人）签字并加盖公章之日起至你方签发或应签发工程接收证书之日止</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 在本担保有效期内，因承包人违反合同约定的义务给你方造成经济损失时，我方在收到你方以书面形式提出的在担保金额内的赔偿要求后，在7天内无条件支付。</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 你方和承包人按合同约定变更合同时，我方承担本担保规定的义务不变。</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5. 因本保函发生的纠纷，可由双方协商解决，协商不成的，按下列第</w:t>
      </w:r>
      <w:r>
        <w:rPr>
          <w:rFonts w:hint="eastAsia" w:ascii="宋体" w:hAnsi="宋体"/>
          <w:color w:val="auto"/>
          <w:szCs w:val="21"/>
          <w:highlight w:val="none"/>
          <w:u w:val="single"/>
        </w:rPr>
        <w:t xml:space="preserve"> 2 </w:t>
      </w:r>
      <w:r>
        <w:rPr>
          <w:rFonts w:hint="eastAsia" w:ascii="宋体" w:hAnsi="宋体"/>
          <w:color w:val="auto"/>
          <w:szCs w:val="21"/>
          <w:highlight w:val="none"/>
        </w:rPr>
        <w:t>种方式解决：</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（1）向</w:t>
      </w:r>
      <w:r>
        <w:rPr>
          <w:rFonts w:hint="eastAsia" w:ascii="宋体" w:hAnsi="宋体"/>
          <w:color w:val="auto"/>
          <w:szCs w:val="21"/>
          <w:highlight w:val="none"/>
          <w:u w:val="single"/>
        </w:rPr>
        <w:t xml:space="preserve">                     </w:t>
      </w:r>
      <w:r>
        <w:rPr>
          <w:rFonts w:hint="eastAsia" w:ascii="宋体" w:hAnsi="宋体"/>
          <w:color w:val="auto"/>
          <w:szCs w:val="21"/>
          <w:highlight w:val="none"/>
        </w:rPr>
        <w:t>仲裁委员会申请仲裁；</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（2）向</w:t>
      </w:r>
      <w:r>
        <w:rPr>
          <w:rFonts w:hint="eastAsia" w:ascii="宋体" w:hAnsi="宋体"/>
          <w:color w:val="auto"/>
          <w:szCs w:val="21"/>
          <w:highlight w:val="none"/>
          <w:u w:val="single"/>
        </w:rPr>
        <w:t xml:space="preserve"> 本工程项目所在地 </w:t>
      </w:r>
      <w:r>
        <w:rPr>
          <w:rFonts w:hint="eastAsia" w:ascii="宋体" w:hAnsi="宋体"/>
          <w:color w:val="auto"/>
          <w:szCs w:val="21"/>
          <w:highlight w:val="none"/>
        </w:rPr>
        <w:t>人民法院起诉。</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6. 本保函自我方法定代表人（或其委托代理人）签字并加盖公章之日起生效。</w:t>
      </w:r>
    </w:p>
    <w:p>
      <w:pPr>
        <w:spacing w:line="360" w:lineRule="auto"/>
        <w:rPr>
          <w:rFonts w:ascii="宋体" w:hAnsi="宋体"/>
          <w:color w:val="auto"/>
          <w:szCs w:val="21"/>
          <w:highlight w:val="none"/>
        </w:rPr>
      </w:pPr>
    </w:p>
    <w:p>
      <w:pPr>
        <w:spacing w:line="360" w:lineRule="auto"/>
        <w:rPr>
          <w:rFonts w:ascii="宋体" w:hAnsi="宋体"/>
          <w:color w:val="auto"/>
          <w:szCs w:val="21"/>
          <w:highlight w:val="none"/>
        </w:rPr>
      </w:pP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担 保 人：</w:t>
      </w:r>
      <w:r>
        <w:rPr>
          <w:rFonts w:hint="eastAsia" w:ascii="宋体" w:hAnsi="宋体"/>
          <w:color w:val="auto"/>
          <w:szCs w:val="21"/>
          <w:highlight w:val="none"/>
          <w:u w:val="single"/>
        </w:rPr>
        <w:t xml:space="preserve">                           </w:t>
      </w:r>
      <w:r>
        <w:rPr>
          <w:rFonts w:hint="eastAsia" w:ascii="宋体" w:hAnsi="宋体"/>
          <w:color w:val="auto"/>
          <w:szCs w:val="21"/>
          <w:highlight w:val="none"/>
        </w:rPr>
        <w:t>（盖单位章）</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法定代表人或其委托代理人：</w:t>
      </w:r>
      <w:r>
        <w:rPr>
          <w:rFonts w:hint="eastAsia" w:ascii="宋体" w:hAnsi="宋体"/>
          <w:color w:val="auto"/>
          <w:szCs w:val="21"/>
          <w:highlight w:val="none"/>
          <w:u w:val="single"/>
        </w:rPr>
        <w:t xml:space="preserve">               </w:t>
      </w:r>
      <w:r>
        <w:rPr>
          <w:rFonts w:hint="eastAsia" w:ascii="宋体" w:hAnsi="宋体"/>
          <w:color w:val="auto"/>
          <w:szCs w:val="21"/>
          <w:highlight w:val="none"/>
        </w:rPr>
        <w:t>（签字）</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地    址：</w:t>
      </w:r>
      <w:r>
        <w:rPr>
          <w:rFonts w:hint="eastAsia" w:ascii="宋体" w:hAnsi="宋体"/>
          <w:color w:val="auto"/>
          <w:szCs w:val="21"/>
          <w:highlight w:val="none"/>
          <w:u w:val="single"/>
        </w:rPr>
        <w:t xml:space="preserve">                                      </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邮政编码：</w:t>
      </w:r>
      <w:r>
        <w:rPr>
          <w:rFonts w:hint="eastAsia" w:ascii="宋体" w:hAnsi="宋体"/>
          <w:color w:val="auto"/>
          <w:szCs w:val="21"/>
          <w:highlight w:val="none"/>
          <w:u w:val="single"/>
        </w:rPr>
        <w:t xml:space="preserve">                                      </w:t>
      </w:r>
    </w:p>
    <w:p>
      <w:pPr>
        <w:spacing w:line="360" w:lineRule="auto"/>
        <w:ind w:firstLine="420" w:firstLineChars="200"/>
        <w:rPr>
          <w:rFonts w:ascii="宋体" w:hAnsi="宋体"/>
          <w:color w:val="auto"/>
          <w:szCs w:val="21"/>
          <w:highlight w:val="none"/>
          <w:u w:val="single"/>
        </w:rPr>
      </w:pPr>
      <w:r>
        <w:rPr>
          <w:rFonts w:hint="eastAsia" w:ascii="宋体" w:hAnsi="宋体"/>
          <w:color w:val="auto"/>
          <w:szCs w:val="21"/>
          <w:highlight w:val="none"/>
        </w:rPr>
        <w:t>电    话：</w:t>
      </w:r>
      <w:r>
        <w:rPr>
          <w:rFonts w:hint="eastAsia" w:ascii="宋体" w:hAnsi="宋体"/>
          <w:color w:val="auto"/>
          <w:szCs w:val="21"/>
          <w:highlight w:val="none"/>
          <w:u w:val="single"/>
        </w:rPr>
        <w:t xml:space="preserve">                                      </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传    真：</w:t>
      </w:r>
      <w:r>
        <w:rPr>
          <w:rFonts w:hint="eastAsia" w:ascii="宋体" w:hAnsi="宋体"/>
          <w:color w:val="auto"/>
          <w:szCs w:val="21"/>
          <w:highlight w:val="none"/>
          <w:u w:val="single"/>
        </w:rPr>
        <w:t xml:space="preserve">                                      </w:t>
      </w:r>
    </w:p>
    <w:p>
      <w:pPr>
        <w:spacing w:line="360" w:lineRule="auto"/>
        <w:ind w:right="840"/>
        <w:rPr>
          <w:rFonts w:ascii="宋体" w:hAnsi="宋体"/>
          <w:color w:val="auto"/>
          <w:szCs w:val="21"/>
          <w:highlight w:val="none"/>
          <w:u w:val="single"/>
        </w:rPr>
      </w:pPr>
    </w:p>
    <w:p>
      <w:pPr>
        <w:spacing w:line="360" w:lineRule="auto"/>
        <w:ind w:firstLine="420" w:firstLineChars="200"/>
        <w:jc w:val="right"/>
        <w:rPr>
          <w:rFonts w:ascii="宋体" w:hAnsi="宋体"/>
          <w:color w:val="auto"/>
          <w:szCs w:val="21"/>
          <w:highlight w:val="none"/>
        </w:rPr>
      </w:pP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w:t>
      </w:r>
    </w:p>
    <w:p>
      <w:pPr>
        <w:widowControl/>
        <w:spacing w:line="360" w:lineRule="auto"/>
        <w:jc w:val="left"/>
        <w:rPr>
          <w:rFonts w:ascii="宋体" w:hAnsi="宋体"/>
          <w:color w:val="auto"/>
          <w:szCs w:val="21"/>
          <w:highlight w:val="none"/>
        </w:rPr>
      </w:pPr>
      <w:r>
        <w:rPr>
          <w:rFonts w:ascii="宋体" w:hAnsi="宋体"/>
          <w:color w:val="auto"/>
          <w:szCs w:val="21"/>
          <w:highlight w:val="none"/>
        </w:rPr>
        <w:br w:type="page"/>
      </w:r>
    </w:p>
    <w:p>
      <w:pPr>
        <w:spacing w:line="480" w:lineRule="auto"/>
        <w:rPr>
          <w:rFonts w:ascii="宋体" w:hAnsi="宋体"/>
          <w:color w:val="auto"/>
          <w:szCs w:val="21"/>
          <w:highlight w:val="none"/>
        </w:rPr>
      </w:pPr>
      <w:r>
        <w:rPr>
          <w:rFonts w:hint="eastAsia" w:ascii="宋体" w:hAnsi="宋体"/>
          <w:color w:val="auto"/>
          <w:szCs w:val="21"/>
          <w:highlight w:val="none"/>
        </w:rPr>
        <w:t>附件</w:t>
      </w:r>
      <w:r>
        <w:rPr>
          <w:rFonts w:ascii="宋体" w:hAnsi="宋体"/>
          <w:color w:val="auto"/>
          <w:szCs w:val="21"/>
          <w:highlight w:val="none"/>
        </w:rPr>
        <w:t>5</w:t>
      </w:r>
      <w:r>
        <w:rPr>
          <w:rFonts w:hint="eastAsia" w:ascii="宋体" w:hAnsi="宋体"/>
          <w:color w:val="auto"/>
          <w:szCs w:val="21"/>
          <w:highlight w:val="none"/>
        </w:rPr>
        <w:t>：</w:t>
      </w:r>
    </w:p>
    <w:p>
      <w:pPr>
        <w:spacing w:beforeLines="50" w:afterLines="50" w:line="480" w:lineRule="auto"/>
        <w:jc w:val="center"/>
        <w:rPr>
          <w:rFonts w:ascii="宋体" w:hAnsi="宋体"/>
          <w:color w:val="auto"/>
          <w:szCs w:val="21"/>
          <w:highlight w:val="none"/>
        </w:rPr>
      </w:pPr>
      <w:r>
        <w:rPr>
          <w:rFonts w:hint="eastAsia" w:ascii="宋体" w:hAnsi="宋体"/>
          <w:color w:val="auto"/>
          <w:szCs w:val="21"/>
          <w:highlight w:val="none"/>
        </w:rPr>
        <w:t>预付款担保（如有）</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u w:val="single"/>
        </w:rPr>
        <w:t xml:space="preserve">            </w:t>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（发包人名称）：</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根据</w:t>
      </w:r>
      <w:r>
        <w:rPr>
          <w:rFonts w:hint="eastAsia" w:ascii="宋体" w:hAnsi="宋体"/>
          <w:color w:val="auto"/>
          <w:szCs w:val="21"/>
          <w:highlight w:val="none"/>
          <w:u w:val="single"/>
        </w:rPr>
        <w:t xml:space="preserve">       </w:t>
      </w:r>
      <w:r>
        <w:rPr>
          <w:rFonts w:hint="eastAsia" w:ascii="宋体" w:hAnsi="宋体"/>
          <w:color w:val="auto"/>
          <w:szCs w:val="21"/>
          <w:highlight w:val="none"/>
        </w:rPr>
        <w:t>（承包人名称）（以下称“承包人”）与</w:t>
      </w:r>
      <w:r>
        <w:rPr>
          <w:rFonts w:hint="eastAsia" w:ascii="宋体" w:hAnsi="宋体"/>
          <w:color w:val="auto"/>
          <w:szCs w:val="21"/>
          <w:highlight w:val="none"/>
          <w:u w:val="single"/>
        </w:rPr>
        <w:t xml:space="preserve">         </w:t>
      </w:r>
      <w:r>
        <w:rPr>
          <w:rFonts w:hint="eastAsia" w:ascii="宋体" w:hAnsi="宋体"/>
          <w:color w:val="auto"/>
          <w:szCs w:val="21"/>
          <w:highlight w:val="none"/>
        </w:rPr>
        <w:t>（发包人名称）（以下简称“发包人”）于</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日签订的</w:t>
      </w:r>
      <w:r>
        <w:rPr>
          <w:rFonts w:hint="eastAsia" w:ascii="宋体" w:hAnsi="宋体"/>
          <w:color w:val="auto"/>
          <w:szCs w:val="21"/>
          <w:highlight w:val="none"/>
          <w:u w:val="single"/>
        </w:rPr>
        <w:t xml:space="preserve">            </w:t>
      </w:r>
      <w:r>
        <w:rPr>
          <w:rFonts w:hint="eastAsia" w:ascii="宋体" w:hAnsi="宋体"/>
          <w:color w:val="auto"/>
          <w:szCs w:val="21"/>
          <w:highlight w:val="none"/>
        </w:rPr>
        <w:t>（工程名称）《建设工程施工合同》，承包人按约定的金额向你方提交一份预付款担保，即有权得到你方支付相等金额的预付款。我方愿意就你方提供给承包人的预付款为承包人提供连带责任担保。</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 担保金额人民币（大写）</w:t>
      </w:r>
      <w:r>
        <w:rPr>
          <w:rFonts w:hint="eastAsia" w:ascii="宋体" w:hAnsi="宋体"/>
          <w:color w:val="auto"/>
          <w:szCs w:val="21"/>
          <w:highlight w:val="none"/>
          <w:u w:val="single"/>
        </w:rPr>
        <w:t xml:space="preserve">        </w:t>
      </w:r>
      <w:r>
        <w:rPr>
          <w:rFonts w:hint="eastAsia" w:ascii="宋体" w:hAnsi="宋体"/>
          <w:color w:val="auto"/>
          <w:szCs w:val="21"/>
          <w:highlight w:val="none"/>
        </w:rPr>
        <w:t>元（¥</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 担保有效期自预付款支付给承包人起生效，至你方签发的进度款支付证书说明已完全扣清止。</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 在本保函有效期内，因承包人违反合同约定的义务而要求收回预付款时，我方在收到你方的书面通知后，在７天内无条件支付。但本保函的担保金额，在任何时候不应超过预付款金额减去你方按合同约定在向承包人签发的进度款支付证书中扣除的金额。</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 你方和承包人按合同约定变更合同时，我方承担本保函规定的义务不变。</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5. 因本保函发生的纠纷，可由双方协商解决，协商不成的，按下列第</w:t>
      </w:r>
      <w:r>
        <w:rPr>
          <w:rFonts w:hint="eastAsia" w:ascii="宋体" w:hAnsi="宋体"/>
          <w:color w:val="auto"/>
          <w:szCs w:val="21"/>
          <w:highlight w:val="none"/>
          <w:u w:val="single"/>
        </w:rPr>
        <w:t xml:space="preserve">    </w:t>
      </w:r>
      <w:r>
        <w:rPr>
          <w:rFonts w:hint="eastAsia" w:ascii="宋体" w:hAnsi="宋体"/>
          <w:color w:val="auto"/>
          <w:szCs w:val="21"/>
          <w:highlight w:val="none"/>
        </w:rPr>
        <w:t>种方式解决：</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（1）向</w:t>
      </w:r>
      <w:r>
        <w:rPr>
          <w:rFonts w:hint="eastAsia" w:ascii="宋体" w:hAnsi="宋体"/>
          <w:color w:val="auto"/>
          <w:szCs w:val="21"/>
          <w:highlight w:val="none"/>
          <w:u w:val="single"/>
        </w:rPr>
        <w:t xml:space="preserve">                     </w:t>
      </w:r>
      <w:r>
        <w:rPr>
          <w:rFonts w:hint="eastAsia" w:ascii="宋体" w:hAnsi="宋体"/>
          <w:color w:val="auto"/>
          <w:szCs w:val="21"/>
          <w:highlight w:val="none"/>
        </w:rPr>
        <w:t>仲裁委员会申请仲裁；</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（2）向</w:t>
      </w:r>
      <w:r>
        <w:rPr>
          <w:rFonts w:hint="eastAsia" w:ascii="宋体" w:hAnsi="宋体"/>
          <w:color w:val="auto"/>
          <w:szCs w:val="21"/>
          <w:highlight w:val="none"/>
          <w:u w:val="single"/>
        </w:rPr>
        <w:t xml:space="preserve">                     </w:t>
      </w:r>
      <w:r>
        <w:rPr>
          <w:rFonts w:hint="eastAsia" w:ascii="宋体" w:hAnsi="宋体"/>
          <w:color w:val="auto"/>
          <w:szCs w:val="21"/>
          <w:highlight w:val="none"/>
        </w:rPr>
        <w:t>人民法院起诉。</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6. 本保函自我方法定代表人（或其委托代理人）签字并加盖公章之日起生效。</w:t>
      </w:r>
    </w:p>
    <w:p>
      <w:pPr>
        <w:pStyle w:val="2"/>
        <w:spacing w:line="360" w:lineRule="auto"/>
        <w:ind w:firstLine="420" w:firstLineChars="200"/>
        <w:rPr>
          <w:rFonts w:ascii="宋体" w:hAnsi="宋体"/>
          <w:color w:val="auto"/>
          <w:szCs w:val="21"/>
          <w:highlight w:val="none"/>
        </w:rPr>
      </w:pP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担保人：</w:t>
      </w:r>
      <w:r>
        <w:rPr>
          <w:rFonts w:hint="eastAsia" w:ascii="宋体" w:hAnsi="宋体"/>
          <w:color w:val="auto"/>
          <w:szCs w:val="21"/>
          <w:highlight w:val="none"/>
          <w:u w:val="single"/>
        </w:rPr>
        <w:t xml:space="preserve">                           </w:t>
      </w:r>
      <w:r>
        <w:rPr>
          <w:rFonts w:hint="eastAsia" w:ascii="宋体" w:hAnsi="宋体"/>
          <w:color w:val="auto"/>
          <w:szCs w:val="21"/>
          <w:highlight w:val="none"/>
        </w:rPr>
        <w:t>（盖单位章）</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法定代表人或其委托代理人：</w:t>
      </w:r>
      <w:r>
        <w:rPr>
          <w:rFonts w:hint="eastAsia" w:ascii="宋体" w:hAnsi="宋体"/>
          <w:color w:val="auto"/>
          <w:szCs w:val="21"/>
          <w:highlight w:val="none"/>
          <w:u w:val="single"/>
        </w:rPr>
        <w:t xml:space="preserve">          </w:t>
      </w:r>
      <w:r>
        <w:rPr>
          <w:rFonts w:hint="eastAsia" w:ascii="宋体" w:hAnsi="宋体"/>
          <w:color w:val="auto"/>
          <w:szCs w:val="21"/>
          <w:highlight w:val="none"/>
        </w:rPr>
        <w:t>（签字）</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地    址：</w:t>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p>
    <w:p>
      <w:pPr>
        <w:spacing w:line="360" w:lineRule="auto"/>
        <w:ind w:firstLine="420" w:firstLineChars="200"/>
        <w:rPr>
          <w:rFonts w:ascii="宋体" w:hAnsi="宋体"/>
          <w:color w:val="auto"/>
          <w:szCs w:val="21"/>
          <w:highlight w:val="none"/>
          <w:u w:val="single"/>
        </w:rPr>
      </w:pPr>
      <w:r>
        <w:rPr>
          <w:rFonts w:hint="eastAsia" w:ascii="宋体" w:hAnsi="宋体"/>
          <w:color w:val="auto"/>
          <w:szCs w:val="21"/>
          <w:highlight w:val="none"/>
        </w:rPr>
        <w:t>邮政编码：</w:t>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p>
    <w:p>
      <w:pPr>
        <w:spacing w:line="360" w:lineRule="auto"/>
        <w:ind w:firstLine="420" w:firstLineChars="200"/>
        <w:rPr>
          <w:rFonts w:ascii="宋体" w:hAnsi="宋体"/>
          <w:color w:val="auto"/>
          <w:szCs w:val="21"/>
          <w:highlight w:val="none"/>
          <w:u w:val="single"/>
        </w:rPr>
      </w:pPr>
      <w:r>
        <w:rPr>
          <w:rFonts w:hint="eastAsia" w:ascii="宋体" w:hAnsi="宋体"/>
          <w:color w:val="auto"/>
          <w:szCs w:val="21"/>
          <w:highlight w:val="none"/>
        </w:rPr>
        <w:t>电    话：</w:t>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p>
    <w:p>
      <w:pPr>
        <w:spacing w:line="360" w:lineRule="auto"/>
        <w:ind w:firstLine="420" w:firstLineChars="200"/>
        <w:rPr>
          <w:rFonts w:ascii="宋体" w:hAnsi="宋体"/>
          <w:color w:val="auto"/>
          <w:szCs w:val="21"/>
          <w:highlight w:val="none"/>
          <w:u w:val="single"/>
        </w:rPr>
      </w:pPr>
      <w:r>
        <w:rPr>
          <w:rFonts w:hint="eastAsia" w:ascii="宋体" w:hAnsi="宋体"/>
          <w:color w:val="auto"/>
          <w:szCs w:val="21"/>
          <w:highlight w:val="none"/>
        </w:rPr>
        <w:t>传    真：</w:t>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r>
        <w:rPr>
          <w:rFonts w:hint="eastAsia" w:ascii="宋体" w:hAnsi="宋体"/>
          <w:color w:val="auto"/>
          <w:szCs w:val="21"/>
          <w:highlight w:val="none"/>
          <w:u w:val="single"/>
        </w:rPr>
        <w:tab/>
      </w:r>
    </w:p>
    <w:p>
      <w:pPr>
        <w:spacing w:line="360" w:lineRule="auto"/>
        <w:ind w:firstLine="420" w:firstLineChars="200"/>
        <w:rPr>
          <w:rFonts w:ascii="宋体" w:hAnsi="宋体"/>
          <w:color w:val="auto"/>
          <w:szCs w:val="21"/>
          <w:highlight w:val="none"/>
          <w:u w:val="single"/>
        </w:rPr>
      </w:pPr>
    </w:p>
    <w:p>
      <w:pPr>
        <w:spacing w:line="360" w:lineRule="auto"/>
        <w:ind w:firstLine="420" w:firstLineChars="200"/>
        <w:jc w:val="right"/>
        <w:rPr>
          <w:rFonts w:ascii="宋体" w:hAnsi="宋体"/>
          <w:color w:val="auto"/>
          <w:szCs w:val="21"/>
          <w:highlight w:val="none"/>
        </w:rPr>
      </w:pP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w:t>
      </w:r>
    </w:p>
    <w:p>
      <w:pPr>
        <w:spacing w:line="480" w:lineRule="auto"/>
        <w:rPr>
          <w:rFonts w:ascii="宋体" w:hAnsi="宋体"/>
          <w:color w:val="auto"/>
          <w:szCs w:val="21"/>
          <w:highlight w:val="none"/>
        </w:rPr>
      </w:pPr>
      <w:r>
        <w:rPr>
          <w:rFonts w:hint="eastAsia" w:ascii="宋体" w:hAnsi="宋体"/>
          <w:color w:val="auto"/>
          <w:szCs w:val="21"/>
          <w:highlight w:val="none"/>
        </w:rPr>
        <w:br w:type="page"/>
      </w:r>
      <w:r>
        <w:rPr>
          <w:rFonts w:hint="eastAsia" w:ascii="宋体" w:hAnsi="宋体"/>
          <w:color w:val="auto"/>
          <w:szCs w:val="21"/>
          <w:highlight w:val="none"/>
        </w:rPr>
        <w:t>附件</w:t>
      </w:r>
      <w:r>
        <w:rPr>
          <w:rFonts w:ascii="宋体" w:hAnsi="宋体"/>
          <w:color w:val="auto"/>
          <w:szCs w:val="21"/>
          <w:highlight w:val="none"/>
        </w:rPr>
        <w:t>6</w:t>
      </w:r>
      <w:r>
        <w:rPr>
          <w:rFonts w:hint="eastAsia" w:ascii="宋体" w:hAnsi="宋体"/>
          <w:color w:val="auto"/>
          <w:szCs w:val="21"/>
          <w:highlight w:val="none"/>
        </w:rPr>
        <w:t>：</w:t>
      </w:r>
    </w:p>
    <w:p>
      <w:pPr>
        <w:spacing w:line="360" w:lineRule="auto"/>
        <w:ind w:firstLine="420" w:firstLineChars="200"/>
        <w:jc w:val="center"/>
        <w:rPr>
          <w:rFonts w:ascii="宋体" w:hAnsi="宋体"/>
          <w:color w:val="auto"/>
          <w:szCs w:val="21"/>
          <w:highlight w:val="none"/>
        </w:rPr>
      </w:pPr>
      <w:r>
        <w:rPr>
          <w:rFonts w:hint="eastAsia" w:ascii="宋体" w:hAnsi="宋体"/>
          <w:color w:val="auto"/>
          <w:szCs w:val="21"/>
          <w:highlight w:val="none"/>
        </w:rPr>
        <w:t>支付担保（如有）</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u w:val="single"/>
        </w:rPr>
        <w:t xml:space="preserve">             </w:t>
      </w:r>
      <w:r>
        <w:rPr>
          <w:rFonts w:hint="eastAsia" w:ascii="宋体" w:hAnsi="宋体"/>
          <w:color w:val="auto"/>
          <w:szCs w:val="21"/>
          <w:highlight w:val="none"/>
        </w:rPr>
        <w:t>（承包人）：</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 xml:space="preserve">鉴于你方作为承包人已经与 </w:t>
      </w:r>
      <w:r>
        <w:rPr>
          <w:rFonts w:hint="eastAsia" w:ascii="宋体" w:hAnsi="宋体"/>
          <w:color w:val="auto"/>
          <w:szCs w:val="21"/>
          <w:highlight w:val="none"/>
          <w:u w:val="single"/>
        </w:rPr>
        <w:t xml:space="preserve">            </w:t>
      </w:r>
      <w:r>
        <w:rPr>
          <w:rFonts w:hint="eastAsia" w:ascii="宋体" w:hAnsi="宋体"/>
          <w:color w:val="auto"/>
          <w:szCs w:val="21"/>
          <w:highlight w:val="none"/>
        </w:rPr>
        <w:t>（发包人名称）（以下称“发包人”）于</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日签订了</w:t>
      </w:r>
      <w:r>
        <w:rPr>
          <w:rFonts w:hint="eastAsia" w:ascii="宋体" w:hAnsi="宋体"/>
          <w:color w:val="auto"/>
          <w:szCs w:val="21"/>
          <w:highlight w:val="none"/>
          <w:u w:val="single"/>
        </w:rPr>
        <w:t xml:space="preserve">             </w:t>
      </w:r>
      <w:r>
        <w:rPr>
          <w:rFonts w:hint="eastAsia" w:ascii="宋体" w:hAnsi="宋体"/>
          <w:color w:val="auto"/>
          <w:szCs w:val="21"/>
          <w:highlight w:val="none"/>
        </w:rPr>
        <w:t>（工程名称）《建设工程施工合同》（以下称“主合同”），应发包人的申请，我方愿就发包人履行主合同约定的工程款支付义务以保证的方式向你方提供如下担保：</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一、保证的范围及保证金额</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 我方的保证范围是主合同约定的工程款。</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 本保函所称主合同约定的工程款是指主合同约定的除工程质量保证金以外的合同价款。</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 我方保证的金额是主合同约定的工程款的</w:t>
      </w:r>
      <w:r>
        <w:rPr>
          <w:rFonts w:hint="eastAsia" w:ascii="宋体" w:hAnsi="宋体"/>
          <w:color w:val="auto"/>
          <w:szCs w:val="21"/>
          <w:highlight w:val="none"/>
          <w:u w:val="single"/>
        </w:rPr>
        <w:t xml:space="preserve">      </w:t>
      </w:r>
      <w:r>
        <w:rPr>
          <w:rFonts w:hint="eastAsia" w:ascii="宋体" w:hAnsi="宋体"/>
          <w:color w:val="auto"/>
          <w:szCs w:val="21"/>
          <w:highlight w:val="none"/>
        </w:rPr>
        <w:t xml:space="preserve"> %，数额最高不超过人民币元（大写：</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二、保证的方式及保证期间</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 我方保证的方式为：连带责任保证。</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 我方保证的期间为：自合同生效之日起至主合同约定的工程款支付完毕之日后</w:t>
      </w:r>
      <w:r>
        <w:rPr>
          <w:rFonts w:hint="eastAsia" w:ascii="宋体" w:hAnsi="宋体"/>
          <w:color w:val="auto"/>
          <w:szCs w:val="21"/>
          <w:highlight w:val="none"/>
          <w:u w:val="single"/>
        </w:rPr>
        <w:t xml:space="preserve">    </w:t>
      </w:r>
      <w:r>
        <w:rPr>
          <w:rFonts w:hint="eastAsia" w:ascii="宋体" w:hAnsi="宋体"/>
          <w:color w:val="auto"/>
          <w:szCs w:val="21"/>
          <w:highlight w:val="none"/>
        </w:rPr>
        <w:t>日内。</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 你方与发包人协议变更工程款支付日期的，经我方书面同意后，保证期间按照变更后的支付日期做相应调整。</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三、承担保证责任的形式</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我方承担保证责任的形式是代为支付。发包人未按主合同约定向你方支付工程款的，由我方在保证金额内代为支付。</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四、代偿的安排</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 你方要求我方承担保证责任的，应向我方发出书面索赔通知及发包人未支付主合同约定工程款的证明材料。索赔通知应写明要求索赔的金额，支付款项应到达的账号。</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 在出现你方与发包人因工程质量发生争议，发包人拒绝向你方支付工程款的情形时，你方要求我方履行保证责任代为支付的，需提供符合相应条件要求的工程质量检测机构出具的质量说明材料。</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 我方收到你方的书面索赔通知及相应的证明材料后７天内无条件支付。</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五、保证责任的解除</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 在本保函承诺的保证期间内，你方未书面向我方主张保证责任的，自保证期间届满次日起，我方保证责任解除。</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 发包人按主合同约定履行了工程款的全部支付义务的，自本保函承诺的保证期间届满次日起，我方保证责任解除。</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 我方按照本保函向你方履行保证责任所支付金额达到本保函保证金额时，自我方向你方支付（支付款项从我方账户划出）之日起，保证责任即解除。</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 按照法律法规的规定或出现应解除我方保证责任的其他情形的，我方在本保函项下的保证责任亦解除。</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5. 我方解除保证责任后，你方应自我方保证责任解除之日起  个工作日内，将本保函原件返还我方。</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六、免责条款</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 因你方违约致使发包人不能履行义务的，我方不承担保证责任。</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 依照法律法规的规定或你方与发包人的另行约定，免除发包人部分或全部义务的，我方亦免除其相应的保证责任。</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 你方与发包人协议变更主合同的，如加重发包人责任致使我方保证责任加重的，需征得我方书面同意，否则我方不再承担因此而加重部分的保证责任，但主合同第10条〔变更〕约定的变更不受本款限制。</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 因不可抗力造成发包人不能履行义务的，我方不承担保证责任。</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七、争议解决</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因本保函或本保函相关事项发生的纠纷，可由双方协商解决，协商不成的，按下列第</w:t>
      </w:r>
      <w:r>
        <w:rPr>
          <w:rFonts w:hint="eastAsia" w:ascii="宋体" w:hAnsi="宋体"/>
          <w:color w:val="auto"/>
          <w:szCs w:val="21"/>
          <w:highlight w:val="none"/>
          <w:u w:val="single"/>
        </w:rPr>
        <w:t xml:space="preserve">    </w:t>
      </w:r>
      <w:r>
        <w:rPr>
          <w:rFonts w:hint="eastAsia" w:ascii="宋体" w:hAnsi="宋体"/>
          <w:color w:val="auto"/>
          <w:szCs w:val="21"/>
          <w:highlight w:val="none"/>
        </w:rPr>
        <w:t>种方式解决：</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（1）向</w:t>
      </w:r>
      <w:r>
        <w:rPr>
          <w:rFonts w:hint="eastAsia" w:ascii="宋体" w:hAnsi="宋体"/>
          <w:color w:val="auto"/>
          <w:szCs w:val="21"/>
          <w:highlight w:val="none"/>
          <w:u w:val="single"/>
        </w:rPr>
        <w:t xml:space="preserve">                     </w:t>
      </w:r>
      <w:r>
        <w:rPr>
          <w:rFonts w:hint="eastAsia" w:ascii="宋体" w:hAnsi="宋体"/>
          <w:color w:val="auto"/>
          <w:szCs w:val="21"/>
          <w:highlight w:val="none"/>
        </w:rPr>
        <w:t>仲裁委员会申请仲裁；</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（2）向</w:t>
      </w:r>
      <w:r>
        <w:rPr>
          <w:rFonts w:hint="eastAsia" w:ascii="宋体" w:hAnsi="宋体"/>
          <w:color w:val="auto"/>
          <w:szCs w:val="21"/>
          <w:highlight w:val="none"/>
          <w:u w:val="single"/>
        </w:rPr>
        <w:t xml:space="preserve">                     </w:t>
      </w:r>
      <w:r>
        <w:rPr>
          <w:rFonts w:hint="eastAsia" w:ascii="宋体" w:hAnsi="宋体"/>
          <w:color w:val="auto"/>
          <w:szCs w:val="21"/>
          <w:highlight w:val="none"/>
        </w:rPr>
        <w:t>人民法院起诉。</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八、保函的生效</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本保函自我方法定代表人（或其委托代理人）签字并加盖公章之日起生效。</w:t>
      </w:r>
    </w:p>
    <w:p>
      <w:pPr>
        <w:spacing w:line="360" w:lineRule="auto"/>
        <w:ind w:firstLine="420" w:firstLineChars="200"/>
        <w:jc w:val="left"/>
        <w:rPr>
          <w:rFonts w:ascii="宋体" w:hAnsi="宋体"/>
          <w:color w:val="auto"/>
          <w:szCs w:val="21"/>
          <w:highlight w:val="none"/>
        </w:rPr>
      </w:pPr>
    </w:p>
    <w:p>
      <w:pPr>
        <w:spacing w:line="360" w:lineRule="auto"/>
        <w:ind w:firstLine="420" w:firstLineChars="200"/>
        <w:jc w:val="left"/>
        <w:rPr>
          <w:rFonts w:ascii="宋体" w:hAnsi="宋体"/>
          <w:color w:val="auto"/>
          <w:szCs w:val="21"/>
          <w:highlight w:val="none"/>
        </w:rPr>
      </w:pP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担保人：</w:t>
      </w:r>
      <w:r>
        <w:rPr>
          <w:rFonts w:hint="eastAsia" w:ascii="宋体" w:hAnsi="宋体"/>
          <w:color w:val="auto"/>
          <w:szCs w:val="21"/>
          <w:highlight w:val="none"/>
          <w:u w:val="single"/>
        </w:rPr>
        <w:t xml:space="preserve">                                   </w:t>
      </w:r>
      <w:r>
        <w:rPr>
          <w:rFonts w:hint="eastAsia" w:ascii="宋体" w:hAnsi="宋体"/>
          <w:color w:val="auto"/>
          <w:szCs w:val="21"/>
          <w:highlight w:val="none"/>
        </w:rPr>
        <w:t>（盖章）</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法定代表人或委托代理人：</w:t>
      </w:r>
      <w:r>
        <w:rPr>
          <w:rFonts w:hint="eastAsia" w:ascii="宋体" w:hAnsi="宋体"/>
          <w:color w:val="auto"/>
          <w:szCs w:val="21"/>
          <w:highlight w:val="none"/>
          <w:u w:val="single"/>
        </w:rPr>
        <w:t xml:space="preserve">                   </w:t>
      </w:r>
      <w:r>
        <w:rPr>
          <w:rFonts w:hint="eastAsia" w:ascii="宋体" w:hAnsi="宋体"/>
          <w:color w:val="auto"/>
          <w:szCs w:val="21"/>
          <w:highlight w:val="none"/>
        </w:rPr>
        <w:t>（签字）</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地    址：</w:t>
      </w:r>
      <w:r>
        <w:rPr>
          <w:rFonts w:hint="eastAsia" w:ascii="宋体" w:hAnsi="宋体"/>
          <w:color w:val="auto"/>
          <w:szCs w:val="21"/>
          <w:highlight w:val="none"/>
          <w:u w:val="single"/>
        </w:rPr>
        <w:t xml:space="preserve">                                        </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邮政编码：</w:t>
      </w:r>
      <w:r>
        <w:rPr>
          <w:rFonts w:hint="eastAsia" w:ascii="宋体" w:hAnsi="宋体"/>
          <w:color w:val="auto"/>
          <w:szCs w:val="21"/>
          <w:highlight w:val="none"/>
          <w:u w:val="single"/>
        </w:rPr>
        <w:t xml:space="preserve">                                        </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传    真：</w:t>
      </w:r>
      <w:r>
        <w:rPr>
          <w:rFonts w:hint="eastAsia" w:ascii="宋体" w:hAnsi="宋体"/>
          <w:color w:val="auto"/>
          <w:szCs w:val="21"/>
          <w:highlight w:val="none"/>
          <w:u w:val="single"/>
        </w:rPr>
        <w:t xml:space="preserve">                                        </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 xml:space="preserve">           </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 xml:space="preserve">  </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w:t>
      </w:r>
      <w:r>
        <w:rPr>
          <w:rFonts w:hint="eastAsia" w:ascii="宋体" w:hAnsi="宋体"/>
          <w:color w:val="auto"/>
          <w:szCs w:val="21"/>
          <w:highlight w:val="none"/>
        </w:rPr>
        <w:br w:type="page"/>
      </w:r>
    </w:p>
    <w:p>
      <w:pPr>
        <w:spacing w:line="480" w:lineRule="auto"/>
        <w:rPr>
          <w:rFonts w:ascii="宋体" w:hAnsi="宋体"/>
          <w:color w:val="auto"/>
          <w:szCs w:val="21"/>
          <w:highlight w:val="none"/>
        </w:rPr>
      </w:pPr>
      <w:r>
        <w:rPr>
          <w:rFonts w:hint="eastAsia" w:ascii="宋体" w:hAnsi="宋体"/>
          <w:color w:val="auto"/>
          <w:szCs w:val="21"/>
          <w:highlight w:val="none"/>
        </w:rPr>
        <w:t>附件</w:t>
      </w:r>
      <w:r>
        <w:rPr>
          <w:rFonts w:ascii="宋体" w:hAnsi="宋体"/>
          <w:color w:val="auto"/>
          <w:szCs w:val="21"/>
          <w:highlight w:val="none"/>
        </w:rPr>
        <w:t>7</w:t>
      </w:r>
      <w:r>
        <w:rPr>
          <w:rFonts w:hint="eastAsia" w:ascii="宋体" w:hAnsi="宋体"/>
          <w:color w:val="auto"/>
          <w:szCs w:val="21"/>
          <w:highlight w:val="none"/>
        </w:rPr>
        <w:t>：</w:t>
      </w:r>
    </w:p>
    <w:p>
      <w:pPr>
        <w:spacing w:beforeLines="50" w:afterLines="50" w:line="480" w:lineRule="auto"/>
        <w:jc w:val="center"/>
        <w:rPr>
          <w:rFonts w:ascii="宋体" w:hAnsi="宋体"/>
          <w:color w:val="auto"/>
          <w:szCs w:val="21"/>
          <w:highlight w:val="none"/>
        </w:rPr>
      </w:pPr>
      <w:r>
        <w:rPr>
          <w:rFonts w:hint="eastAsia" w:ascii="宋体" w:hAnsi="宋体"/>
          <w:color w:val="auto"/>
          <w:szCs w:val="21"/>
          <w:highlight w:val="none"/>
        </w:rPr>
        <w:t>专业工程暂估价表</w:t>
      </w:r>
    </w:p>
    <w:tbl>
      <w:tblPr>
        <w:tblStyle w:val="45"/>
        <w:tblW w:w="952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879"/>
        <w:gridCol w:w="1984"/>
        <w:gridCol w:w="5103"/>
        <w:gridCol w:w="15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jc w:val="center"/>
              <w:rPr>
                <w:rFonts w:ascii="宋体" w:hAnsi="宋体"/>
                <w:color w:val="auto"/>
                <w:szCs w:val="21"/>
                <w:highlight w:val="none"/>
              </w:rPr>
            </w:pPr>
            <w:r>
              <w:rPr>
                <w:rFonts w:hint="eastAsia" w:ascii="宋体" w:hAnsi="宋体"/>
                <w:color w:val="auto"/>
                <w:szCs w:val="21"/>
                <w:highlight w:val="none"/>
              </w:rPr>
              <w:t>序号</w:t>
            </w:r>
          </w:p>
        </w:tc>
        <w:tc>
          <w:tcPr>
            <w:tcW w:w="1984" w:type="dxa"/>
          </w:tcPr>
          <w:p>
            <w:pPr>
              <w:spacing w:line="400" w:lineRule="exact"/>
              <w:jc w:val="center"/>
              <w:rPr>
                <w:rFonts w:ascii="宋体" w:hAnsi="宋体"/>
                <w:color w:val="auto"/>
                <w:szCs w:val="21"/>
                <w:highlight w:val="none"/>
              </w:rPr>
            </w:pPr>
            <w:r>
              <w:rPr>
                <w:rFonts w:hint="eastAsia" w:ascii="宋体" w:hAnsi="宋体"/>
                <w:color w:val="auto"/>
                <w:szCs w:val="21"/>
                <w:highlight w:val="none"/>
              </w:rPr>
              <w:t>专业工程名称</w:t>
            </w:r>
          </w:p>
        </w:tc>
        <w:tc>
          <w:tcPr>
            <w:tcW w:w="5103" w:type="dxa"/>
          </w:tcPr>
          <w:p>
            <w:pPr>
              <w:spacing w:line="400" w:lineRule="exact"/>
              <w:jc w:val="center"/>
              <w:rPr>
                <w:rFonts w:ascii="宋体" w:hAnsi="宋体"/>
                <w:color w:val="auto"/>
                <w:szCs w:val="21"/>
                <w:highlight w:val="none"/>
              </w:rPr>
            </w:pPr>
            <w:r>
              <w:rPr>
                <w:rFonts w:hint="eastAsia" w:ascii="宋体" w:hAnsi="宋体"/>
                <w:color w:val="auto"/>
                <w:szCs w:val="21"/>
                <w:highlight w:val="none"/>
              </w:rPr>
              <w:t>工程内容</w:t>
            </w:r>
          </w:p>
        </w:tc>
        <w:tc>
          <w:tcPr>
            <w:tcW w:w="1560" w:type="dxa"/>
          </w:tcPr>
          <w:p>
            <w:pPr>
              <w:spacing w:line="400" w:lineRule="exact"/>
              <w:jc w:val="center"/>
              <w:rPr>
                <w:rFonts w:ascii="宋体" w:hAnsi="宋体"/>
                <w:color w:val="auto"/>
                <w:szCs w:val="21"/>
                <w:highlight w:val="none"/>
              </w:rPr>
            </w:pPr>
            <w:r>
              <w:rPr>
                <w:rFonts w:hint="eastAsia" w:ascii="宋体" w:hAnsi="宋体"/>
                <w:color w:val="auto"/>
                <w:szCs w:val="21"/>
                <w:highlight w:val="none"/>
              </w:rPr>
              <w:t>金额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879" w:type="dxa"/>
          </w:tcPr>
          <w:p>
            <w:pPr>
              <w:spacing w:line="400" w:lineRule="exact"/>
              <w:ind w:firstLine="420" w:firstLineChars="200"/>
              <w:rPr>
                <w:rFonts w:ascii="宋体" w:hAnsi="宋体"/>
                <w:color w:val="auto"/>
                <w:szCs w:val="21"/>
                <w:highlight w:val="none"/>
              </w:rPr>
            </w:pPr>
          </w:p>
        </w:tc>
        <w:tc>
          <w:tcPr>
            <w:tcW w:w="1984" w:type="dxa"/>
          </w:tcPr>
          <w:p>
            <w:pPr>
              <w:spacing w:line="400" w:lineRule="exact"/>
              <w:ind w:firstLine="420" w:firstLineChars="200"/>
              <w:rPr>
                <w:rFonts w:ascii="宋体" w:hAnsi="宋体"/>
                <w:color w:val="auto"/>
                <w:szCs w:val="21"/>
                <w:highlight w:val="none"/>
              </w:rPr>
            </w:pPr>
          </w:p>
        </w:tc>
        <w:tc>
          <w:tcPr>
            <w:tcW w:w="5103" w:type="dxa"/>
          </w:tcPr>
          <w:p>
            <w:pPr>
              <w:spacing w:line="400" w:lineRule="exact"/>
              <w:ind w:firstLine="420" w:firstLineChars="200"/>
              <w:rPr>
                <w:rFonts w:ascii="宋体" w:hAnsi="宋体"/>
                <w:color w:val="auto"/>
                <w:szCs w:val="21"/>
                <w:highlight w:val="none"/>
              </w:rPr>
            </w:pPr>
          </w:p>
        </w:tc>
        <w:tc>
          <w:tcPr>
            <w:tcW w:w="1560" w:type="dxa"/>
          </w:tcPr>
          <w:p>
            <w:pPr>
              <w:spacing w:line="400" w:lineRule="exact"/>
              <w:ind w:firstLine="420" w:firstLineChars="200"/>
              <w:rPr>
                <w:rFonts w:ascii="宋体" w:hAnsi="宋体"/>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526" w:type="dxa"/>
            <w:gridSpan w:val="4"/>
          </w:tcPr>
          <w:p>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小计：</w:t>
            </w:r>
          </w:p>
        </w:tc>
      </w:tr>
    </w:tbl>
    <w:p>
      <w:pPr>
        <w:spacing w:line="360" w:lineRule="auto"/>
        <w:ind w:firstLine="420" w:firstLineChars="200"/>
        <w:rPr>
          <w:rFonts w:ascii="宋体" w:hAnsi="宋体"/>
          <w:color w:val="auto"/>
          <w:szCs w:val="21"/>
          <w:highlight w:val="none"/>
        </w:rPr>
      </w:pPr>
    </w:p>
    <w:p>
      <w:pPr>
        <w:pStyle w:val="2"/>
        <w:spacing w:line="360" w:lineRule="auto"/>
        <w:rPr>
          <w:rFonts w:ascii="宋体" w:hAnsi="宋体"/>
          <w:color w:val="auto"/>
          <w:szCs w:val="21"/>
          <w:highlight w:val="none"/>
        </w:rPr>
      </w:pPr>
    </w:p>
    <w:p>
      <w:pPr>
        <w:spacing w:line="480" w:lineRule="auto"/>
        <w:ind w:firstLine="420" w:firstLineChars="200"/>
        <w:rPr>
          <w:rFonts w:ascii="宋体" w:hAnsi="宋体"/>
          <w:color w:val="auto"/>
          <w:szCs w:val="21"/>
          <w:highlight w:val="none"/>
        </w:rPr>
      </w:pPr>
      <w:r>
        <w:rPr>
          <w:rFonts w:ascii="宋体" w:hAnsi="宋体"/>
          <w:color w:val="auto"/>
          <w:szCs w:val="21"/>
          <w:highlight w:val="none"/>
        </w:rPr>
        <w:br w:type="page"/>
      </w:r>
    </w:p>
    <w:p>
      <w:pPr>
        <w:spacing w:line="480" w:lineRule="auto"/>
        <w:rPr>
          <w:rFonts w:ascii="宋体" w:hAnsi="宋体"/>
          <w:color w:val="auto"/>
          <w:szCs w:val="21"/>
          <w:highlight w:val="none"/>
        </w:rPr>
      </w:pPr>
      <w:r>
        <w:rPr>
          <w:rFonts w:hint="eastAsia" w:ascii="宋体" w:hAnsi="宋体"/>
          <w:color w:val="auto"/>
          <w:szCs w:val="21"/>
          <w:highlight w:val="none"/>
        </w:rPr>
        <w:t>附件</w:t>
      </w:r>
      <w:r>
        <w:rPr>
          <w:rFonts w:ascii="宋体" w:hAnsi="宋体"/>
          <w:color w:val="auto"/>
          <w:szCs w:val="21"/>
          <w:highlight w:val="none"/>
        </w:rPr>
        <w:t>8</w:t>
      </w:r>
      <w:r>
        <w:rPr>
          <w:rFonts w:hint="eastAsia" w:ascii="宋体" w:hAnsi="宋体"/>
          <w:color w:val="auto"/>
          <w:szCs w:val="21"/>
          <w:highlight w:val="none"/>
        </w:rPr>
        <w:t>：</w:t>
      </w:r>
    </w:p>
    <w:p>
      <w:pPr>
        <w:spacing w:beforeLines="50" w:afterLines="50" w:line="480" w:lineRule="auto"/>
        <w:jc w:val="center"/>
        <w:rPr>
          <w:rFonts w:ascii="宋体" w:hAnsi="宋体"/>
          <w:color w:val="auto"/>
          <w:szCs w:val="21"/>
          <w:highlight w:val="none"/>
        </w:rPr>
      </w:pPr>
      <w:r>
        <w:rPr>
          <w:rFonts w:hint="eastAsia" w:ascii="宋体" w:hAnsi="宋体"/>
          <w:color w:val="auto"/>
          <w:szCs w:val="21"/>
          <w:highlight w:val="none"/>
        </w:rPr>
        <w:t>廉洁从业协议</w:t>
      </w:r>
    </w:p>
    <w:p>
      <w:pPr>
        <w:snapToGrid w:val="0"/>
        <w:spacing w:line="360" w:lineRule="auto"/>
        <w:ind w:firstLine="422" w:firstLineChars="200"/>
        <w:rPr>
          <w:rFonts w:hint="eastAsia" w:ascii="宋体" w:hAnsi="宋体" w:eastAsia="宋体"/>
          <w:b/>
          <w:color w:val="auto"/>
          <w:szCs w:val="21"/>
          <w:highlight w:val="none"/>
          <w:u w:val="single"/>
          <w:lang w:eastAsia="zh-CN"/>
        </w:rPr>
      </w:pPr>
      <w:r>
        <w:rPr>
          <w:rFonts w:hint="eastAsia" w:ascii="宋体" w:hAnsi="宋体"/>
          <w:b/>
          <w:color w:val="auto"/>
          <w:szCs w:val="21"/>
          <w:highlight w:val="none"/>
        </w:rPr>
        <w:t>发包人（全称）：</w:t>
      </w:r>
      <w:r>
        <w:rPr>
          <w:rFonts w:hint="eastAsia" w:ascii="宋体" w:hAnsi="宋体"/>
          <w:color w:val="auto"/>
          <w:szCs w:val="21"/>
          <w:highlight w:val="none"/>
          <w:u w:val="single"/>
        </w:rPr>
        <w:t></w:t>
      </w:r>
    </w:p>
    <w:p>
      <w:pPr>
        <w:snapToGrid w:val="0"/>
        <w:spacing w:line="360" w:lineRule="auto"/>
        <w:ind w:firstLine="422" w:firstLineChars="200"/>
        <w:rPr>
          <w:rFonts w:ascii="宋体" w:hAnsi="宋体"/>
          <w:b/>
          <w:color w:val="auto"/>
          <w:szCs w:val="21"/>
          <w:highlight w:val="none"/>
          <w:u w:val="single"/>
        </w:rPr>
      </w:pPr>
      <w:r>
        <w:rPr>
          <w:rFonts w:hint="eastAsia" w:ascii="宋体" w:hAnsi="宋体"/>
          <w:b/>
          <w:color w:val="auto"/>
          <w:szCs w:val="21"/>
          <w:highlight w:val="none"/>
        </w:rPr>
        <w:t>承包人（全称）：</w:t>
      </w:r>
      <w:r>
        <w:rPr>
          <w:rFonts w:hint="eastAsia" w:ascii="宋体" w:hAnsi="宋体"/>
          <w:color w:val="auto"/>
          <w:szCs w:val="21"/>
          <w:highlight w:val="none"/>
          <w:u w:val="single"/>
        </w:rPr>
        <w:t xml:space="preserve">        </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根据国家有关部门以及有关工程建设、廉政建设的规定，为做好工程建设中的党风廉政建设，保证工程建设高效优质，保证建设资金的安全和有效使用以及投资效益，建设工程的项目法人（以下简称“发包人”）与承包人（以下简称“承包人”），特订立如下协议。</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 xml:space="preserve"> 1. 发包人承包人的权利和义务</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（1）严格遵守党的政策规定和国家有关法律法规及相关部门的有关规定。</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（2）严格执行 工程的合同文件，自觉按合同办事。</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（3）双方的业务活动坚持公开、公正、诚信、透明的原则（法律认定的商业秘密和合同文件另有规定除外），不得损害国家和集体利益，违反工程建设管理规章制度。</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（4）建立健全廉政制度，开展廉政教育，设立廉政告示牌，公布举报电话，监督并认真查处违法违纪行为。</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（5）发现对方在业务活动中有违反廉政规定的行为，有及时提醒对方纠正的权利和义务。</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（6）发现对方严重违反协议义务条款的行为，有向其上级有关部门举报、建议给予处理并要求告知处理结果的权利。</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 发包人的义务</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（1）发包人及其工作人员不得索要或接受承包人的礼金、有价证券和贵重物品，不得在承包人报销任何应由发包人或发包人工作人员个人支付的费用等。</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（2）发包人工作人员不得参加承包人安排的超标准宴请和娱乐活动；不得接受承包人提供的通讯工具、交通工具和高档办公用品等。</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（3）发包人及其工作人员不得要求或者接受承包人为其住房装修、婚丧嫁娶活动、配偶子女的工作安排以及出国出境、旅游等提供方便等。</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（4）发包人工作人员及其配偶、子女不得从事与发包人工程有关的材料设备供应、工程分包、劳务等经济活动等。</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（5）发包人及其工作人员不得以任何理由向承包人推荐分包单位或推销材料，不得要求承包人购买合同规定外的材料和设备。</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（6）发包人工作人员要秉公办事，不准营私舞弊，不准利用职权从事各种个人有偿中介活动和安排个人施工队伍。</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 承包人义务</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（1）承包人不得以任何理由向发包人及其工作人员行贿或馈赠礼金、有价证券、贵重礼品。</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（2）承包人不得以任何名义为发包人及其工作人员报销应由发包人单位或个人支付的任何费用。</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（3）承包人不得以任何理由安排发包人工作人员参加超标准宴请及娱乐活动。</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（4）承包人不得为发包人单位和个人购置或提供通讯工具、交通工具和高档办公用品等。</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4. 违约责任</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（1）发包人及其工作人员违反合同第1、2条，按管理权限，依据有关规定给予党纪、政纪或组织处理；涉嫌犯罪的，移交司法机关追究刑事责任；给承包人单位造成经济损失的，应予以赔偿。</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（2）承包人及其工作人员违反合同第1、3条，按管理权限，依据有关规定给予党纪、政纪或组织处理；给发包人单位造成经济损失的，应予以赔偿。</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5. 双方约定：协议由双方或双方上级单位的纪检监察机关负责监督执行。由发包人或发包人上级单位的纪检监察机关约请承包人或承包人上级单位纪检监察机关对合同执行情况进行检查，提出在协议规定范围内的裁定意见。</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6. 协议有效期为甲乙双方签署之日起至该工程项目竣工验收后止。</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7.协议作为 工程施工合同的附件，与工程施工合同具有同等的法律效力，经合同双方签署立即生效。</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（以下无正文）</w:t>
      </w:r>
    </w:p>
    <w:p>
      <w:pPr>
        <w:spacing w:line="360" w:lineRule="auto"/>
        <w:rPr>
          <w:rFonts w:ascii="宋体" w:hAnsi="宋体"/>
          <w:color w:val="auto"/>
          <w:szCs w:val="21"/>
          <w:highlight w:val="none"/>
        </w:rPr>
      </w:pPr>
      <w:r>
        <w:rPr>
          <w:rFonts w:hint="eastAsia" w:ascii="宋体" w:hAnsi="宋体"/>
          <w:color w:val="auto"/>
          <w:szCs w:val="21"/>
          <w:highlight w:val="none"/>
        </w:rPr>
        <w:t>甲     方：   乙     方：</w:t>
      </w:r>
      <w:r>
        <w:rPr>
          <w:rFonts w:hint="eastAsia" w:ascii="宋体" w:hAnsi="宋体"/>
          <w:snapToGrid w:val="0"/>
          <w:color w:val="auto"/>
          <w:kern w:val="0"/>
          <w:szCs w:val="21"/>
          <w:highlight w:val="none"/>
          <w:u w:val="single"/>
        </w:rPr>
        <w:t xml:space="preserve"> </w:t>
      </w:r>
    </w:p>
    <w:p>
      <w:pPr>
        <w:spacing w:line="360" w:lineRule="auto"/>
        <w:rPr>
          <w:rFonts w:ascii="宋体" w:hAnsi="宋体"/>
          <w:color w:val="auto"/>
          <w:szCs w:val="21"/>
          <w:highlight w:val="none"/>
        </w:rPr>
      </w:pPr>
    </w:p>
    <w:p>
      <w:pPr>
        <w:spacing w:line="360" w:lineRule="auto"/>
        <w:rPr>
          <w:rFonts w:ascii="宋体" w:hAnsi="宋体"/>
          <w:color w:val="auto"/>
          <w:szCs w:val="21"/>
          <w:highlight w:val="none"/>
        </w:rPr>
      </w:pPr>
      <w:r>
        <w:rPr>
          <w:rFonts w:hint="eastAsia" w:ascii="宋体" w:hAnsi="宋体"/>
          <w:color w:val="auto"/>
          <w:szCs w:val="21"/>
          <w:highlight w:val="none"/>
        </w:rPr>
        <w:t xml:space="preserve">法定代表人                          法定代表人                      </w:t>
      </w:r>
    </w:p>
    <w:p>
      <w:pPr>
        <w:spacing w:line="360" w:lineRule="auto"/>
        <w:rPr>
          <w:rFonts w:ascii="宋体" w:hAnsi="宋体"/>
          <w:color w:val="auto"/>
          <w:szCs w:val="21"/>
          <w:highlight w:val="none"/>
        </w:rPr>
      </w:pPr>
    </w:p>
    <w:p>
      <w:pPr>
        <w:spacing w:line="360" w:lineRule="auto"/>
        <w:rPr>
          <w:rFonts w:ascii="宋体" w:hAnsi="宋体"/>
          <w:color w:val="auto"/>
          <w:szCs w:val="21"/>
          <w:highlight w:val="none"/>
        </w:rPr>
      </w:pPr>
    </w:p>
    <w:p>
      <w:pPr>
        <w:spacing w:line="360" w:lineRule="auto"/>
        <w:rPr>
          <w:rFonts w:ascii="宋体" w:hAnsi="宋体"/>
          <w:color w:val="auto"/>
          <w:szCs w:val="21"/>
          <w:highlight w:val="none"/>
        </w:rPr>
      </w:pPr>
      <w:r>
        <w:rPr>
          <w:rFonts w:hint="eastAsia" w:ascii="宋体" w:hAnsi="宋体"/>
          <w:color w:val="auto"/>
          <w:szCs w:val="21"/>
          <w:highlight w:val="none"/>
        </w:rPr>
        <w:t>或其授权的代理人：                  或授权的代理人：</w:t>
      </w:r>
      <w:r>
        <w:rPr>
          <w:rFonts w:hint="eastAsia" w:ascii="宋体" w:hAnsi="宋体"/>
          <w:color w:val="auto"/>
          <w:szCs w:val="21"/>
          <w:highlight w:val="none"/>
        </w:rPr>
        <w:br w:type="page"/>
      </w:r>
      <w:r>
        <w:rPr>
          <w:rFonts w:hint="eastAsia" w:ascii="宋体" w:hAnsi="宋体"/>
          <w:color w:val="auto"/>
          <w:szCs w:val="21"/>
          <w:highlight w:val="none"/>
        </w:rPr>
        <w:t>附件</w:t>
      </w:r>
      <w:r>
        <w:rPr>
          <w:rFonts w:ascii="宋体" w:hAnsi="宋体"/>
          <w:color w:val="auto"/>
          <w:szCs w:val="21"/>
          <w:highlight w:val="none"/>
        </w:rPr>
        <w:t>9</w:t>
      </w:r>
      <w:r>
        <w:rPr>
          <w:rFonts w:hint="eastAsia" w:ascii="宋体" w:hAnsi="宋体"/>
          <w:color w:val="auto"/>
          <w:szCs w:val="21"/>
          <w:highlight w:val="none"/>
        </w:rPr>
        <w:t>：</w:t>
      </w:r>
    </w:p>
    <w:p>
      <w:pPr>
        <w:spacing w:beforeLines="50" w:afterLines="50" w:line="480" w:lineRule="auto"/>
        <w:jc w:val="center"/>
        <w:rPr>
          <w:rFonts w:ascii="宋体" w:hAnsi="宋体"/>
          <w:color w:val="auto"/>
          <w:sz w:val="24"/>
          <w:highlight w:val="none"/>
        </w:rPr>
      </w:pPr>
      <w:r>
        <w:rPr>
          <w:rFonts w:hint="eastAsia" w:ascii="宋体" w:hAnsi="宋体"/>
          <w:color w:val="auto"/>
          <w:szCs w:val="21"/>
          <w:highlight w:val="none"/>
        </w:rPr>
        <w:t>安全管理协议</w:t>
      </w:r>
    </w:p>
    <w:p>
      <w:pPr>
        <w:snapToGrid w:val="0"/>
        <w:spacing w:line="360" w:lineRule="auto"/>
        <w:ind w:firstLine="422" w:firstLineChars="200"/>
        <w:rPr>
          <w:rFonts w:hint="eastAsia" w:ascii="宋体" w:hAnsi="宋体" w:eastAsia="宋体"/>
          <w:b/>
          <w:color w:val="auto"/>
          <w:szCs w:val="21"/>
          <w:highlight w:val="none"/>
          <w:u w:val="single"/>
          <w:lang w:eastAsia="zh-CN"/>
        </w:rPr>
      </w:pPr>
      <w:r>
        <w:rPr>
          <w:rFonts w:hint="eastAsia" w:ascii="宋体" w:hAnsi="宋体"/>
          <w:b/>
          <w:color w:val="auto"/>
          <w:szCs w:val="21"/>
          <w:highlight w:val="none"/>
        </w:rPr>
        <w:t>发包人（全称）：</w:t>
      </w:r>
      <w:r>
        <w:rPr>
          <w:rFonts w:hint="eastAsia" w:ascii="宋体" w:hAnsi="宋体"/>
          <w:color w:val="auto"/>
          <w:szCs w:val="21"/>
          <w:highlight w:val="none"/>
          <w:u w:val="single"/>
        </w:rPr>
        <w:t></w:t>
      </w:r>
    </w:p>
    <w:p>
      <w:pPr>
        <w:snapToGrid w:val="0"/>
        <w:spacing w:line="360" w:lineRule="auto"/>
        <w:ind w:firstLine="422" w:firstLineChars="200"/>
        <w:rPr>
          <w:rFonts w:ascii="宋体" w:hAnsi="宋体"/>
          <w:b/>
          <w:color w:val="auto"/>
          <w:szCs w:val="21"/>
          <w:highlight w:val="none"/>
          <w:u w:val="single"/>
        </w:rPr>
      </w:pPr>
      <w:r>
        <w:rPr>
          <w:rFonts w:hint="eastAsia" w:ascii="宋体" w:hAnsi="宋体"/>
          <w:b/>
          <w:color w:val="auto"/>
          <w:szCs w:val="21"/>
          <w:highlight w:val="none"/>
        </w:rPr>
        <w:t>承包人（全称）：</w:t>
      </w:r>
      <w:r>
        <w:rPr>
          <w:rFonts w:hint="eastAsia" w:ascii="宋体" w:hAnsi="宋体"/>
          <w:color w:val="auto"/>
          <w:szCs w:val="21"/>
          <w:highlight w:val="none"/>
          <w:u w:val="single"/>
        </w:rPr>
        <w:t xml:space="preserve">      </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为了确保实现</w:t>
      </w:r>
      <w:r>
        <w:rPr>
          <w:rFonts w:hint="eastAsia" w:ascii="宋体" w:hAnsi="宋体"/>
          <w:color w:val="auto"/>
          <w:szCs w:val="21"/>
          <w:highlight w:val="none"/>
          <w:u w:val="single"/>
        </w:rPr>
        <w:t xml:space="preserve">        </w:t>
      </w:r>
      <w:r>
        <w:rPr>
          <w:rFonts w:hint="eastAsia" w:ascii="宋体" w:hAnsi="宋体"/>
          <w:color w:val="auto"/>
          <w:szCs w:val="21"/>
          <w:highlight w:val="none"/>
        </w:rPr>
        <w:t>安全生产目标，进一步明确双方的安全管理责任，加强安全生产管理工作的协调、管理力度，</w:t>
      </w:r>
      <w:r>
        <w:rPr>
          <w:rFonts w:hint="eastAsia" w:ascii="宋体" w:hAnsi="宋体"/>
          <w:color w:val="auto"/>
          <w:szCs w:val="21"/>
          <w:highlight w:val="none"/>
          <w:u w:val="single"/>
        </w:rPr>
        <w:t xml:space="preserve">        </w:t>
      </w:r>
      <w:r>
        <w:rPr>
          <w:rFonts w:hint="eastAsia" w:ascii="宋体" w:hAnsi="宋体"/>
          <w:color w:val="auto"/>
          <w:szCs w:val="21"/>
          <w:highlight w:val="none"/>
        </w:rPr>
        <w:t>（以下简称“发包人”）与</w:t>
      </w:r>
      <w:r>
        <w:rPr>
          <w:rFonts w:hint="eastAsia" w:ascii="宋体" w:hAnsi="宋体"/>
          <w:color w:val="auto"/>
          <w:szCs w:val="21"/>
          <w:highlight w:val="none"/>
          <w:u w:val="single"/>
        </w:rPr>
        <w:t xml:space="preserve">        </w:t>
      </w:r>
      <w:r>
        <w:rPr>
          <w:rFonts w:hint="eastAsia" w:ascii="宋体" w:hAnsi="宋体"/>
          <w:color w:val="auto"/>
          <w:szCs w:val="21"/>
          <w:highlight w:val="none"/>
        </w:rPr>
        <w:t>（以下简称“承包人”）依据国家安全生产相关的法律、法规和安全方面的强制性国家标准或行业标准，双方同意签订该协议作为正式合同安全管理方面的补充规定，并承诺本协议具有与合同相同的法律效力。具体条款如下：</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一、协议有效期限</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本协议中所涉及的安全管理责任自合同签订之日起开始生效，至合同工程全部完工验收且经发包人与承包人签订移交协议生效后之日终止。</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二、责任目标</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（一）承包人承诺承担和履行合同和发包人所规定的安全责任，且满足要求。</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（二）承包人的安全控制目标是确保本工程在实施过程中：</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1．不发生人身重伤事故；</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2．不发生火灾事故；</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3．不发生负有同等及以上事故责任的造成人身重伤的一般交通事故；</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4．不发生集体食物中毒事件（同时5人及以上的食物中毒）；</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5．不发生流行性传染病 （无甲型传染病、其他常见传染病未形成多人同时患病）；</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6．不发生重大环境污染事件（生活、工业垃圾及其他污染物造成环境污染和大面积水土流失）；</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7．不发生对施工区附近生产、生活造成重大影响的事件（如造成重大设备损坏、重大财产损失、人员伤害等）；</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8．不发生治安保卫事件（构成刑事拘留及以上的事件、盗窃直接损失超过1万元人民币的事件）。</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（三）承包人承诺在施工中控制以下安全事故的发生：</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1．人员轻伤事故。</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2．负有同等及以上事故责任的人身轻伤交通事故。</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3．其他安全未遂事故和异常事件。</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三、安全责任</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1．承包人负有安全生产的管理责任和直接责任。</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2．承包人的法人或签署合同的公司总经理或受委托的代理人对合同安全负有全面的领导责任。</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3．承包人项目经理对施工现场的安全工作负有全面的直接领导责任。</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4．承包人保证执行“谁施工、谁负责”的施工安全原则。</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5．承包人保证服从发包人对安全工作的统一协调和管理。</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6．承包人保证对本工程项目安全生产条件及其管理资源自行投入，保证安全资金的专款专用。</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7．承包人保证建立本工程项目的安全管理体系及安全保证体系（注：项目安全管理大纲/手册、管理性的程序文件等）。</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8．承包人保证现场的安全管理专职人员必须持有建设主管部门安全生产培训考核合格证书。</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9．承包人保证为现场所有工作人员（含分包商员工及劳务人员）配备符合国家标准的有承包人和/或其下属分包商标志的个人基本劳动保护用品。</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10．承包人保证按照国家法律规定为现场所有工作人员（含分包商员工及劳务人员）购买意外伤害保险。</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11．承包人保证施工生活营地（包括自建的和租用的营地）满足消防、安全用电、卫生防疫、防暴雨、防雷击等方面的安全要求。</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12．承包人保证对带入现场的设备、工具、材料按照国家法规和标准进行检测、试验，并持有法定部门出具的检验证书。</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13．承包人保证制订施工现场的文明施工措施，保护环境、树木和植被，保持施工现场的良好秩序和整洁的作业环境。</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14．承包人负责在施工过程中与当地政府、周边群众及其他承包商保持良好的沟通和交流。承包人遇到与周边群众发生纠纷时，应负责协调工作，确保工程能够顺利进行。</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四、接口及协调</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1．发包人委托监理公司对该工程实施监理，监理公司在安全管理方面代表发包人行使监督检查职能，承包人必须给予配合和支持。</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2．承包人人员、车辆的出入，带入现场的设备、机具、材料，在现场使用的或直接管理的办公、生活、生产性设施的安全管理须满足发包人现场管理的基本要求。</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3．承包人应指定专职安全管理人员与发包人委托的监理公司接口，参与安全协调和管理。安全协调和管理的内容包括职业健康、工业安全、消防安全、卫生防疫、交通安全、环境保护、治安保卫等各方面。</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承包人的专职安全管理人员应具备协调安全工作的能力和授权。发包人委托的监理公司有权对专职安全管理人员的能力和权力做出评价，对于不能胜任的专职安全管理人员，发包人委托的监理公司有权要求承包人换人。</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5．承包人指定的专职安全管理人员应与发包人委托的监理公司建立联系，在业务上接受发包人委托的监理公司的协调和指导。</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6．开工后承包人的专职安全管理人员应按照发包人委托的监理公司的规定，定期报送安全月度快报、季报、年报和各种专项事故报告等。</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7．在工程实体未全部正式移交发包人施工管理部门之前，承包人依旧对施工范围内的安全管理负责。</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五、安全资质审查</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承包人在项目开工前5个工作天内向发包人委托的监理公司提供以下安全资质供审查和存档：</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1．企业安全生产许可证书复印件。</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2．企业近三年的施工简历及安全施工业绩证明文件。</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3．企业主要安全管理人员（包括项目经理、专职安全管理人员）经建设主管部门安全生产知识考核合格证书。</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4．特种作业人员资格证书。</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5．项目安全管理机构及其人员配备（承包人必须配有专职的安全员）。</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6．适用于项目的安全管理体系及保证体系文件（安全管理大纲及管理程序文件）。</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六、人员基本素质</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承包人提供的人员必须满足下列要求：</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1．身体健康，无影响工作的精神疾病、无传染病和其他重大疾病；承包人需对其雇用的施工人员签发健康声明并保证其健康。其中体检证明材料（县级以上医院）和健康声明作为人员办理入场证件的必备材料。</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2．无刑事案件牵连。</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3．无吸毒、酗酒、赌博、嫖娼等恶习及违法行为。</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七、劳动保护</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1．承包人负责为本单位任何用工形式的员工提供个人劳动保护用品（包括工作服、安全帽、安全鞋等）。</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2．承包人负责向特殊工种的员工提供特殊劳动保护，否则不得从事特殊工种作业。</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3．发包人委托的监理公司有权检查承包人的个人劳动保护用品是否符合国家的相应标准。</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 承包人在特殊风险场所作业而需要特殊防护用品或安全仪表时，必须在上述防护用品全部到位后才能开工。</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5．承包人应配备临时安全围栏、警示带、警告标志、防火布等集体防护用品。</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八、施工机具与材料</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1．承包人对带入现场的施工机械和工器具的安全负责。</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2．对于承包人带入现场的特殊工器具，如起重设备、索具、机动车辆、压缩气瓶等，承包人必须按国家法规和标准进行检测、试验，并持有法定部门出具的检验证书。</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3．对于不属于法定检测的工器具，承包人也必须建立相应的管理、检测制度，这些工器具包括登高工具、脚手架材料、电动工具、安全防护设备及用具等。</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九、开工前安全条件检查</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发包人委托的监理公司将在合同生效后，工程项目正式开工5个工作日前，依据合同安全条款的要求逐项对承包人安全准备情况进行检查。不满足开工安全条件时，承包人将不得开工，由此产生的工期和成本的影响，由承包人自行负责。</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开工前安全条件检查的基本内容包括：安全管理体系建设、安全资金投入、危险源识别和安全风险分析、施工机械的安全状况、安全工器具和材料、安全培训教材和教员、专职安全人员的到岗情况、培训的有效性、人员控制、个人劳动保护用品配备等内容。</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3．发包人委托的监理公司检查发现的缺陷，承包人应在规定期限内完成整改。对于重大缺陷，发包人委托的监理公司有权要求承包人推迟开工，由此对工期产生的影响或经济损失，由承包人承担。</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十、安全监督</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1．承包人应配备有满足项目安全管理需要的专职安全管理人员。</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2．承包人的专职安全管理人员必须持建设主管部门颁发的安全生产知识考核合格证书。</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3．承包人的专职安全管理人员在业务上接受发包人委托的监理公司和发包人安全管理部门的协调和指导。</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4．承包人应建立班前安全交底制度；施工期间坚持开展安全检查和日常安全监督并形成相应的记录。</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5．承包人应在每个作业区任命兼职安全员，赋予兼职安全员相应的授权和义务，并对兼职安全员进行定期考核。</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6．承包人应接受和配合发包人专业部门及委托的监理公司的监督与安全评价。</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7．发包人和委托的监理公司有权对承包人履行安全管理协议的情况进行监督，并有权对违章行为实行停工和处罚，处罚情况将通知承包人。涉及经济处罚时将直接通知合同管理部门从合同结算中扣除。</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十一、安全培训与授权</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1．承包人所有特殊工种人员必须持证上岗，发包人和发包人委托的监理公司有权对其进行抽查。承包人要建立特殊工种定期培训和检查计划，这些工种包括但不限于：机动车驾驶员、焊工、起重工、电工等。</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2．承包人应在特殊工种之外的其他工种中，筛选出高风险工种，并对其开展针对性的专题安全培训。</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3．承包人应组织 “入场培训”和考核。发包人委托的监理公司有权监督培训、考核情况或组织抽查考核。</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4．承包人应建立安全培训和考核机制，编制培训教材和培训滚动计划。承包人应组织安全考试/考核，建立培训考核记录，发包人委托的监理公司有权查看这些记录。</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十二、职业健康与卫生防疫</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1．承包人应有特殊健康检查制度，预防有禁忌症患者从事有关职业，如恐高症患者不得从事高空作业，患有心血管疾病的人员不得从事繁重的体力劳动，特殊工种人员的体检应符合国家的规定。</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2．承包人应保证卫生防疫基本设施的投入，以满足医疗、急救的要求，建立外部医疗支持渠道。</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应建立卫生防疫措施计划，做好生活区和施工区的卫生防疫工作；制定和执行保证饮水卫生、饮食卫生、环境卫生和预防集体食物中毒的措施；有灭蚊、灭鼠和消毒的专项工作计划；有针对性地制订预防SARS、禽流感、疟疾、霍乱、肠道传染病、肝炎、H1N1流感等疾病的措施。</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十三、文明施工与环保要求</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1．承包人需制订施工现场的文明施工措施，保持良好的施工现场秩序。施工现场的物料堆放要摆放整齐，安全标志和宣传标志要清楚醒目，废料、废物要分类收集，安全通道要畅通。</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2．承包人作业时应避免建筑材料抛洒、飞扬、流淌；应尽可能降低噪音、震动。</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3．承包人应根据实际需要，在施工现场布置临时卫生设施（洗手间、卫生间等），施工作业不破坏环境卫生，不污染现场环境。</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4．承包人在施工中应充分重视对环境的保护，保护绿色植被，保护古树。施工如需伤害古树，必须报告发包人委托的监理公司，在未得到指令前，禁止擅自伤害古树。</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承包人应及时清理现场废物和垃圾。工业废料与生活垃圾必须分开，有害废物与普通废物必须分开（如油品废物、电池灯管等，必须单独收集、存放）；禁止在非指定场所乱倒、乱堆垃圾。禁止违章处理危险化学品和工业垃圾。</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6．承包人在施工中应禁止向环境，排放工业污水、生活污水、废油或其他有害物质。</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承包人在施工中应防止水土流失，应及时对裸露的地基、边坡、开挖出来的沙/土以及砂、石、水泥等建筑材料予以保护，防止风刮扬尘，雨水冲刷，流入下水道、排洪沟。如因防护不及时而造成大量水土流失、淤塞道路、沟道或污染环境的，承包人应承担清淤、清扫以及相应的赔偿责任。</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十四、工程风险管理与事故预防</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（一）基本要求</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1．承包人应对施工过程进行全面、深入的危险源识别和风险分析。在施工安全组织设计中提供危险源及重要危险源清单、作业风险分析报告，该报告应包括（但不限于）如下信息：</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（1）高风险作业和工种清单：作业名称、类别和数量、主要事故风险。</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（2）施工能源和机械的种类、数量和主要事故风险。</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（3）施工作业条件的类型和主要事故风险。</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（4）主要工艺过程（或施工活动）的类别及其相关的事故风险。</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（5）主要火灾危险（可燃物、点火源）。</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（6）主要自然灾害（洪水、大风、雷暴、暴雨、地质灾害等）。</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（7）主要环境保护事件（有害垃圾、机械的跑冒滴漏、原材料流失、水土流失等）。</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（8）其他。</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2．承包人应针对识别出的危险源制定有针对性的事故预防措施并确保在施工中得到有效落实。</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3．承包人应建立日常施工活动的动态作业风险分析和安全交底制度。该制度应明确规定风险分析的方法、责任和交底的内容、时间及记录。</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（二）现场作业基本安全条件</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承包人应规定现场作业的基本安全条件，包括照明条件、通风条件、作业平台和通道条件、物料堆放条件、供电供水条件、吸烟点、休息点等，并对临边现场、道路上作业现场、立体交叉作业现场、地面坑洞和沟道、夜间作业现场等的基本安全条件做出规定。</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十五、事故报告与应急救援</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1．承包人应制定对于未遂事故及以上级别的安全事件和事故，定期报送安全月度快报、季报、年报和各种专项事故报告等。</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2．承包人应建立安全事故统计记录、未遂事故统计记录、违章统计记录，并根据统计情况进行分析，并就分析结果制定相应的预防措施。</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3．承包人应建立事故应急救援机制，明确事故处置的基本原则，即现场发生事故时，首先抢救生命，向救援组织报警，并采取措施限制事故扩大。</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4．承包人应建立相应的应急响应组织，以便能迅速处理突发意外。</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5．承包人应建立专项应急响应预案，包括重大人身伤亡事故的救护预案、火灾响应预案、“四防”预案（防风、防冻、防雷、防暴雨）、重大疫病防护预案、环境污染防护预案、地质灾害防护预案等。</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6．承包人应对应急预案进行适当演练，保证应急预案的可操作性。</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7．在工地的其他施工单位发生重大事故时，承包人应无条件立即配合、支持事故抢险。</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8．承包人必须为事故处置支付各项费用，包括受伤者的抚恤、补偿等费用，并按合同要求赔偿对发包人造成的损失。</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9．由于发包人原因而造成的事故，发包人应负责按事故的具体损失情况给予承包人经济赔偿。</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10．涉及承包人员工的伤害事故，承包人除要报告发包人委托的监理公司外，还应负责按照国家、行业和本单位上级公司的要求，上报事故。</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十六、安全业绩考核</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为了落实安全管理的责任，承包人在施工过程中发生安全事故时，承包人除应按国家有关规定承担责任和处罚外，发包人还将按照以下标准进行考核：</w:t>
      </w:r>
    </w:p>
    <w:tbl>
      <w:tblPr>
        <w:tblStyle w:val="45"/>
        <w:tblW w:w="7005" w:type="dxa"/>
        <w:jc w:val="center"/>
        <w:tblLayout w:type="fixed"/>
        <w:tblCellMar>
          <w:top w:w="0" w:type="dxa"/>
          <w:left w:w="0" w:type="dxa"/>
          <w:bottom w:w="0" w:type="dxa"/>
          <w:right w:w="0" w:type="dxa"/>
        </w:tblCellMar>
      </w:tblPr>
      <w:tblGrid>
        <w:gridCol w:w="3240"/>
        <w:gridCol w:w="3765"/>
      </w:tblGrid>
      <w:tr>
        <w:tblPrEx>
          <w:tblCellMar>
            <w:top w:w="0" w:type="dxa"/>
            <w:left w:w="0" w:type="dxa"/>
            <w:bottom w:w="0" w:type="dxa"/>
            <w:right w:w="0" w:type="dxa"/>
          </w:tblCellMar>
        </w:tblPrEx>
        <w:trPr>
          <w:trHeight w:val="188" w:hRule="atLeast"/>
          <w:jc w:val="center"/>
        </w:trPr>
        <w:tc>
          <w:tcPr>
            <w:tcW w:w="3240" w:type="dxa"/>
            <w:tcBorders>
              <w:top w:val="single" w:color="auto" w:sz="8" w:space="0"/>
              <w:left w:val="single" w:color="auto" w:sz="8" w:space="0"/>
              <w:bottom w:val="single" w:color="auto" w:sz="8" w:space="0"/>
              <w:right w:val="single" w:color="auto" w:sz="8" w:space="0"/>
            </w:tcBorders>
            <w:tcMar>
              <w:top w:w="0" w:type="dxa"/>
              <w:left w:w="108" w:type="dxa"/>
              <w:bottom w:w="0" w:type="dxa"/>
              <w:right w:w="108" w:type="dxa"/>
            </w:tcMar>
            <w:vAlign w:val="center"/>
          </w:tcPr>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事件类型</w:t>
            </w:r>
          </w:p>
        </w:tc>
        <w:tc>
          <w:tcPr>
            <w:tcW w:w="3765" w:type="dxa"/>
            <w:tcBorders>
              <w:top w:val="single" w:color="auto" w:sz="8" w:space="0"/>
              <w:left w:val="nil"/>
              <w:bottom w:val="single" w:color="auto" w:sz="8" w:space="0"/>
              <w:right w:val="single" w:color="auto" w:sz="8" w:space="0"/>
            </w:tcBorders>
            <w:tcMar>
              <w:top w:w="0" w:type="dxa"/>
              <w:left w:w="108" w:type="dxa"/>
              <w:bottom w:w="0" w:type="dxa"/>
              <w:right w:w="108" w:type="dxa"/>
            </w:tcMar>
            <w:vAlign w:val="center"/>
          </w:tcPr>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违约金额</w:t>
            </w:r>
          </w:p>
        </w:tc>
      </w:tr>
      <w:tr>
        <w:tblPrEx>
          <w:tblCellMar>
            <w:top w:w="0" w:type="dxa"/>
            <w:left w:w="0" w:type="dxa"/>
            <w:bottom w:w="0" w:type="dxa"/>
            <w:right w:w="0" w:type="dxa"/>
          </w:tblCellMar>
        </w:tblPrEx>
        <w:trPr>
          <w:trHeight w:val="281" w:hRule="atLeast"/>
          <w:jc w:val="center"/>
        </w:trPr>
        <w:tc>
          <w:tcPr>
            <w:tcW w:w="3240" w:type="dxa"/>
            <w:tcBorders>
              <w:top w:val="single" w:color="auto" w:sz="8" w:space="0"/>
              <w:left w:val="single" w:color="auto" w:sz="8" w:space="0"/>
              <w:bottom w:val="single" w:color="auto" w:sz="8" w:space="0"/>
              <w:right w:val="single" w:color="auto" w:sz="8" w:space="0"/>
            </w:tcBorders>
            <w:tcMar>
              <w:top w:w="0" w:type="dxa"/>
              <w:left w:w="108" w:type="dxa"/>
              <w:bottom w:w="0" w:type="dxa"/>
              <w:right w:w="108" w:type="dxa"/>
            </w:tcMar>
            <w:vAlign w:val="center"/>
          </w:tcPr>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较大事故</w:t>
            </w:r>
          </w:p>
        </w:tc>
        <w:tc>
          <w:tcPr>
            <w:tcW w:w="3765" w:type="dxa"/>
            <w:tcBorders>
              <w:top w:val="single" w:color="auto" w:sz="8" w:space="0"/>
              <w:left w:val="nil"/>
              <w:bottom w:val="single" w:color="auto" w:sz="8" w:space="0"/>
              <w:right w:val="single" w:color="auto" w:sz="8" w:space="0"/>
            </w:tcBorders>
            <w:vAlign w:val="center"/>
          </w:tcPr>
          <w:p>
            <w:pPr>
              <w:spacing w:line="360" w:lineRule="auto"/>
              <w:ind w:firstLine="420" w:firstLineChars="200"/>
              <w:jc w:val="left"/>
              <w:rPr>
                <w:rFonts w:ascii="宋体" w:hAnsi="宋体"/>
                <w:color w:val="auto"/>
                <w:szCs w:val="21"/>
                <w:highlight w:val="none"/>
              </w:rPr>
            </w:pPr>
            <w:r>
              <w:rPr>
                <w:rFonts w:hint="eastAsia" w:ascii="宋体" w:hAnsi="宋体"/>
                <w:color w:val="auto"/>
                <w:kern w:val="0"/>
                <w:szCs w:val="21"/>
                <w:highlight w:val="none"/>
              </w:rPr>
              <w:t>签约合同价</w:t>
            </w:r>
            <w:r>
              <w:rPr>
                <w:rFonts w:hint="eastAsia" w:ascii="宋体" w:hAnsi="宋体"/>
                <w:color w:val="auto"/>
                <w:szCs w:val="21"/>
                <w:highlight w:val="none"/>
              </w:rPr>
              <w:t>的0.5‰</w:t>
            </w:r>
          </w:p>
        </w:tc>
      </w:tr>
      <w:tr>
        <w:tblPrEx>
          <w:tblCellMar>
            <w:top w:w="0" w:type="dxa"/>
            <w:left w:w="0" w:type="dxa"/>
            <w:bottom w:w="0" w:type="dxa"/>
            <w:right w:w="0" w:type="dxa"/>
          </w:tblCellMar>
        </w:tblPrEx>
        <w:trPr>
          <w:trHeight w:val="274" w:hRule="atLeast"/>
          <w:jc w:val="center"/>
        </w:trPr>
        <w:tc>
          <w:tcPr>
            <w:tcW w:w="3240" w:type="dxa"/>
            <w:tcBorders>
              <w:top w:val="single" w:color="auto" w:sz="8" w:space="0"/>
              <w:left w:val="single" w:color="auto" w:sz="8" w:space="0"/>
              <w:bottom w:val="single" w:color="auto" w:sz="8" w:space="0"/>
              <w:right w:val="single" w:color="auto" w:sz="8" w:space="0"/>
            </w:tcBorders>
            <w:tcMar>
              <w:top w:w="0" w:type="dxa"/>
              <w:left w:w="108" w:type="dxa"/>
              <w:bottom w:w="0" w:type="dxa"/>
              <w:right w:w="108" w:type="dxa"/>
            </w:tcMar>
            <w:vAlign w:val="center"/>
          </w:tcPr>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重大事故</w:t>
            </w:r>
          </w:p>
        </w:tc>
        <w:tc>
          <w:tcPr>
            <w:tcW w:w="3765" w:type="dxa"/>
            <w:tcBorders>
              <w:top w:val="single" w:color="auto" w:sz="8" w:space="0"/>
              <w:left w:val="nil"/>
              <w:bottom w:val="single" w:color="auto" w:sz="8" w:space="0"/>
              <w:right w:val="single" w:color="auto" w:sz="8" w:space="0"/>
            </w:tcBorders>
            <w:vAlign w:val="center"/>
          </w:tcPr>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签约合同价的2‰</w:t>
            </w:r>
          </w:p>
        </w:tc>
      </w:tr>
      <w:tr>
        <w:tblPrEx>
          <w:tblCellMar>
            <w:top w:w="0" w:type="dxa"/>
            <w:left w:w="0" w:type="dxa"/>
            <w:bottom w:w="0" w:type="dxa"/>
            <w:right w:w="0" w:type="dxa"/>
          </w:tblCellMar>
        </w:tblPrEx>
        <w:trPr>
          <w:trHeight w:val="138" w:hRule="atLeast"/>
          <w:jc w:val="center"/>
        </w:trPr>
        <w:tc>
          <w:tcPr>
            <w:tcW w:w="3240" w:type="dxa"/>
            <w:tcBorders>
              <w:top w:val="single" w:color="auto" w:sz="8" w:space="0"/>
              <w:left w:val="single" w:color="auto" w:sz="8" w:space="0"/>
              <w:bottom w:val="single" w:color="auto" w:sz="8" w:space="0"/>
              <w:right w:val="single" w:color="auto" w:sz="8" w:space="0"/>
            </w:tcBorders>
            <w:tcMar>
              <w:top w:w="0" w:type="dxa"/>
              <w:left w:w="108" w:type="dxa"/>
              <w:bottom w:w="0" w:type="dxa"/>
              <w:right w:w="108" w:type="dxa"/>
            </w:tcMar>
            <w:vAlign w:val="center"/>
          </w:tcPr>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特别重大事故</w:t>
            </w:r>
          </w:p>
        </w:tc>
        <w:tc>
          <w:tcPr>
            <w:tcW w:w="3765" w:type="dxa"/>
            <w:tcBorders>
              <w:top w:val="single" w:color="auto" w:sz="8" w:space="0"/>
              <w:left w:val="nil"/>
              <w:bottom w:val="single" w:color="auto" w:sz="8" w:space="0"/>
              <w:right w:val="single" w:color="auto" w:sz="8" w:space="0"/>
            </w:tcBorders>
            <w:vAlign w:val="center"/>
          </w:tcPr>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签约合同价的4‰</w:t>
            </w:r>
          </w:p>
        </w:tc>
      </w:tr>
    </w:tbl>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（1）较大事故，是指造成3人以上10人以下死亡，或者10人以上50人以下重伤，或者1000万元以上5000万元以下直接经济损失的事故；</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（2）重大事故，是指造成10人以上30人以下死亡，或者50人以上100人以下重伤，或者5000万元以上1亿元以下直接经济损失的事故；</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（3）特别重大事故，是指造成30人以上死亡，或者100人以上重伤（包括急性工业中毒，下同），或者1亿元以上直接经济损失的事故；</w:t>
      </w:r>
    </w:p>
    <w:p>
      <w:pPr>
        <w:spacing w:line="276" w:lineRule="auto"/>
        <w:ind w:firstLine="420" w:firstLineChars="200"/>
        <w:jc w:val="left"/>
        <w:rPr>
          <w:rFonts w:ascii="宋体" w:hAnsi="宋体"/>
          <w:color w:val="auto"/>
          <w:szCs w:val="21"/>
          <w:highlight w:val="none"/>
        </w:rPr>
      </w:pPr>
      <w:r>
        <w:rPr>
          <w:rFonts w:hint="eastAsia" w:ascii="宋体" w:hAnsi="宋体"/>
          <w:color w:val="auto"/>
          <w:szCs w:val="21"/>
          <w:highlight w:val="none"/>
        </w:rPr>
        <w:t>（4）所称的“以上”包括本数，所称的“以下”不包括本数。</w:t>
      </w:r>
    </w:p>
    <w:p>
      <w:pPr>
        <w:spacing w:line="276" w:lineRule="auto"/>
        <w:ind w:firstLine="420" w:firstLineChars="200"/>
        <w:jc w:val="left"/>
        <w:rPr>
          <w:rFonts w:ascii="宋体" w:hAnsi="宋体"/>
          <w:color w:val="auto"/>
          <w:szCs w:val="21"/>
          <w:highlight w:val="none"/>
        </w:rPr>
      </w:pPr>
      <w:r>
        <w:rPr>
          <w:rFonts w:hint="eastAsia" w:ascii="宋体" w:hAnsi="宋体"/>
          <w:color w:val="auto"/>
          <w:szCs w:val="21"/>
          <w:highlight w:val="none"/>
        </w:rPr>
        <w:t>（5）如整个施工过程未发生以上安全事故，则给予承包人建安费总额的1‰的安全奖励。</w:t>
      </w:r>
    </w:p>
    <w:p>
      <w:pPr>
        <w:spacing w:line="276" w:lineRule="auto"/>
        <w:ind w:firstLine="420" w:firstLineChars="200"/>
        <w:jc w:val="left"/>
        <w:rPr>
          <w:rFonts w:ascii="宋体" w:hAnsi="宋体"/>
          <w:color w:val="auto"/>
          <w:szCs w:val="21"/>
          <w:highlight w:val="none"/>
        </w:rPr>
      </w:pPr>
      <w:r>
        <w:rPr>
          <w:rFonts w:hint="eastAsia" w:ascii="宋体" w:hAnsi="宋体"/>
          <w:color w:val="auto"/>
          <w:szCs w:val="21"/>
          <w:highlight w:val="none"/>
        </w:rPr>
        <w:t xml:space="preserve">发包人委托的监理公司负责对承包人的安全业绩进行考核。每次合同支付前，承包人提交自我安全业绩评估报告，然后交发包人委托的监理公司评价。发包人委托的监理公司在签署评价意见后，将作为合同支付依据之一，同时也作为是否可接受承包人再次参加发包人项目投标的依据之一。 </w:t>
      </w:r>
    </w:p>
    <w:p>
      <w:pPr>
        <w:spacing w:line="276" w:lineRule="auto"/>
        <w:ind w:firstLine="420" w:firstLineChars="200"/>
        <w:rPr>
          <w:rFonts w:ascii="宋体" w:hAnsi="宋体"/>
          <w:color w:val="auto"/>
          <w:szCs w:val="21"/>
          <w:highlight w:val="none"/>
        </w:rPr>
      </w:pPr>
      <w:r>
        <w:rPr>
          <w:rFonts w:hint="eastAsia" w:ascii="宋体" w:hAnsi="宋体"/>
          <w:color w:val="auto"/>
          <w:szCs w:val="21"/>
          <w:highlight w:val="none"/>
        </w:rPr>
        <w:t>十七、协议条款的修订</w:t>
      </w:r>
    </w:p>
    <w:p>
      <w:pPr>
        <w:spacing w:line="276" w:lineRule="auto"/>
        <w:ind w:firstLine="420" w:firstLineChars="200"/>
        <w:jc w:val="left"/>
        <w:rPr>
          <w:rFonts w:ascii="宋体" w:hAnsi="宋体"/>
          <w:color w:val="auto"/>
          <w:szCs w:val="21"/>
          <w:highlight w:val="none"/>
        </w:rPr>
      </w:pPr>
      <w:r>
        <w:rPr>
          <w:rFonts w:hint="eastAsia" w:ascii="宋体" w:hAnsi="宋体"/>
          <w:color w:val="auto"/>
          <w:szCs w:val="21"/>
          <w:highlight w:val="none"/>
        </w:rPr>
        <w:t>在项目实施过程中，经双方友好协商，本协议的有关条款也可做出相应的修改。</w:t>
      </w:r>
    </w:p>
    <w:p>
      <w:pPr>
        <w:spacing w:line="276" w:lineRule="auto"/>
        <w:ind w:firstLine="420" w:firstLineChars="200"/>
        <w:jc w:val="left"/>
        <w:rPr>
          <w:rFonts w:ascii="宋体" w:hAnsi="宋体"/>
          <w:color w:val="auto"/>
          <w:szCs w:val="21"/>
          <w:highlight w:val="none"/>
        </w:rPr>
      </w:pPr>
      <w:r>
        <w:rPr>
          <w:rFonts w:hint="eastAsia" w:ascii="宋体" w:hAnsi="宋体"/>
          <w:color w:val="auto"/>
          <w:szCs w:val="21"/>
          <w:highlight w:val="none"/>
        </w:rPr>
        <w:t>本工程安全管理协议，由发包人、承包人双方在施工承包合同签订后7天内共同签署，作为施工合同附件。</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发  包  人（公章）：</w:t>
      </w:r>
      <w:r>
        <w:rPr>
          <w:rFonts w:hint="eastAsia" w:ascii="宋体" w:hAnsi="宋体" w:cs="宋体"/>
          <w:color w:val="auto"/>
          <w:szCs w:val="21"/>
          <w:highlight w:val="none"/>
          <w:u w:val="single"/>
        </w:rPr>
        <w:t xml:space="preserve">      </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法定代表人（签名）：</w:t>
      </w:r>
      <w:r>
        <w:rPr>
          <w:rFonts w:hint="eastAsia" w:ascii="宋体" w:hAnsi="宋体" w:cs="宋体"/>
          <w:color w:val="auto"/>
          <w:szCs w:val="21"/>
          <w:highlight w:val="none"/>
          <w:u w:val="single"/>
        </w:rPr>
        <w:t xml:space="preserve">                       </w:t>
      </w:r>
      <w:r>
        <w:rPr>
          <w:rFonts w:hint="eastAsia" w:ascii="宋体" w:hAnsi="宋体"/>
          <w:color w:val="auto"/>
          <w:szCs w:val="21"/>
          <w:highlight w:val="none"/>
        </w:rPr>
        <w:t xml:space="preserve">  </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或其委托代理人（签名）：</w:t>
      </w:r>
      <w:r>
        <w:rPr>
          <w:rFonts w:hint="eastAsia" w:ascii="宋体" w:hAnsi="宋体" w:cs="宋体"/>
          <w:color w:val="auto"/>
          <w:szCs w:val="21"/>
          <w:highlight w:val="none"/>
          <w:u w:val="single"/>
        </w:rPr>
        <w:t xml:space="preserve">                   </w:t>
      </w:r>
      <w:r>
        <w:rPr>
          <w:rFonts w:hint="eastAsia" w:ascii="宋体" w:hAnsi="宋体"/>
          <w:color w:val="auto"/>
          <w:szCs w:val="21"/>
          <w:highlight w:val="none"/>
        </w:rPr>
        <w:t xml:space="preserve">  </w:t>
      </w:r>
    </w:p>
    <w:p>
      <w:pPr>
        <w:spacing w:line="360" w:lineRule="auto"/>
        <w:ind w:firstLine="420" w:firstLineChars="200"/>
        <w:jc w:val="left"/>
        <w:rPr>
          <w:rFonts w:ascii="宋体" w:hAnsi="宋体"/>
          <w:color w:val="auto"/>
          <w:szCs w:val="21"/>
          <w:highlight w:val="none"/>
        </w:rPr>
      </w:pPr>
    </w:p>
    <w:p>
      <w:pPr>
        <w:spacing w:line="360" w:lineRule="auto"/>
        <w:ind w:firstLine="420" w:firstLineChars="200"/>
        <w:jc w:val="left"/>
        <w:rPr>
          <w:rFonts w:ascii="宋体" w:hAnsi="宋体"/>
          <w:color w:val="auto"/>
          <w:kern w:val="0"/>
          <w:szCs w:val="21"/>
          <w:highlight w:val="none"/>
        </w:rPr>
      </w:pPr>
      <w:r>
        <w:rPr>
          <w:rFonts w:hint="eastAsia" w:ascii="宋体" w:hAnsi="宋体"/>
          <w:color w:val="auto"/>
          <w:szCs w:val="21"/>
          <w:highlight w:val="none"/>
        </w:rPr>
        <w:t>承  包  人（公章）：</w:t>
      </w:r>
      <w:r>
        <w:rPr>
          <w:rFonts w:hint="eastAsia" w:ascii="宋体" w:hAnsi="宋体" w:cs="宋体"/>
          <w:color w:val="auto"/>
          <w:szCs w:val="21"/>
          <w:highlight w:val="none"/>
          <w:u w:val="single"/>
        </w:rPr>
        <w:t xml:space="preserve">      </w:t>
      </w:r>
    </w:p>
    <w:p>
      <w:pPr>
        <w:spacing w:line="360" w:lineRule="auto"/>
        <w:ind w:firstLine="420" w:firstLineChars="200"/>
        <w:jc w:val="left"/>
        <w:rPr>
          <w:rFonts w:ascii="宋体" w:hAnsi="宋体"/>
          <w:color w:val="auto"/>
          <w:szCs w:val="21"/>
          <w:highlight w:val="none"/>
        </w:rPr>
      </w:pPr>
      <w:r>
        <w:rPr>
          <w:rFonts w:hint="eastAsia" w:ascii="宋体" w:hAnsi="宋体"/>
          <w:color w:val="auto"/>
          <w:szCs w:val="21"/>
          <w:highlight w:val="none"/>
        </w:rPr>
        <w:t>法定代表人（签名）：</w:t>
      </w:r>
      <w:r>
        <w:rPr>
          <w:rFonts w:hint="eastAsia" w:ascii="宋体" w:hAnsi="宋体" w:cs="宋体"/>
          <w:color w:val="auto"/>
          <w:szCs w:val="21"/>
          <w:highlight w:val="none"/>
          <w:u w:val="single"/>
        </w:rPr>
        <w:t xml:space="preserve">                       </w:t>
      </w:r>
    </w:p>
    <w:p>
      <w:pPr>
        <w:spacing w:line="360" w:lineRule="auto"/>
        <w:ind w:firstLine="420" w:firstLineChars="200"/>
        <w:jc w:val="left"/>
        <w:rPr>
          <w:rFonts w:ascii="宋体" w:hAnsi="宋体"/>
          <w:color w:val="auto"/>
          <w:kern w:val="0"/>
          <w:szCs w:val="21"/>
          <w:highlight w:val="none"/>
        </w:rPr>
      </w:pPr>
      <w:r>
        <w:rPr>
          <w:rFonts w:hint="eastAsia" w:ascii="宋体" w:hAnsi="宋体"/>
          <w:color w:val="auto"/>
          <w:szCs w:val="21"/>
          <w:highlight w:val="none"/>
        </w:rPr>
        <w:t>或其委托代理人（签名）：</w:t>
      </w:r>
      <w:r>
        <w:rPr>
          <w:rFonts w:hint="eastAsia" w:ascii="宋体" w:hAnsi="宋体" w:cs="宋体"/>
          <w:color w:val="auto"/>
          <w:szCs w:val="21"/>
          <w:highlight w:val="none"/>
          <w:u w:val="single"/>
        </w:rPr>
        <w:t xml:space="preserve">                   </w:t>
      </w:r>
    </w:p>
    <w:p>
      <w:pPr>
        <w:snapToGrid w:val="0"/>
        <w:spacing w:line="360" w:lineRule="auto"/>
        <w:jc w:val="left"/>
        <w:rPr>
          <w:rFonts w:ascii="宋体" w:hAnsi="宋体"/>
          <w:color w:val="auto"/>
          <w:kern w:val="0"/>
          <w:szCs w:val="21"/>
          <w:highlight w:val="none"/>
        </w:rPr>
      </w:pPr>
      <w:r>
        <w:rPr>
          <w:rFonts w:hint="eastAsia" w:ascii="宋体" w:hAnsi="宋体"/>
          <w:color w:val="auto"/>
          <w:szCs w:val="21"/>
          <w:highlight w:val="none"/>
        </w:rPr>
        <w:br w:type="page"/>
      </w:r>
    </w:p>
    <w:p>
      <w:pPr>
        <w:spacing w:line="480" w:lineRule="auto"/>
        <w:rPr>
          <w:rFonts w:ascii="宋体" w:hAnsi="宋体"/>
          <w:color w:val="auto"/>
          <w:szCs w:val="21"/>
          <w:highlight w:val="none"/>
        </w:rPr>
      </w:pPr>
      <w:r>
        <w:rPr>
          <w:rFonts w:hint="eastAsia" w:ascii="宋体" w:hAnsi="宋体"/>
          <w:color w:val="auto"/>
          <w:szCs w:val="21"/>
          <w:highlight w:val="none"/>
        </w:rPr>
        <w:t>附件</w:t>
      </w:r>
      <w:r>
        <w:rPr>
          <w:rFonts w:ascii="宋体" w:hAnsi="宋体"/>
          <w:color w:val="auto"/>
          <w:szCs w:val="21"/>
          <w:highlight w:val="none"/>
        </w:rPr>
        <w:t>10</w:t>
      </w:r>
      <w:r>
        <w:rPr>
          <w:rFonts w:hint="eastAsia" w:ascii="宋体" w:hAnsi="宋体"/>
          <w:color w:val="auto"/>
          <w:szCs w:val="21"/>
          <w:highlight w:val="none"/>
        </w:rPr>
        <w:t>：</w:t>
      </w:r>
    </w:p>
    <w:p>
      <w:pPr>
        <w:spacing w:beforeLines="50" w:afterLines="50" w:line="480" w:lineRule="auto"/>
        <w:jc w:val="center"/>
        <w:rPr>
          <w:rFonts w:ascii="宋体" w:hAnsi="宋体"/>
          <w:color w:val="auto"/>
          <w:szCs w:val="21"/>
          <w:highlight w:val="none"/>
        </w:rPr>
      </w:pPr>
      <w:r>
        <w:rPr>
          <w:rFonts w:hint="eastAsia" w:ascii="宋体" w:hAnsi="宋体"/>
          <w:color w:val="auto"/>
          <w:szCs w:val="21"/>
          <w:highlight w:val="none"/>
        </w:rPr>
        <w:t>保障农民工工资支付协议</w:t>
      </w:r>
    </w:p>
    <w:p>
      <w:pPr>
        <w:snapToGrid w:val="0"/>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 xml:space="preserve"> 发包人：</w:t>
      </w:r>
      <w:r>
        <w:rPr>
          <w:rFonts w:hint="eastAsia" w:ascii="宋体" w:hAnsi="宋体" w:cs="宋体"/>
          <w:color w:val="auto"/>
          <w:szCs w:val="21"/>
          <w:highlight w:val="none"/>
          <w:u w:val="single"/>
        </w:rPr>
        <w:t xml:space="preserve">   </w:t>
      </w:r>
      <w:r>
        <w:rPr>
          <w:rFonts w:hint="eastAsia" w:ascii="宋体" w:hAnsi="宋体"/>
          <w:color w:val="auto"/>
          <w:szCs w:val="21"/>
          <w:highlight w:val="none"/>
        </w:rPr>
        <w:t>（发包人）</w:t>
      </w:r>
    </w:p>
    <w:p>
      <w:pPr>
        <w:snapToGrid w:val="0"/>
        <w:spacing w:line="360" w:lineRule="auto"/>
        <w:rPr>
          <w:rFonts w:ascii="宋体" w:hAnsi="宋体"/>
          <w:color w:val="auto"/>
          <w:szCs w:val="21"/>
          <w:highlight w:val="none"/>
        </w:rPr>
      </w:pPr>
      <w:r>
        <w:rPr>
          <w:rFonts w:hint="eastAsia" w:ascii="宋体" w:hAnsi="宋体"/>
          <w:color w:val="auto"/>
          <w:szCs w:val="21"/>
          <w:highlight w:val="none"/>
        </w:rPr>
        <w:t xml:space="preserve">     承包人：</w:t>
      </w:r>
      <w:r>
        <w:rPr>
          <w:rFonts w:hint="eastAsia" w:ascii="宋体" w:hAnsi="宋体" w:cs="宋体"/>
          <w:color w:val="auto"/>
          <w:szCs w:val="21"/>
          <w:highlight w:val="none"/>
          <w:u w:val="single"/>
        </w:rPr>
        <w:t xml:space="preserve">    </w:t>
      </w:r>
      <w:r>
        <w:rPr>
          <w:rFonts w:hint="eastAsia" w:ascii="宋体" w:hAnsi="宋体"/>
          <w:color w:val="auto"/>
          <w:szCs w:val="21"/>
          <w:highlight w:val="none"/>
        </w:rPr>
        <w:t>（承包人）</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为贯彻落实《国务院办公厅关于全面治理拖欠农民工工资问题的意见》（国办发〔2016〕1号），《重庆市人民政府办公厅关于全面治理拖欠农民工工资问题的实施意见》（渝府办发〔2016〕101号），健全预防和解决拖欠农民工工资问题的长效机制，切实保障农民工劳动报酬权益，维护社会公平正义，促进社会和谐稳定。经甲、乙双方结合实际情况，友好协商，达成如下协议：</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一、承包人申报工程进度款时，应对上月已支付工程款用于农民工工资发放的情况进行说明，并附农民工代表按时足额收取了工资的签名确认书。监理单位应对相关情况说明和签名确认书（详附件）进行审查签名后，与工程进度款申报资料一并提交给发包人。发包人审核合格后，才进行当期工程进度款的支付。</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二、由于工程进度款申报和审查需一定时间，其与农民工工资发放时间存在一定时间的延后，承包人应具有垫付不低于3个月农民工工资能力。承包人在本补充协议签订后申请的第一笔工程进度款时应出具垫付不低于3个月农民工工资的书面承诺给发包人。发包人将承包人是否做出承诺作为支付工程进度款的前提条件之一。</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三、承包人每月10日前将本月作业班组、班组人数、农民工身份信息等报监理单位，10日～15日分别以作业班组为小组，每小组自行选举产生一名农民工代表，监理单位应全程监督，选举结果与当期工程款支付申请一并报送发包人。</w:t>
      </w:r>
    </w:p>
    <w:p>
      <w:pPr>
        <w:spacing w:line="360" w:lineRule="auto"/>
        <w:ind w:firstLine="420" w:firstLineChars="200"/>
        <w:rPr>
          <w:rFonts w:hint="eastAsia" w:ascii="宋体" w:hAnsi="宋体" w:eastAsia="宋体"/>
          <w:color w:val="auto"/>
          <w:szCs w:val="21"/>
          <w:highlight w:val="none"/>
          <w:lang w:eastAsia="zh-CN"/>
        </w:rPr>
      </w:pPr>
      <w:r>
        <w:rPr>
          <w:rFonts w:hint="eastAsia" w:ascii="宋体" w:hAnsi="宋体"/>
          <w:color w:val="auto"/>
          <w:szCs w:val="21"/>
          <w:highlight w:val="none"/>
        </w:rPr>
        <w:t>四、若发现承包人有下列事项的，发包人在支付当期进度款时暂扣当期应支付进度款5%比例的款项。</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 xml:space="preserve">    （一）现场检查发现项目存在拖欠农民工工资情况并经核查属实的；</w:t>
      </w:r>
    </w:p>
    <w:p>
      <w:pPr>
        <w:spacing w:line="360" w:lineRule="auto"/>
        <w:ind w:firstLine="420" w:firstLineChars="200"/>
        <w:rPr>
          <w:rFonts w:hint="eastAsia" w:ascii="宋体" w:hAnsi="宋体" w:eastAsia="宋体"/>
          <w:color w:val="auto"/>
          <w:szCs w:val="21"/>
          <w:highlight w:val="none"/>
          <w:lang w:eastAsia="zh-CN"/>
        </w:rPr>
      </w:pPr>
      <w:r>
        <w:rPr>
          <w:rFonts w:hint="eastAsia" w:ascii="宋体" w:hAnsi="宋体"/>
          <w:color w:val="auto"/>
          <w:szCs w:val="21"/>
          <w:highlight w:val="none"/>
        </w:rPr>
        <w:t>（二）相关行政管理部门检查发现存在拖欠农民工工资情况并经核查属实的；</w:t>
      </w:r>
    </w:p>
    <w:p>
      <w:pPr>
        <w:spacing w:line="360" w:lineRule="auto"/>
        <w:ind w:firstLine="420" w:firstLineChars="200"/>
        <w:rPr>
          <w:rFonts w:hint="eastAsia" w:ascii="宋体" w:hAnsi="宋体" w:eastAsia="宋体"/>
          <w:color w:val="auto"/>
          <w:szCs w:val="21"/>
          <w:highlight w:val="none"/>
          <w:lang w:eastAsia="zh-CN"/>
        </w:rPr>
      </w:pPr>
      <w:r>
        <w:rPr>
          <w:rFonts w:hint="eastAsia" w:ascii="宋体" w:hAnsi="宋体"/>
          <w:color w:val="auto"/>
          <w:szCs w:val="21"/>
          <w:highlight w:val="none"/>
        </w:rPr>
        <w:t xml:space="preserve">    （三）有拖欠农民工工资投诉事项并经核查属实的。</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 xml:space="preserve">    五、对发现的存在拖欠农民工工资事项，承包人应在3天内限时整改，并将整改措施和结果报发包人审查，经发包人批准同意后，在下一期工程进度款支付中返还暂扣的工程款；如承包人未在3天内限时整改，暂扣工程款将继续扣留，直至整改完毕。暂扣款不计息。</w:t>
      </w:r>
    </w:p>
    <w:p>
      <w:pPr>
        <w:tabs>
          <w:tab w:val="left" w:pos="1080"/>
          <w:tab w:val="left" w:pos="1260"/>
          <w:tab w:val="left" w:pos="1440"/>
        </w:tabs>
        <w:spacing w:line="360" w:lineRule="auto"/>
        <w:ind w:firstLine="420" w:firstLineChars="200"/>
        <w:rPr>
          <w:rFonts w:ascii="宋体" w:hAnsi="宋体"/>
          <w:snapToGrid w:val="0"/>
          <w:color w:val="auto"/>
          <w:spacing w:val="-4"/>
          <w:kern w:val="0"/>
          <w:szCs w:val="21"/>
          <w:highlight w:val="none"/>
        </w:rPr>
      </w:pPr>
      <w:r>
        <w:rPr>
          <w:rFonts w:hint="eastAsia" w:ascii="宋体" w:hAnsi="宋体"/>
          <w:color w:val="auto"/>
          <w:szCs w:val="21"/>
          <w:highlight w:val="none"/>
        </w:rPr>
        <w:t>六、本协议经双方法定代表人或委托代理人签名并加盖公章后生效，履行完毕后自然失效。</w:t>
      </w: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附件：</w:t>
      </w:r>
    </w:p>
    <w:p>
      <w:pPr>
        <w:numPr>
          <w:ilvl w:val="0"/>
          <w:numId w:val="5"/>
        </w:num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关于农民工工资发放情况的说明表</w:t>
      </w:r>
    </w:p>
    <w:p>
      <w:pPr>
        <w:pStyle w:val="2"/>
        <w:numPr>
          <w:ilvl w:val="0"/>
          <w:numId w:val="5"/>
        </w:numPr>
        <w:rPr>
          <w:color w:val="auto"/>
          <w:highlight w:val="none"/>
        </w:rPr>
      </w:pPr>
      <w:r>
        <w:rPr>
          <w:rFonts w:hint="eastAsia"/>
          <w:color w:val="auto"/>
          <w:highlight w:val="none"/>
        </w:rPr>
        <w:t>安全质量进度管理处罚措施表</w:t>
      </w:r>
    </w:p>
    <w:p>
      <w:pPr>
        <w:pStyle w:val="2"/>
        <w:spacing w:line="360" w:lineRule="auto"/>
        <w:ind w:firstLine="420" w:firstLineChars="200"/>
        <w:rPr>
          <w:rFonts w:ascii="宋体" w:hAnsi="宋体"/>
          <w:color w:val="auto"/>
          <w:szCs w:val="21"/>
          <w:highlight w:val="none"/>
        </w:rPr>
      </w:pPr>
    </w:p>
    <w:p>
      <w:pPr>
        <w:pStyle w:val="2"/>
        <w:spacing w:line="360" w:lineRule="auto"/>
        <w:ind w:firstLine="420" w:firstLineChars="200"/>
        <w:rPr>
          <w:rFonts w:ascii="宋体" w:hAnsi="宋体"/>
          <w:color w:val="auto"/>
          <w:szCs w:val="21"/>
          <w:highlight w:val="none"/>
        </w:rPr>
      </w:pPr>
    </w:p>
    <w:p>
      <w:pPr>
        <w:pStyle w:val="2"/>
        <w:spacing w:line="360" w:lineRule="auto"/>
        <w:ind w:firstLine="420" w:firstLineChars="200"/>
        <w:rPr>
          <w:rFonts w:ascii="宋体" w:hAnsi="宋体"/>
          <w:color w:val="auto"/>
          <w:szCs w:val="21"/>
          <w:highlight w:val="none"/>
        </w:rPr>
      </w:pPr>
    </w:p>
    <w:p>
      <w:pPr>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（以下无正文）</w:t>
      </w:r>
    </w:p>
    <w:p>
      <w:pPr>
        <w:spacing w:line="360" w:lineRule="auto"/>
        <w:ind w:firstLine="420" w:firstLineChars="200"/>
        <w:rPr>
          <w:rFonts w:ascii="宋体" w:hAnsi="宋体"/>
          <w:color w:val="auto"/>
          <w:szCs w:val="21"/>
          <w:highlight w:val="none"/>
        </w:rPr>
      </w:pPr>
    </w:p>
    <w:p>
      <w:pPr>
        <w:spacing w:line="360" w:lineRule="auto"/>
        <w:ind w:firstLine="420" w:firstLineChars="200"/>
        <w:rPr>
          <w:rFonts w:ascii="宋体" w:hAnsi="宋体"/>
          <w:color w:val="auto"/>
          <w:szCs w:val="21"/>
          <w:highlight w:val="none"/>
        </w:rPr>
      </w:pPr>
    </w:p>
    <w:p>
      <w:pPr>
        <w:pStyle w:val="2"/>
        <w:spacing w:line="360" w:lineRule="auto"/>
        <w:rPr>
          <w:rFonts w:ascii="宋体" w:hAnsi="宋体"/>
          <w:color w:val="auto"/>
          <w:szCs w:val="21"/>
          <w:highlight w:val="none"/>
        </w:rPr>
      </w:pPr>
    </w:p>
    <w:p>
      <w:pPr>
        <w:snapToGrid w:val="0"/>
        <w:spacing w:line="360" w:lineRule="auto"/>
        <w:ind w:firstLine="420" w:firstLineChars="200"/>
        <w:rPr>
          <w:rFonts w:ascii="宋体" w:hAnsi="宋体"/>
          <w:color w:val="auto"/>
          <w:szCs w:val="21"/>
          <w:highlight w:val="none"/>
        </w:rPr>
      </w:pPr>
      <w:r>
        <w:rPr>
          <w:rFonts w:hint="eastAsia" w:ascii="宋体" w:hAnsi="宋体"/>
          <w:color w:val="auto"/>
          <w:szCs w:val="21"/>
          <w:highlight w:val="none"/>
        </w:rPr>
        <w:t>发包人：</w:t>
      </w:r>
      <w:r>
        <w:rPr>
          <w:rFonts w:hint="eastAsia" w:ascii="宋体" w:hAnsi="宋体" w:cs="宋体"/>
          <w:color w:val="auto"/>
          <w:szCs w:val="21"/>
          <w:highlight w:val="none"/>
          <w:u w:val="single"/>
        </w:rPr>
        <w:t xml:space="preserve">   </w:t>
      </w:r>
      <w:r>
        <w:rPr>
          <w:rFonts w:hint="eastAsia" w:ascii="宋体" w:hAnsi="宋体"/>
          <w:color w:val="auto"/>
          <w:szCs w:val="21"/>
          <w:highlight w:val="none"/>
        </w:rPr>
        <w:t>（发包人）</w:t>
      </w:r>
    </w:p>
    <w:p>
      <w:pPr>
        <w:spacing w:line="360" w:lineRule="auto"/>
        <w:rPr>
          <w:rFonts w:ascii="宋体" w:hAnsi="宋体"/>
          <w:color w:val="auto"/>
          <w:szCs w:val="21"/>
          <w:highlight w:val="none"/>
        </w:rPr>
      </w:pPr>
      <w:r>
        <w:rPr>
          <w:rFonts w:hint="eastAsia" w:ascii="宋体" w:hAnsi="宋体"/>
          <w:color w:val="auto"/>
          <w:szCs w:val="21"/>
          <w:highlight w:val="none"/>
        </w:rPr>
        <w:t>法定代表人：</w:t>
      </w:r>
      <w:r>
        <w:rPr>
          <w:rFonts w:hint="eastAsia" w:ascii="宋体" w:hAnsi="宋体" w:cs="宋体"/>
          <w:color w:val="auto"/>
          <w:szCs w:val="21"/>
          <w:highlight w:val="none"/>
          <w:u w:val="single"/>
        </w:rPr>
        <w:t xml:space="preserve">       </w:t>
      </w:r>
    </w:p>
    <w:p>
      <w:pPr>
        <w:spacing w:line="360" w:lineRule="auto"/>
        <w:rPr>
          <w:rFonts w:ascii="宋体" w:hAnsi="宋体"/>
          <w:color w:val="auto"/>
          <w:szCs w:val="21"/>
          <w:highlight w:val="none"/>
        </w:rPr>
      </w:pPr>
      <w:r>
        <w:rPr>
          <w:rFonts w:hint="eastAsia" w:ascii="宋体" w:hAnsi="宋体"/>
          <w:color w:val="auto"/>
          <w:szCs w:val="21"/>
          <w:highlight w:val="none"/>
        </w:rPr>
        <w:t>或委托代理人：</w:t>
      </w:r>
      <w:r>
        <w:rPr>
          <w:rFonts w:hint="eastAsia" w:ascii="宋体" w:hAnsi="宋体" w:cs="宋体"/>
          <w:color w:val="auto"/>
          <w:szCs w:val="21"/>
          <w:highlight w:val="none"/>
          <w:u w:val="single"/>
        </w:rPr>
        <w:t xml:space="preserve">       </w:t>
      </w:r>
    </w:p>
    <w:p>
      <w:pPr>
        <w:spacing w:line="360" w:lineRule="auto"/>
        <w:rPr>
          <w:rFonts w:ascii="宋体" w:hAnsi="宋体"/>
          <w:color w:val="auto"/>
          <w:szCs w:val="21"/>
          <w:highlight w:val="none"/>
        </w:rPr>
      </w:pPr>
      <w:r>
        <w:rPr>
          <w:rFonts w:hint="eastAsia" w:ascii="宋体" w:hAnsi="宋体"/>
          <w:color w:val="auto"/>
          <w:szCs w:val="21"/>
          <w:highlight w:val="none"/>
        </w:rPr>
        <w:t>联系人：</w:t>
      </w:r>
      <w:r>
        <w:rPr>
          <w:rFonts w:hint="eastAsia" w:ascii="宋体" w:hAnsi="宋体" w:cs="宋体"/>
          <w:color w:val="auto"/>
          <w:szCs w:val="21"/>
          <w:highlight w:val="none"/>
          <w:u w:val="single"/>
        </w:rPr>
        <w:t xml:space="preserve">       </w:t>
      </w:r>
    </w:p>
    <w:p>
      <w:pPr>
        <w:spacing w:line="360" w:lineRule="auto"/>
        <w:rPr>
          <w:rFonts w:ascii="宋体" w:hAnsi="宋体"/>
          <w:color w:val="auto"/>
          <w:szCs w:val="21"/>
          <w:highlight w:val="none"/>
        </w:rPr>
      </w:pPr>
    </w:p>
    <w:p>
      <w:pPr>
        <w:spacing w:line="360" w:lineRule="auto"/>
        <w:rPr>
          <w:rFonts w:ascii="宋体" w:hAnsi="宋体"/>
          <w:color w:val="auto"/>
          <w:szCs w:val="21"/>
          <w:highlight w:val="none"/>
        </w:rPr>
      </w:pPr>
    </w:p>
    <w:p>
      <w:pPr>
        <w:spacing w:line="360" w:lineRule="auto"/>
        <w:rPr>
          <w:rFonts w:ascii="宋体" w:hAnsi="宋体"/>
          <w:color w:val="auto"/>
          <w:szCs w:val="21"/>
          <w:highlight w:val="none"/>
        </w:rPr>
      </w:pPr>
    </w:p>
    <w:p>
      <w:pPr>
        <w:spacing w:line="360" w:lineRule="auto"/>
        <w:rPr>
          <w:rFonts w:ascii="宋体" w:hAnsi="宋体"/>
          <w:color w:val="auto"/>
          <w:szCs w:val="21"/>
          <w:highlight w:val="none"/>
        </w:rPr>
      </w:pPr>
      <w:r>
        <w:rPr>
          <w:rFonts w:hint="eastAsia" w:ascii="宋体" w:hAnsi="宋体"/>
          <w:color w:val="auto"/>
          <w:szCs w:val="21"/>
          <w:highlight w:val="none"/>
        </w:rPr>
        <w:t>承包人：</w:t>
      </w:r>
      <w:r>
        <w:rPr>
          <w:rFonts w:hint="eastAsia" w:ascii="宋体" w:hAnsi="宋体" w:cs="宋体"/>
          <w:color w:val="auto"/>
          <w:szCs w:val="21"/>
          <w:highlight w:val="none"/>
          <w:u w:val="single"/>
        </w:rPr>
        <w:t xml:space="preserve">  </w:t>
      </w:r>
      <w:r>
        <w:rPr>
          <w:rFonts w:hint="eastAsia" w:ascii="宋体" w:hAnsi="宋体"/>
          <w:color w:val="auto"/>
          <w:szCs w:val="21"/>
          <w:highlight w:val="none"/>
        </w:rPr>
        <w:t>（承包人）</w:t>
      </w:r>
    </w:p>
    <w:p>
      <w:pPr>
        <w:spacing w:line="360" w:lineRule="auto"/>
        <w:rPr>
          <w:rFonts w:ascii="宋体" w:hAnsi="宋体"/>
          <w:color w:val="auto"/>
          <w:szCs w:val="21"/>
          <w:highlight w:val="none"/>
        </w:rPr>
      </w:pPr>
      <w:r>
        <w:rPr>
          <w:rFonts w:hint="eastAsia" w:ascii="宋体" w:hAnsi="宋体"/>
          <w:color w:val="auto"/>
          <w:szCs w:val="21"/>
          <w:highlight w:val="none"/>
        </w:rPr>
        <w:t>法定代表人：</w:t>
      </w:r>
      <w:r>
        <w:rPr>
          <w:rFonts w:hint="eastAsia" w:ascii="宋体" w:hAnsi="宋体" w:cs="宋体"/>
          <w:color w:val="auto"/>
          <w:szCs w:val="21"/>
          <w:highlight w:val="none"/>
          <w:u w:val="single"/>
        </w:rPr>
        <w:t xml:space="preserve">       </w:t>
      </w:r>
    </w:p>
    <w:p>
      <w:pPr>
        <w:spacing w:line="360" w:lineRule="auto"/>
        <w:rPr>
          <w:rFonts w:ascii="宋体" w:hAnsi="宋体"/>
          <w:color w:val="auto"/>
          <w:szCs w:val="21"/>
          <w:highlight w:val="none"/>
        </w:rPr>
      </w:pPr>
      <w:r>
        <w:rPr>
          <w:rFonts w:hint="eastAsia" w:ascii="宋体" w:hAnsi="宋体"/>
          <w:color w:val="auto"/>
          <w:szCs w:val="21"/>
          <w:highlight w:val="none"/>
        </w:rPr>
        <w:t>或委托代理人：</w:t>
      </w:r>
      <w:r>
        <w:rPr>
          <w:rFonts w:hint="eastAsia" w:ascii="宋体" w:hAnsi="宋体" w:cs="宋体"/>
          <w:color w:val="auto"/>
          <w:szCs w:val="21"/>
          <w:highlight w:val="none"/>
          <w:u w:val="single"/>
        </w:rPr>
        <w:t xml:space="preserve">       </w:t>
      </w:r>
    </w:p>
    <w:p>
      <w:pPr>
        <w:spacing w:line="360" w:lineRule="auto"/>
        <w:rPr>
          <w:rFonts w:ascii="宋体" w:hAnsi="宋体"/>
          <w:color w:val="auto"/>
          <w:szCs w:val="21"/>
          <w:highlight w:val="none"/>
        </w:rPr>
      </w:pPr>
      <w:r>
        <w:rPr>
          <w:rFonts w:hint="eastAsia" w:ascii="宋体" w:hAnsi="宋体"/>
          <w:color w:val="auto"/>
          <w:szCs w:val="21"/>
          <w:highlight w:val="none"/>
        </w:rPr>
        <w:t>联系人：</w:t>
      </w:r>
      <w:r>
        <w:rPr>
          <w:rFonts w:hint="eastAsia" w:ascii="宋体" w:hAnsi="宋体" w:cs="宋体"/>
          <w:color w:val="auto"/>
          <w:szCs w:val="21"/>
          <w:highlight w:val="none"/>
          <w:u w:val="single"/>
        </w:rPr>
        <w:t xml:space="preserve">       </w:t>
      </w:r>
    </w:p>
    <w:p>
      <w:pPr>
        <w:snapToGrid w:val="0"/>
        <w:spacing w:line="360" w:lineRule="auto"/>
        <w:ind w:firstLine="560"/>
        <w:rPr>
          <w:rFonts w:ascii="宋体" w:hAnsi="宋体"/>
          <w:color w:val="auto"/>
          <w:szCs w:val="21"/>
          <w:highlight w:val="none"/>
        </w:rPr>
      </w:pPr>
    </w:p>
    <w:p>
      <w:pPr>
        <w:spacing w:line="480" w:lineRule="auto"/>
        <w:rPr>
          <w:rFonts w:ascii="宋体" w:hAnsi="宋体"/>
          <w:color w:val="auto"/>
          <w:szCs w:val="21"/>
          <w:highlight w:val="none"/>
        </w:rPr>
      </w:pPr>
      <w:r>
        <w:rPr>
          <w:rFonts w:hint="eastAsia" w:ascii="宋体" w:hAnsi="宋体"/>
          <w:color w:val="auto"/>
          <w:szCs w:val="21"/>
          <w:highlight w:val="none"/>
        </w:rPr>
        <w:br w:type="page"/>
      </w:r>
      <w:r>
        <w:rPr>
          <w:rFonts w:hint="eastAsia" w:ascii="宋体" w:hAnsi="宋体"/>
          <w:color w:val="auto"/>
          <w:szCs w:val="21"/>
          <w:highlight w:val="none"/>
        </w:rPr>
        <w:t>保障农民工工资支付协议附件1：</w:t>
      </w:r>
    </w:p>
    <w:p>
      <w:pPr>
        <w:widowControl/>
        <w:snapToGrid w:val="0"/>
        <w:spacing w:after="100" w:afterAutospacing="1" w:line="480" w:lineRule="auto"/>
        <w:jc w:val="center"/>
        <w:rPr>
          <w:rFonts w:ascii="宋体" w:hAnsi="宋体"/>
          <w:color w:val="auto"/>
          <w:szCs w:val="21"/>
          <w:highlight w:val="none"/>
        </w:rPr>
      </w:pPr>
      <w:r>
        <w:rPr>
          <w:rFonts w:hint="eastAsia" w:ascii="宋体" w:hAnsi="宋体"/>
          <w:color w:val="auto"/>
          <w:szCs w:val="21"/>
          <w:highlight w:val="none"/>
        </w:rPr>
        <w:t>关于农民工工资发放情况的说明表</w:t>
      </w:r>
    </w:p>
    <w:tbl>
      <w:tblPr>
        <w:tblStyle w:val="45"/>
        <w:tblW w:w="84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36"/>
        <w:gridCol w:w="62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437" w:type="dxa"/>
            <w:gridSpan w:val="2"/>
          </w:tcPr>
          <w:p>
            <w:pPr>
              <w:widowControl/>
              <w:snapToGrid w:val="0"/>
              <w:spacing w:after="100" w:afterAutospacing="1" w:line="400" w:lineRule="exact"/>
              <w:jc w:val="left"/>
              <w:rPr>
                <w:rFonts w:hint="eastAsia" w:ascii="宋体" w:hAnsi="宋体" w:eastAsia="宋体"/>
                <w:color w:val="auto"/>
                <w:kern w:val="0"/>
                <w:szCs w:val="21"/>
                <w:highlight w:val="none"/>
                <w:lang w:eastAsia="zh-CN"/>
              </w:rPr>
            </w:pPr>
            <w:r>
              <w:rPr>
                <w:rFonts w:hint="eastAsia" w:ascii="宋体" w:hAnsi="宋体"/>
                <w:color w:val="auto"/>
                <w:kern w:val="0"/>
                <w:szCs w:val="21"/>
                <w:highlight w:val="none"/>
              </w:rPr>
              <w:t>工程名称：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2236" w:type="dxa"/>
          </w:tcPr>
          <w:p>
            <w:pPr>
              <w:widowControl/>
              <w:snapToGrid w:val="0"/>
              <w:spacing w:after="100" w:afterAutospacing="1" w:line="400" w:lineRule="exact"/>
              <w:rPr>
                <w:rFonts w:ascii="宋体" w:hAnsi="宋体"/>
                <w:color w:val="auto"/>
                <w:kern w:val="0"/>
                <w:szCs w:val="21"/>
                <w:highlight w:val="none"/>
              </w:rPr>
            </w:pPr>
            <w:r>
              <w:rPr>
                <w:rFonts w:hint="eastAsia" w:ascii="宋体" w:hAnsi="宋体"/>
                <w:color w:val="auto"/>
                <w:kern w:val="0"/>
                <w:szCs w:val="21"/>
                <w:highlight w:val="none"/>
              </w:rPr>
              <w:t>施工单位：</w:t>
            </w:r>
          </w:p>
        </w:tc>
        <w:tc>
          <w:tcPr>
            <w:tcW w:w="6201" w:type="dxa"/>
          </w:tcPr>
          <w:p>
            <w:pPr>
              <w:widowControl/>
              <w:snapToGrid w:val="0"/>
              <w:spacing w:after="100" w:afterAutospacing="1" w:line="400" w:lineRule="exact"/>
              <w:rPr>
                <w:rFonts w:hint="eastAsia" w:ascii="宋体" w:hAnsi="宋体" w:eastAsia="宋体"/>
                <w:color w:val="auto"/>
                <w:kern w:val="0"/>
                <w:szCs w:val="21"/>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36" w:type="dxa"/>
          </w:tcPr>
          <w:p>
            <w:pPr>
              <w:widowControl/>
              <w:snapToGrid w:val="0"/>
              <w:spacing w:after="100" w:afterAutospacing="1" w:line="400" w:lineRule="exact"/>
              <w:rPr>
                <w:rFonts w:ascii="宋体" w:hAnsi="宋体"/>
                <w:color w:val="auto"/>
                <w:kern w:val="0"/>
                <w:szCs w:val="21"/>
                <w:highlight w:val="none"/>
              </w:rPr>
            </w:pPr>
            <w:r>
              <w:rPr>
                <w:rFonts w:hint="eastAsia" w:ascii="宋体" w:hAnsi="宋体"/>
                <w:color w:val="auto"/>
                <w:kern w:val="0"/>
                <w:szCs w:val="21"/>
                <w:highlight w:val="none"/>
              </w:rPr>
              <w:t>监理单位：</w:t>
            </w:r>
          </w:p>
        </w:tc>
        <w:tc>
          <w:tcPr>
            <w:tcW w:w="6201" w:type="dxa"/>
          </w:tcPr>
          <w:p>
            <w:pPr>
              <w:widowControl/>
              <w:snapToGrid w:val="0"/>
              <w:spacing w:after="100" w:afterAutospacing="1" w:line="400" w:lineRule="exact"/>
              <w:rPr>
                <w:rFonts w:ascii="宋体" w:hAnsi="宋体"/>
                <w:color w:val="auto"/>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5" w:hRule="atLeast"/>
          <w:jc w:val="center"/>
        </w:trPr>
        <w:tc>
          <w:tcPr>
            <w:tcW w:w="8437" w:type="dxa"/>
            <w:gridSpan w:val="2"/>
          </w:tcPr>
          <w:p>
            <w:pPr>
              <w:widowControl/>
              <w:snapToGrid w:val="0"/>
              <w:spacing w:after="100" w:afterAutospacing="1" w:line="400" w:lineRule="exact"/>
              <w:rPr>
                <w:rFonts w:ascii="宋体" w:hAnsi="宋体"/>
                <w:color w:val="auto"/>
                <w:kern w:val="0"/>
                <w:szCs w:val="21"/>
                <w:highlight w:val="none"/>
                <w:u w:val="single"/>
              </w:rPr>
            </w:pPr>
          </w:p>
          <w:p>
            <w:pPr>
              <w:widowControl/>
              <w:snapToGrid w:val="0"/>
              <w:spacing w:after="100" w:afterAutospacing="1" w:line="400" w:lineRule="exact"/>
              <w:rPr>
                <w:rFonts w:hint="eastAsia" w:ascii="宋体" w:hAnsi="宋体" w:eastAsia="宋体"/>
                <w:color w:val="auto"/>
                <w:kern w:val="0"/>
                <w:szCs w:val="21"/>
                <w:highlight w:val="none"/>
                <w:lang w:eastAsia="zh-CN"/>
              </w:rPr>
            </w:pPr>
            <w:r>
              <w:rPr>
                <w:rFonts w:hint="eastAsia" w:ascii="宋体" w:hAnsi="宋体"/>
                <w:color w:val="auto"/>
                <w:kern w:val="0"/>
                <w:szCs w:val="21"/>
                <w:highlight w:val="none"/>
              </w:rPr>
              <w:t>（项目业主单位名称）：</w:t>
            </w:r>
          </w:p>
          <w:p>
            <w:pPr>
              <w:widowControl/>
              <w:snapToGrid w:val="0"/>
              <w:spacing w:after="100" w:afterAutospacing="1" w:line="400" w:lineRule="exact"/>
              <w:rPr>
                <w:rFonts w:hint="eastAsia" w:ascii="宋体" w:hAnsi="宋体" w:eastAsia="宋体"/>
                <w:color w:val="auto"/>
                <w:kern w:val="0"/>
                <w:szCs w:val="21"/>
                <w:highlight w:val="none"/>
                <w:lang w:eastAsia="zh-CN"/>
              </w:rPr>
            </w:pPr>
            <w:r>
              <w:rPr>
                <w:rFonts w:hint="eastAsia" w:ascii="宋体" w:hAnsi="宋体"/>
                <w:color w:val="auto"/>
                <w:kern w:val="0"/>
                <w:szCs w:val="21"/>
                <w:highlight w:val="none"/>
              </w:rPr>
              <w:t xml:space="preserve">    我单位负责承建的（工程名称）无拖欠农民工资的情况，贵单位先期支付我单位的工程款已优先用于支付了农民工工资，农民工工资全部按时足额进行了发放，请贵单位予以审核。</w:t>
            </w:r>
          </w:p>
          <w:p>
            <w:pPr>
              <w:pStyle w:val="2"/>
              <w:rPr>
                <w:rFonts w:hint="eastAsia"/>
                <w:color w:val="auto"/>
                <w:highlight w:val="none"/>
                <w:lang w:eastAsia="zh-CN"/>
              </w:rPr>
            </w:pPr>
          </w:p>
          <w:p>
            <w:pPr>
              <w:widowControl/>
              <w:snapToGrid w:val="0"/>
              <w:spacing w:after="100" w:afterAutospacing="1" w:line="400" w:lineRule="exact"/>
              <w:ind w:firstLine="1260" w:firstLineChars="600"/>
              <w:rPr>
                <w:rFonts w:ascii="宋体" w:hAnsi="宋体"/>
                <w:color w:val="auto"/>
                <w:kern w:val="0"/>
                <w:szCs w:val="21"/>
                <w:highlight w:val="none"/>
                <w:u w:val="single"/>
              </w:rPr>
            </w:pPr>
            <w:r>
              <w:rPr>
                <w:rFonts w:hint="eastAsia" w:ascii="宋体" w:hAnsi="宋体"/>
                <w:color w:val="auto"/>
                <w:kern w:val="0"/>
                <w:szCs w:val="21"/>
                <w:highlight w:val="none"/>
              </w:rPr>
              <w:t>施工单位项目负责人签名（加盖项目章）：</w:t>
            </w:r>
            <w:r>
              <w:rPr>
                <w:rFonts w:hint="eastAsia" w:ascii="宋体" w:hAnsi="宋体"/>
                <w:color w:val="auto"/>
                <w:kern w:val="0"/>
                <w:szCs w:val="21"/>
                <w:highlight w:val="none"/>
                <w:u w:val="singl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2236" w:type="dxa"/>
            <w:vAlign w:val="center"/>
          </w:tcPr>
          <w:p>
            <w:pPr>
              <w:widowControl/>
              <w:snapToGrid w:val="0"/>
              <w:spacing w:after="100" w:afterAutospacing="1" w:line="400" w:lineRule="exact"/>
              <w:jc w:val="center"/>
              <w:rPr>
                <w:rFonts w:ascii="宋体" w:hAnsi="宋体" w:cs="宋体"/>
                <w:color w:val="auto"/>
                <w:kern w:val="0"/>
                <w:szCs w:val="21"/>
                <w:highlight w:val="none"/>
              </w:rPr>
            </w:pPr>
            <w:r>
              <w:rPr>
                <w:rFonts w:hint="eastAsia" w:ascii="宋体" w:hAnsi="宋体" w:cs="宋体"/>
                <w:color w:val="auto"/>
                <w:kern w:val="0"/>
                <w:szCs w:val="21"/>
                <w:highlight w:val="none"/>
              </w:rPr>
              <w:t>监理单位意见：</w:t>
            </w:r>
          </w:p>
        </w:tc>
        <w:tc>
          <w:tcPr>
            <w:tcW w:w="6201" w:type="dxa"/>
          </w:tcPr>
          <w:p>
            <w:pPr>
              <w:widowControl/>
              <w:snapToGrid w:val="0"/>
              <w:spacing w:after="100" w:afterAutospacing="1" w:line="400" w:lineRule="exact"/>
              <w:rPr>
                <w:rFonts w:ascii="宋体" w:hAnsi="宋体"/>
                <w:color w:val="auto"/>
                <w:kern w:val="0"/>
                <w:szCs w:val="21"/>
                <w:highlight w:val="none"/>
                <w:u w:val="single"/>
              </w:rPr>
            </w:pPr>
          </w:p>
          <w:p>
            <w:pPr>
              <w:widowControl/>
              <w:snapToGrid w:val="0"/>
              <w:spacing w:after="100" w:afterAutospacing="1" w:line="400" w:lineRule="exact"/>
              <w:rPr>
                <w:rFonts w:ascii="宋体" w:hAnsi="宋体"/>
                <w:color w:val="auto"/>
                <w:kern w:val="0"/>
                <w:szCs w:val="21"/>
                <w:highlight w:val="none"/>
                <w:u w:val="single"/>
              </w:rPr>
            </w:pPr>
            <w:r>
              <w:rPr>
                <w:rFonts w:hint="eastAsia" w:ascii="宋体" w:hAnsi="宋体"/>
                <w:color w:val="auto"/>
                <w:kern w:val="0"/>
                <w:szCs w:val="21"/>
                <w:highlight w:val="none"/>
              </w:rPr>
              <w:t xml:space="preserve">             总监签名并加盖项目章：</w:t>
            </w:r>
            <w:r>
              <w:rPr>
                <w:rFonts w:hint="eastAsia" w:ascii="宋体" w:hAnsi="宋体"/>
                <w:color w:val="auto"/>
                <w:kern w:val="0"/>
                <w:szCs w:val="21"/>
                <w:highlight w:val="none"/>
                <w:u w:val="singl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0" w:hRule="atLeast"/>
          <w:jc w:val="center"/>
        </w:trPr>
        <w:tc>
          <w:tcPr>
            <w:tcW w:w="2236" w:type="dxa"/>
            <w:vAlign w:val="center"/>
          </w:tcPr>
          <w:p>
            <w:pPr>
              <w:widowControl/>
              <w:snapToGrid w:val="0"/>
              <w:spacing w:after="100" w:afterAutospacing="1" w:line="400" w:lineRule="exact"/>
              <w:jc w:val="center"/>
              <w:rPr>
                <w:rFonts w:ascii="宋体" w:hAnsi="宋体"/>
                <w:color w:val="auto"/>
                <w:kern w:val="0"/>
                <w:szCs w:val="21"/>
                <w:highlight w:val="none"/>
              </w:rPr>
            </w:pPr>
            <w:r>
              <w:rPr>
                <w:rFonts w:hint="eastAsia" w:ascii="宋体" w:hAnsi="宋体"/>
                <w:color w:val="auto"/>
                <w:kern w:val="0"/>
                <w:szCs w:val="21"/>
                <w:highlight w:val="none"/>
              </w:rPr>
              <w:t>工程部项目负责人意见：</w:t>
            </w:r>
          </w:p>
        </w:tc>
        <w:tc>
          <w:tcPr>
            <w:tcW w:w="6201" w:type="dxa"/>
          </w:tcPr>
          <w:p>
            <w:pPr>
              <w:widowControl/>
              <w:snapToGrid w:val="0"/>
              <w:spacing w:after="100" w:afterAutospacing="1" w:line="400" w:lineRule="exact"/>
              <w:rPr>
                <w:rFonts w:ascii="宋体" w:hAnsi="宋体"/>
                <w:color w:val="auto"/>
                <w:kern w:val="0"/>
                <w:szCs w:val="21"/>
                <w:highlight w:val="none"/>
                <w:u w:val="single"/>
              </w:rPr>
            </w:pPr>
          </w:p>
          <w:p>
            <w:pPr>
              <w:widowControl/>
              <w:snapToGrid w:val="0"/>
              <w:spacing w:after="100" w:afterAutospacing="1" w:line="400" w:lineRule="exact"/>
              <w:rPr>
                <w:rFonts w:ascii="宋体" w:hAnsi="宋体"/>
                <w:color w:val="auto"/>
                <w:kern w:val="0"/>
                <w:szCs w:val="21"/>
                <w:highlight w:val="none"/>
                <w:u w:val="single"/>
              </w:rPr>
            </w:pPr>
            <w:r>
              <w:rPr>
                <w:rFonts w:hint="eastAsia" w:ascii="宋体" w:hAnsi="宋体"/>
                <w:color w:val="auto"/>
                <w:kern w:val="0"/>
                <w:szCs w:val="21"/>
                <w:highlight w:val="none"/>
              </w:rPr>
              <w:t xml:space="preserve">                   项目负责人签名：</w:t>
            </w:r>
            <w:r>
              <w:rPr>
                <w:rFonts w:hint="eastAsia" w:ascii="宋体" w:hAnsi="宋体"/>
                <w:color w:val="auto"/>
                <w:kern w:val="0"/>
                <w:szCs w:val="21"/>
                <w:highlight w:val="none"/>
                <w:u w:val="single"/>
              </w:rPr>
              <w:t xml:space="preserve">        </w:t>
            </w:r>
          </w:p>
        </w:tc>
      </w:tr>
    </w:tbl>
    <w:p>
      <w:pPr>
        <w:rPr>
          <w:rFonts w:ascii="宋体" w:hAnsi="宋体"/>
          <w:color w:val="auto"/>
          <w:sz w:val="24"/>
          <w:highlight w:val="none"/>
        </w:rPr>
      </w:pPr>
      <w:r>
        <w:rPr>
          <w:rFonts w:ascii="宋体" w:hAnsi="宋体"/>
          <w:color w:val="auto"/>
          <w:sz w:val="24"/>
          <w:highlight w:val="none"/>
        </w:rPr>
        <w:br w:type="page"/>
      </w:r>
    </w:p>
    <w:p>
      <w:pPr>
        <w:spacing w:line="360" w:lineRule="auto"/>
        <w:rPr>
          <w:rFonts w:ascii="宋体" w:hAnsi="宋体"/>
          <w:color w:val="auto"/>
          <w:szCs w:val="21"/>
          <w:highlight w:val="none"/>
        </w:rPr>
      </w:pPr>
      <w:r>
        <w:rPr>
          <w:rFonts w:hint="eastAsia" w:ascii="宋体" w:hAnsi="宋体"/>
          <w:color w:val="auto"/>
          <w:szCs w:val="21"/>
          <w:highlight w:val="none"/>
        </w:rPr>
        <w:t>附件11：低价风险担保保函示范文本（独立保函）（如有）</w:t>
      </w:r>
    </w:p>
    <w:p>
      <w:pPr>
        <w:spacing w:line="360" w:lineRule="auto"/>
        <w:jc w:val="center"/>
        <w:rPr>
          <w:rFonts w:ascii="宋体" w:hAnsi="宋体" w:cs="宋体"/>
          <w:b/>
          <w:bCs/>
          <w:color w:val="auto"/>
          <w:szCs w:val="21"/>
          <w:highlight w:val="none"/>
        </w:rPr>
      </w:pPr>
    </w:p>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低价风险担保保函示范文本</w:t>
      </w:r>
    </w:p>
    <w:p>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（独立保函）</w:t>
      </w:r>
    </w:p>
    <w:p>
      <w:pPr>
        <w:wordWrap w:val="0"/>
        <w:spacing w:line="360" w:lineRule="auto"/>
        <w:jc w:val="right"/>
        <w:rPr>
          <w:rFonts w:ascii="宋体" w:hAnsi="宋体" w:cs="宋体"/>
          <w:color w:val="auto"/>
          <w:szCs w:val="21"/>
          <w:highlight w:val="none"/>
        </w:rPr>
      </w:pPr>
      <w:r>
        <w:rPr>
          <w:rFonts w:hint="eastAsia" w:ascii="宋体" w:hAnsi="宋体" w:cs="宋体"/>
          <w:color w:val="auto"/>
          <w:szCs w:val="21"/>
          <w:highlight w:val="none"/>
        </w:rPr>
        <w:t xml:space="preserve">编号：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申请人：</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  地址：</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受益人：</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  地址：</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开立人：</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  地址：</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 </w:t>
      </w:r>
    </w:p>
    <w:p>
      <w:pPr>
        <w:spacing w:line="360" w:lineRule="auto"/>
        <w:rPr>
          <w:rFonts w:ascii="宋体" w:hAnsi="宋体" w:cs="宋体"/>
          <w:color w:val="auto"/>
          <w:szCs w:val="21"/>
          <w:highlight w:val="none"/>
        </w:rPr>
      </w:pP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 xml:space="preserve">（受益人名称）： </w:t>
      </w:r>
    </w:p>
    <w:p>
      <w:pPr>
        <w:pStyle w:val="2"/>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鉴于</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 xml:space="preserve">（以下简称“申请人”）于 </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年</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月</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日参加</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（以下简称“受益人”）的</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（项目名称）的投标，收到受益人于</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年</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月</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日签发的中标通知书，成为该项目的中标人。基于申请人的请求，我方同意就申请人履行该项目中标通知书、招标文件和投标文件约定的义务，向贵方提供不可撤销、不可转让的见索即付独立保函（以下简称“本保函”）。</w:t>
      </w:r>
    </w:p>
    <w:p>
      <w:pPr>
        <w:pStyle w:val="2"/>
        <w:numPr>
          <w:ilvl w:val="0"/>
          <w:numId w:val="6"/>
        </w:num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本保函担保范围：申请人未按照中标通知书、招标文件和投标文件约定签订合同或未按签订的合同约定履行相关义务，应当向贵方承担的违约责任和赔偿因此造成的损失、利息、律师费、诉讼费用等实现债权的费用。</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二、本保函担保金额最高不超过人民币（大写）</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元（¥</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 xml:space="preserve">）。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三、本保函有效期自开立之日起至合同约定的</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日止，最迟不超过</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年</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月</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 xml:space="preserve">日。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四、我方承诺，在收到受益人发来的书面付款通知后的</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工作日内无条件支付，前述书面付款通知即为付款要求之单据，且应满足以下要求：</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（1）付款通知到达的日期在本保函的有效期内；</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（2）载明要求支付的金额；</w:t>
      </w:r>
    </w:p>
    <w:p>
      <w:pPr>
        <w:spacing w:line="360" w:lineRule="auto"/>
        <w:ind w:firstLine="420" w:firstLineChars="200"/>
        <w:rPr>
          <w:rFonts w:ascii="宋体" w:hAnsi="宋体" w:cs="宋体"/>
          <w:color w:val="auto"/>
          <w:szCs w:val="21"/>
          <w:highlight w:val="none"/>
          <w:u w:val="single"/>
        </w:rPr>
      </w:pPr>
      <w:r>
        <w:rPr>
          <w:rFonts w:hint="eastAsia" w:ascii="宋体" w:hAnsi="宋体" w:cs="宋体"/>
          <w:color w:val="auto"/>
          <w:szCs w:val="21"/>
          <w:highlight w:val="none"/>
        </w:rPr>
        <w:t>（3）载明申请人未按照中标通知书、招标文件和投标文件约定签订合同或违反合同义务的条款和内容；</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（4）付款通知中应声明不存在招标文件约定、合同文件约定或我国法律规定免除申请人或开立人支付责任的情形；</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（5）付款通知应在本保函有效期内到达的地址是：</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受益人发出的书面付款通知应由其为鉴明受益人法定代表人（负责人）或授权代理人签名加盖公章。</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五、本保函项下的权利不得转让，不得设定担保。贵方未经我方书面同意转让本保函或其项下任何权利，对我方不发生法律效力。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六、与本保函有关的合同不成立、不生效、无效、被撤销、被解除，不影响本保函的独立有效。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七、贵方应在本保函到期后的七个工作日内将本保函正本退回我方注销，但是不论贵方是否按此要求将本保函正本退回我方，我方在本保函项下的义务和责任均在保函有效期到期后自动消灭。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八、本保函适用的法律为中华人民共和国法律，争议裁判管辖地为中华人民共和国</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 xml:space="preserve">。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九、本保函自我方法定代表人或授权代表签名并加盖公章之日起生效。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开 立 人：                              （公章）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法定代表人（或授权代表）：              （签名）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地    址：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邮政编码：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电    话：                 </w:t>
      </w:r>
    </w:p>
    <w:p>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传    真：                 </w:t>
      </w:r>
    </w:p>
    <w:p>
      <w:pPr>
        <w:spacing w:line="360" w:lineRule="auto"/>
        <w:ind w:firstLine="420" w:firstLineChars="200"/>
        <w:rPr>
          <w:color w:val="auto"/>
          <w:highlight w:val="none"/>
        </w:rPr>
      </w:pPr>
      <w:r>
        <w:rPr>
          <w:rFonts w:hint="eastAsia" w:ascii="宋体" w:hAnsi="宋体" w:cs="宋体"/>
          <w:color w:val="auto"/>
          <w:szCs w:val="21"/>
          <w:highlight w:val="none"/>
        </w:rPr>
        <w:t>开立时间：      年      月      日</w:t>
      </w:r>
    </w:p>
    <w:p>
      <w:pPr>
        <w:pStyle w:val="2"/>
        <w:rPr>
          <w:rFonts w:ascii="宋体" w:hAnsi="宋体"/>
          <w:color w:val="auto"/>
          <w:sz w:val="24"/>
          <w:highlight w:val="none"/>
        </w:rPr>
      </w:pPr>
    </w:p>
    <w:p>
      <w:pPr>
        <w:pStyle w:val="2"/>
        <w:rPr>
          <w:rFonts w:ascii="宋体" w:hAnsi="宋体"/>
          <w:color w:val="auto"/>
          <w:sz w:val="24"/>
          <w:highlight w:val="none"/>
        </w:rPr>
      </w:pPr>
    </w:p>
    <w:p>
      <w:pPr>
        <w:spacing w:line="360" w:lineRule="auto"/>
        <w:jc w:val="left"/>
        <w:rPr>
          <w:rFonts w:ascii="宋体" w:hAnsi="宋体"/>
          <w:color w:val="auto"/>
          <w:sz w:val="24"/>
          <w:highlight w:val="none"/>
        </w:rPr>
      </w:pPr>
    </w:p>
    <w:p>
      <w:pPr>
        <w:pStyle w:val="2"/>
        <w:rPr>
          <w:rFonts w:ascii="宋体" w:hAnsi="宋体"/>
          <w:color w:val="auto"/>
          <w:sz w:val="24"/>
          <w:highlight w:val="none"/>
        </w:rPr>
      </w:pPr>
    </w:p>
    <w:p>
      <w:pPr>
        <w:rPr>
          <w:rFonts w:ascii="宋体" w:hAnsi="宋体"/>
          <w:color w:val="auto"/>
          <w:sz w:val="24"/>
          <w:highlight w:val="none"/>
        </w:rPr>
      </w:pPr>
    </w:p>
    <w:p>
      <w:pPr>
        <w:pStyle w:val="2"/>
        <w:rPr>
          <w:rFonts w:ascii="宋体" w:hAnsi="宋体"/>
          <w:color w:val="auto"/>
          <w:sz w:val="24"/>
          <w:highlight w:val="none"/>
        </w:rPr>
      </w:pPr>
    </w:p>
    <w:p>
      <w:pPr>
        <w:rPr>
          <w:rFonts w:ascii="宋体" w:hAnsi="宋体"/>
          <w:color w:val="auto"/>
          <w:sz w:val="24"/>
          <w:highlight w:val="none"/>
        </w:rPr>
      </w:pPr>
    </w:p>
    <w:p>
      <w:pPr>
        <w:rPr>
          <w:rFonts w:ascii="宋体" w:hAnsi="宋体"/>
          <w:color w:val="auto"/>
          <w:sz w:val="24"/>
          <w:highlight w:val="none"/>
        </w:rPr>
      </w:pPr>
    </w:p>
    <w:p>
      <w:pPr>
        <w:pStyle w:val="2"/>
        <w:rPr>
          <w:rFonts w:ascii="宋体" w:hAnsi="宋体"/>
          <w:color w:val="auto"/>
          <w:sz w:val="24"/>
          <w:highlight w:val="none"/>
        </w:rPr>
      </w:pPr>
      <w:r>
        <w:rPr>
          <w:rFonts w:hint="eastAsia" w:ascii="宋体" w:hAnsi="宋体"/>
          <w:color w:val="auto"/>
          <w:sz w:val="24"/>
          <w:highlight w:val="none"/>
        </w:rPr>
        <w:t>附件12：安全质量进度管理处罚措施表</w:t>
      </w:r>
    </w:p>
    <w:p>
      <w:pPr>
        <w:spacing w:line="276" w:lineRule="auto"/>
        <w:ind w:right="71" w:rightChars="34"/>
        <w:jc w:val="center"/>
        <w:rPr>
          <w:rFonts w:ascii="宋体" w:hAnsi="宋体" w:cs="宋体"/>
          <w:color w:val="auto"/>
          <w:szCs w:val="21"/>
          <w:highlight w:val="none"/>
        </w:rPr>
      </w:pPr>
    </w:p>
    <w:p>
      <w:pPr>
        <w:spacing w:line="276" w:lineRule="auto"/>
        <w:ind w:right="71" w:rightChars="34"/>
        <w:jc w:val="center"/>
        <w:rPr>
          <w:rFonts w:ascii="宋体" w:hAnsi="宋体" w:cs="宋体"/>
          <w:color w:val="auto"/>
          <w:szCs w:val="21"/>
          <w:highlight w:val="none"/>
        </w:rPr>
      </w:pPr>
      <w:r>
        <w:rPr>
          <w:rFonts w:hint="eastAsia" w:ascii="宋体" w:hAnsi="宋体" w:cs="宋体"/>
          <w:color w:val="auto"/>
          <w:szCs w:val="21"/>
          <w:highlight w:val="none"/>
        </w:rPr>
        <w:t>安全文明施工处罚明细表</w:t>
      </w:r>
    </w:p>
    <w:tbl>
      <w:tblPr>
        <w:tblStyle w:val="45"/>
        <w:tblW w:w="92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0"/>
        <w:gridCol w:w="4435"/>
        <w:gridCol w:w="39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jc w:val="center"/>
              <w:rPr>
                <w:rFonts w:ascii="宋体" w:hAnsi="宋体" w:cs="宋体"/>
                <w:color w:val="auto"/>
                <w:szCs w:val="21"/>
                <w:highlight w:val="none"/>
              </w:rPr>
            </w:pPr>
            <w:r>
              <w:rPr>
                <w:rFonts w:hint="eastAsia" w:ascii="宋体" w:hAnsi="宋体" w:cs="宋体"/>
                <w:color w:val="auto"/>
                <w:szCs w:val="21"/>
                <w:highlight w:val="none"/>
              </w:rPr>
              <w:t>序号</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jc w:val="center"/>
              <w:rPr>
                <w:rFonts w:ascii="宋体" w:hAnsi="宋体" w:cs="宋体"/>
                <w:color w:val="auto"/>
                <w:szCs w:val="21"/>
                <w:highlight w:val="none"/>
              </w:rPr>
            </w:pPr>
            <w:r>
              <w:rPr>
                <w:rFonts w:hint="eastAsia" w:ascii="宋体" w:hAnsi="宋体" w:cs="宋体"/>
                <w:color w:val="auto"/>
                <w:szCs w:val="21"/>
                <w:highlight w:val="none"/>
              </w:rPr>
              <w:t>安全文明施工管理处罚内容</w:t>
            </w:r>
          </w:p>
        </w:tc>
        <w:tc>
          <w:tcPr>
            <w:tcW w:w="3913" w:type="dxa"/>
            <w:tcBorders>
              <w:top w:val="single" w:color="auto" w:sz="4" w:space="0"/>
              <w:left w:val="single" w:color="auto" w:sz="4" w:space="0"/>
              <w:bottom w:val="single" w:color="auto" w:sz="4" w:space="0"/>
              <w:right w:val="single" w:color="auto" w:sz="4" w:space="0"/>
            </w:tcBorders>
            <w:vAlign w:val="center"/>
          </w:tcPr>
          <w:p>
            <w:pPr>
              <w:spacing w:line="360" w:lineRule="auto"/>
              <w:ind w:right="71" w:rightChars="34" w:firstLine="252" w:firstLineChars="120"/>
              <w:jc w:val="center"/>
              <w:rPr>
                <w:rFonts w:ascii="宋体" w:hAnsi="宋体" w:cs="宋体"/>
                <w:color w:val="auto"/>
                <w:szCs w:val="21"/>
                <w:highlight w:val="none"/>
              </w:rPr>
            </w:pPr>
            <w:r>
              <w:rPr>
                <w:rFonts w:hint="eastAsia" w:ascii="宋体" w:hAnsi="宋体" w:cs="宋体"/>
                <w:color w:val="auto"/>
                <w:szCs w:val="21"/>
                <w:highlight w:val="none"/>
              </w:rPr>
              <w:t>处罚方式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89" w:hRule="atLeas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jc w:val="center"/>
              <w:rPr>
                <w:rFonts w:ascii="宋体" w:hAnsi="宋体" w:cs="宋体"/>
                <w:color w:val="auto"/>
                <w:szCs w:val="21"/>
                <w:highlight w:val="none"/>
              </w:rPr>
            </w:pPr>
            <w:r>
              <w:rPr>
                <w:rFonts w:hint="eastAsia" w:ascii="宋体" w:hAnsi="宋体" w:cs="宋体"/>
                <w:color w:val="auto"/>
                <w:szCs w:val="21"/>
                <w:highlight w:val="none"/>
              </w:rPr>
              <w:t>1</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未按安全生产法规建立健全安全生产保障体系，或未按安全法律法规、标准及安全生产管理制度、施工组织设计（专项方案）执行以及因此而造成安全文明施工目标未能实现的，或存在较大隐患的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责令改正，根据情节轻重，承包人并向发包人支付违约金10000元-100000元/次。情节严重的加发包人保留勒令承包人退场的权利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jc w:val="center"/>
              <w:rPr>
                <w:rFonts w:ascii="宋体" w:hAnsi="宋体" w:cs="宋体"/>
                <w:color w:val="auto"/>
                <w:szCs w:val="21"/>
                <w:highlight w:val="none"/>
              </w:rPr>
            </w:pPr>
            <w:r>
              <w:rPr>
                <w:rFonts w:hint="eastAsia" w:ascii="宋体" w:hAnsi="宋体" w:cs="宋体"/>
                <w:color w:val="auto"/>
                <w:szCs w:val="21"/>
                <w:highlight w:val="none"/>
              </w:rPr>
              <w:t>2</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承包单位项目负责人、管理人员不到位，或未履行安全管理职责、不按规定设专职安全管理人员（总包单位不配备注册安全工程师），随意更换安全管理人员，安全管理人员不履行安全管理职责、现场安保人员未进行严格门岗管理，任无关人员（外来、看房人员等）进入现场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限期改正，承包人并向发包人支付违约金2000-10000元/天、次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jc w:val="center"/>
              <w:rPr>
                <w:rFonts w:ascii="宋体" w:hAnsi="宋体" w:cs="宋体"/>
                <w:color w:val="auto"/>
                <w:szCs w:val="21"/>
                <w:highlight w:val="none"/>
              </w:rPr>
            </w:pPr>
            <w:r>
              <w:rPr>
                <w:rFonts w:hint="eastAsia" w:ascii="宋体" w:hAnsi="宋体" w:cs="宋体"/>
                <w:color w:val="auto"/>
                <w:szCs w:val="21"/>
                <w:highlight w:val="none"/>
              </w:rPr>
              <w:t>3</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rPr>
                <w:rFonts w:ascii="宋体" w:hAnsi="宋体" w:cs="宋体"/>
                <w:color w:val="auto"/>
                <w:szCs w:val="21"/>
                <w:highlight w:val="none"/>
              </w:rPr>
            </w:pPr>
            <w:r>
              <w:rPr>
                <w:rFonts w:hint="eastAsia" w:ascii="宋体" w:hAnsi="宋体" w:cs="宋体"/>
                <w:color w:val="auto"/>
                <w:szCs w:val="21"/>
                <w:highlight w:val="none"/>
              </w:rPr>
              <w:t>建设单位对进场安全员、机电管理人员每月进行考勤统计，安全员数量配置不满足合同文件要求的；未设置专职机电管理人员，或数量不满足合同文件要求的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限期整改，承包人并向发包人支付违约金5000元/月/人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70" w:hRule="atLeas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jc w:val="center"/>
              <w:rPr>
                <w:rFonts w:ascii="宋体" w:hAnsi="宋体" w:cs="宋体"/>
                <w:color w:val="auto"/>
                <w:szCs w:val="21"/>
                <w:highlight w:val="none"/>
              </w:rPr>
            </w:pPr>
            <w:r>
              <w:rPr>
                <w:rFonts w:hint="eastAsia" w:ascii="宋体" w:hAnsi="宋体" w:cs="宋体"/>
                <w:color w:val="auto"/>
                <w:szCs w:val="21"/>
                <w:highlight w:val="none"/>
              </w:rPr>
              <w:t>4</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承包单位对自行分包的劳务队伍安全管控不力，无专门的安全文明施工队伍（每个标段、地块不少于12人），将安全文明施工措施转包或转嫁给劳务队伍的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限期整改，承包人并向发包人支付违约金2000—5000元/次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8" w:hRule="atLeas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jc w:val="center"/>
              <w:rPr>
                <w:rFonts w:ascii="宋体" w:hAnsi="宋体" w:cs="宋体"/>
                <w:color w:val="auto"/>
                <w:szCs w:val="21"/>
                <w:highlight w:val="none"/>
              </w:rPr>
            </w:pPr>
            <w:r>
              <w:rPr>
                <w:rFonts w:hint="eastAsia" w:ascii="宋体" w:hAnsi="宋体" w:cs="宋体"/>
                <w:color w:val="auto"/>
                <w:szCs w:val="21"/>
                <w:highlight w:val="none"/>
              </w:rPr>
              <w:t>5</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总包单位进场后未在规定时间内按照上级主管部门及合同的要求完成安全文明施工布置，未完成大门封闭管理、未完成视频监控系统、车辆高压冲洗装置、平面消防水体系及道路硬化、人车分流</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限期整改，承包人并向发包人支付违约金2000—5000元/天、次、处，直至整改达到要求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jc w:val="center"/>
              <w:rPr>
                <w:rFonts w:ascii="宋体" w:hAnsi="宋体" w:cs="宋体"/>
                <w:color w:val="auto"/>
                <w:szCs w:val="21"/>
                <w:highlight w:val="none"/>
              </w:rPr>
            </w:pPr>
            <w:r>
              <w:rPr>
                <w:rFonts w:hint="eastAsia" w:ascii="宋体" w:hAnsi="宋体" w:cs="宋体"/>
                <w:color w:val="auto"/>
                <w:szCs w:val="21"/>
                <w:highlight w:val="none"/>
              </w:rPr>
              <w:t>6</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日常的封闭管理不到位，封闭围挡和施工大门不符合要求，未严格执行门卫管理制度实行门禁管理的，门卫人员着装不符合要求，作业人员无门禁卡随意进出的，外来人员</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限期整改，承包人并向发包人支付违约金1000—2000元/天、次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20" w:hRule="atLeas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jc w:val="center"/>
              <w:rPr>
                <w:rFonts w:ascii="宋体" w:hAnsi="宋体" w:cs="宋体"/>
                <w:color w:val="auto"/>
                <w:szCs w:val="21"/>
                <w:highlight w:val="none"/>
              </w:rPr>
            </w:pPr>
            <w:r>
              <w:rPr>
                <w:rFonts w:hint="eastAsia" w:ascii="宋体" w:hAnsi="宋体" w:cs="宋体"/>
                <w:color w:val="auto"/>
                <w:szCs w:val="21"/>
                <w:highlight w:val="none"/>
              </w:rPr>
              <w:t>7</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总承包单位未按照规定和合同约定履行对专业分包单位的安全管理职责的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限期整改，总承包单位并向发包人支付违约金2000—5000元/次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jc w:val="center"/>
              <w:rPr>
                <w:rFonts w:ascii="宋体" w:hAnsi="宋体" w:cs="宋体"/>
                <w:color w:val="auto"/>
                <w:szCs w:val="21"/>
                <w:highlight w:val="none"/>
              </w:rPr>
            </w:pPr>
            <w:r>
              <w:rPr>
                <w:rFonts w:hint="eastAsia" w:ascii="宋体" w:hAnsi="宋体" w:cs="宋体"/>
                <w:color w:val="auto"/>
                <w:szCs w:val="21"/>
                <w:highlight w:val="none"/>
              </w:rPr>
              <w:t>8</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多家单位在相邻施工区域或者同一施工区域施工，对安全文明施工管理工作互相推诿、扯皮的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限期整改，承包人并向发包人支付违约金1000—5000元/次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9</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规定的时间和区域内，未完成合同约定的项目安全文明施工措施工作的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限期整改，扣除相关安全文明施工措施费用，承包人并向发包人支付违约金1000—5000元/次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10</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危险性较大的分部分项工程未编制施工方案、未按规定报审、未按要求进行专家论证的，未按规定验收合格就投入使用或者进行下一环节施工的。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限期整改，承包人并向发包人支付违约金2000—5000元/次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11</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未按照规定加强人工挖孔桩施工、深基坑与高边坡、模板支撑体系、临时用电、消防、起重机械、脚手架等重大危险源安全管理，安全措施不完善的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限期整改，承包人并向发包人支付违约金2000—5000元/处、次、天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12</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施工单位人员不按规定佩戴胸牌（胸卡），未统一工作服、安全帽未按规定进行分类分色编号的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立即整改，承包人并向发包人支付违约金100—1000元/人、次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13</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 xml:space="preserve">进入施工现场内不戴安全帽，穿拖鞋、赤脚，高处临空作业不系安全带，在施工现场抽烟等习惯性“三违”现象。 </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立即整改，承包人并向发包人支付违约金100—1000元/人、次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14</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生活区宿舍照明未使用安全电压或限流措施；违规私拉乱接、违规使用拖线板、水乌龟、电热毯等大功率电器；对于220V取电，未按规定设置专门取电用房，每个房间未设置单独用电箱和线路并派专人管理的，生活区存在小孩现象</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限期整改，承包人并向发包人支付违约金1000—5000元/天、次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15</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脚手架滞后作业层、基础未硬化、立杆垫不不符合要求，水平硬防护缺失、未满铺、楼层水平兜网滞后、外架堆放材料、立杆悬空、剪刀撑不符合要求，悬挑架底部未封闭、卸载钢丝绳、压板、工字钢锚固不符合要求的；模板支架立杆悬空、钢木混搭、自由端超长，未经验收进行下步工序施工，卸料平台搭设拆除未遵守规范要求的，未按照合同要求在楼栋搭设全封闭硬质水平悬挑防护棚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限期整改，承包人并向发包人支付违约金2000元/处、次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16</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没有完善现场“四口、五临边”等安全防护措施的；未经同意，擅自拆除安全防护设施的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限期整改，承包人并向发包人支付违约金1000—5000元/处、次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17</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施工机具及施工用电不符合安全标准，存在较大安全隐患，无产品合格证等证件，塔吊、施工电梯等机械设备安装完成后未经检测验收就擅自使用的，塔吊未设置有效防攀爬措施的，未配备专职机械管理人员或是数量不满足要求的，每季度未组织第三方检测单位对塔吊、施工电梯、提升机进行检查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限期整改，承包人并向发包人支付违约金2000—5000元/处、次、天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18</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特种作业岗位人员无证上岗或任由无证人员上岗操作的，人证不符的，动火作业无动火证，动火作业票开具不符合要求的，无消防安全措施的。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立即整改，承包人并向发包人支付违约金1000—2000元/人、次。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19</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消防水管、生活用水、施工用水共用管道的，生活区、施工现场违规使用消防水的，消防水供给不正常的。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立即整改，承包人并向发包人支付违约金5000—20000元/人、次。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20</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违规使用未经验收的自制登高工具、吊具吊斗、钢丝绳编接长度、绳卡不符合要求，吊斗无限重限载标识的。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立即整改，承包人并向发包人支付违约金1000—2000元/处、次。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21</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施工现场临时用电不符合要求的，违规使用碘钨灯、拖线板、电线裸插裸接、违规接线等现象，用电设备不符合一机一闸、三相五线要求的，直接在二级配电箱中搭接用电的。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立即整改，承包人并向发包人支付违约金1000—2000元/处、次。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22</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对建设单位、监理单位周检、月检以及其他专项安全检查等资料整改回复、专项安全方案相关资料报送不及时，或报送不符合要求的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立即整改，承包人并向发包人支付违约金2000—5000元/处、次。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23</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施工现场、生活区发生任何形式的打架斗殴、围堵建设单位办公室、售楼部，集体上访、讨薪、治安事件、网络及电视负面舆情、与建设单位、监理单位管理人员的发生争执、肢体接触的。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立即整改，承包人并向发包人支付违约金5万—10万元/处、次。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24</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被政府主管部门（安管站、环保部门等）下发停工通知书、停工令的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立即整改，承包人并向发包人支付违约金5万—20万元/处、次。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25</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发生火灾、一般事故的。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承包人向发包人支付违约金20万—100万元/次。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00"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26</w:t>
            </w:r>
          </w:p>
        </w:tc>
        <w:tc>
          <w:tcPr>
            <w:tcW w:w="4435"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在各类检查中排名靠后的</w:t>
            </w:r>
          </w:p>
        </w:tc>
        <w:tc>
          <w:tcPr>
            <w:tcW w:w="3913" w:type="dxa"/>
            <w:tcBorders>
              <w:top w:val="single" w:color="auto" w:sz="4" w:space="0"/>
              <w:left w:val="single" w:color="auto" w:sz="4" w:space="0"/>
              <w:bottom w:val="single" w:color="auto" w:sz="4" w:space="0"/>
              <w:right w:val="single" w:color="auto" w:sz="4" w:space="0"/>
            </w:tcBorders>
            <w:vAlign w:val="center"/>
          </w:tcPr>
          <w:p>
            <w:pPr>
              <w:spacing w:line="276" w:lineRule="auto"/>
              <w:ind w:right="71" w:rightChars="34" w:firstLine="252" w:firstLineChars="120"/>
              <w:rPr>
                <w:rFonts w:ascii="宋体" w:hAnsi="宋体" w:cs="宋体"/>
                <w:color w:val="auto"/>
                <w:szCs w:val="21"/>
                <w:highlight w:val="none"/>
              </w:rPr>
            </w:pPr>
            <w:r>
              <w:rPr>
                <w:rFonts w:hint="eastAsia" w:ascii="宋体" w:hAnsi="宋体" w:cs="宋体"/>
                <w:color w:val="auto"/>
                <w:szCs w:val="21"/>
                <w:highlight w:val="none"/>
              </w:rPr>
              <w:t>排名最后三名（含并列倒数第三名）的项目，承包商向发包人支付违约金3万—5万元/次。</w:t>
            </w:r>
          </w:p>
        </w:tc>
      </w:tr>
    </w:tbl>
    <w:p>
      <w:pPr>
        <w:jc w:val="center"/>
        <w:rPr>
          <w:rFonts w:ascii="宋体" w:hAnsi="宋体" w:cs="宋体"/>
          <w:color w:val="auto"/>
          <w:szCs w:val="21"/>
          <w:highlight w:val="none"/>
        </w:rPr>
      </w:pPr>
      <w:r>
        <w:rPr>
          <w:rFonts w:ascii="仿宋" w:hAnsi="仿宋" w:eastAsia="仿宋"/>
          <w:color w:val="auto"/>
          <w:sz w:val="24"/>
          <w:highlight w:val="none"/>
        </w:rPr>
        <w:br w:type="page"/>
      </w:r>
      <w:r>
        <w:rPr>
          <w:rFonts w:hint="eastAsia" w:ascii="宋体" w:hAnsi="宋体" w:cs="宋体"/>
          <w:color w:val="auto"/>
          <w:szCs w:val="21"/>
          <w:highlight w:val="none"/>
        </w:rPr>
        <w:t>质量处罚措施明细表</w:t>
      </w:r>
    </w:p>
    <w:tbl>
      <w:tblPr>
        <w:tblStyle w:val="45"/>
        <w:tblW w:w="936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5"/>
        <w:gridCol w:w="4169"/>
        <w:gridCol w:w="42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序号</w:t>
            </w:r>
          </w:p>
        </w:tc>
        <w:tc>
          <w:tcPr>
            <w:tcW w:w="4169" w:type="dxa"/>
            <w:tcBorders>
              <w:top w:val="single" w:color="auto" w:sz="4" w:space="0"/>
              <w:left w:val="single" w:color="auto" w:sz="4" w:space="0"/>
              <w:bottom w:val="single" w:color="auto" w:sz="4" w:space="0"/>
              <w:right w:val="single" w:color="auto" w:sz="4" w:space="0"/>
            </w:tcBorders>
          </w:tcPr>
          <w:p>
            <w:pPr>
              <w:spacing w:line="360" w:lineRule="auto"/>
              <w:ind w:right="-107" w:rightChars="-51" w:firstLine="195" w:firstLineChars="88"/>
              <w:jc w:val="center"/>
              <w:rPr>
                <w:rFonts w:ascii="宋体" w:hAnsi="宋体" w:cs="宋体"/>
                <w:color w:val="auto"/>
                <w:spacing w:val="6"/>
                <w:szCs w:val="21"/>
                <w:highlight w:val="none"/>
              </w:rPr>
            </w:pPr>
            <w:r>
              <w:rPr>
                <w:rFonts w:hint="eastAsia" w:ascii="宋体" w:hAnsi="宋体" w:cs="宋体"/>
                <w:color w:val="auto"/>
                <w:spacing w:val="6"/>
                <w:szCs w:val="21"/>
                <w:highlight w:val="none"/>
              </w:rPr>
              <w:t>质量管理内容</w:t>
            </w:r>
          </w:p>
        </w:tc>
        <w:tc>
          <w:tcPr>
            <w:tcW w:w="4248" w:type="dxa"/>
            <w:tcBorders>
              <w:top w:val="single" w:color="auto" w:sz="4" w:space="0"/>
              <w:left w:val="single" w:color="auto" w:sz="4" w:space="0"/>
              <w:bottom w:val="single" w:color="auto" w:sz="4" w:space="0"/>
              <w:right w:val="single" w:color="auto" w:sz="4" w:space="0"/>
            </w:tcBorders>
          </w:tcPr>
          <w:p>
            <w:pPr>
              <w:spacing w:line="360" w:lineRule="auto"/>
              <w:ind w:right="71" w:rightChars="34"/>
              <w:jc w:val="center"/>
              <w:rPr>
                <w:rFonts w:ascii="宋体" w:hAnsi="宋体" w:cs="宋体"/>
                <w:color w:val="auto"/>
                <w:spacing w:val="6"/>
                <w:szCs w:val="21"/>
                <w:highlight w:val="none"/>
              </w:rPr>
            </w:pPr>
            <w:r>
              <w:rPr>
                <w:rFonts w:hint="eastAsia" w:ascii="宋体" w:hAnsi="宋体" w:cs="宋体"/>
                <w:color w:val="auto"/>
                <w:spacing w:val="6"/>
                <w:szCs w:val="21"/>
                <w:highlight w:val="none"/>
              </w:rPr>
              <w:t>管理方式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1</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质量保证体系运行不正常，主要指承包人不按质量管理制度规范施工及管理行为，施工员、质检员不能坚守岗位履行职责，在分项工程未进行三检（自检、交接检、专检）就向发包人、监理报验的行为。</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违者承包人向发包人支付违约金10000元/次，屡教不改者加倍处罚，情节严重的停工整改，且不合格的分项工程不予计量和不支付该项工程款。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2</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擅自变更设计，不按图纸或发包人签发的文件施工。</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责令返工，承包人并向发包人支付违约金20000～50000元/次，如拒不整改，除处罚违约金外，对拒不整改分项不予计量和不支付该项工程款。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3</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材料、设备进场未得到发包人监理认可，未按规定报验、送检就用于工程的。</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承包人向发包人支付违约金10000元/次，且未经认可的该部分分项工程均不予计量。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4</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分项工程施工前未对施工作业人员进行质量与安全技术交底、未进行样板施工或样板未经验收合格就进行大面积施工的。</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责令承包人改正，并停止大面积施工。承包人向发包人支付违约金10000元/次，且未经认可的该部分分项工程均不予计量。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5</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上道工序未经验收合格便进入下道工序施工、隐蔽工程未经发包人监理及相关单位验收擅自隐蔽者。</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责令剥离检查，检查不合格责令返工，所发生费用由承包人承担。承包人并向发包人支付违约金10000元/次。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6</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未按照经审查批准的专项施工方案组织施工的。</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责令改正，承包人并向发包人支付违约金10000元/次。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7</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初装修工程，线、角、面、边细部工程质量粗制滥造，经检查不符合规范、标准要求，经发包人、监理指出未及时进行整改或拒不整改的。</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责令限期整改，承包人向发包人支付违约金500～2000元/处。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8</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未</w:t>
            </w:r>
            <w:r>
              <w:rPr>
                <w:rFonts w:ascii="宋体" w:hAnsi="宋体" w:cs="宋体"/>
                <w:color w:val="auto"/>
                <w:spacing w:val="6"/>
                <w:szCs w:val="21"/>
                <w:highlight w:val="none"/>
              </w:rPr>
              <w:t>按设计图纸或合同相关要求施工，</w:t>
            </w:r>
            <w:r>
              <w:rPr>
                <w:rFonts w:hint="eastAsia" w:ascii="宋体" w:hAnsi="宋体" w:cs="宋体"/>
                <w:color w:val="auto"/>
                <w:spacing w:val="6"/>
                <w:szCs w:val="21"/>
                <w:highlight w:val="none"/>
              </w:rPr>
              <w:t>偷工减料，以次充好，经发包人或监理指出，未及时进行整改或拒不整改的。</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责令返工整改，承包人并向发包人支付违约金20000元/次。拒不整改的，或</w:t>
            </w:r>
            <w:r>
              <w:rPr>
                <w:rFonts w:ascii="宋体" w:hAnsi="宋体" w:cs="宋体"/>
                <w:color w:val="auto"/>
                <w:spacing w:val="6"/>
                <w:szCs w:val="21"/>
                <w:highlight w:val="none"/>
              </w:rPr>
              <w:t>整改时限超出雇主约定时限，</w:t>
            </w:r>
            <w:r>
              <w:rPr>
                <w:rFonts w:hint="eastAsia" w:ascii="宋体" w:hAnsi="宋体" w:cs="宋体"/>
                <w:color w:val="auto"/>
                <w:spacing w:val="6"/>
                <w:szCs w:val="21"/>
                <w:highlight w:val="none"/>
              </w:rPr>
              <w:t>未整改部分工程不予计量和支付工程款，并</w:t>
            </w:r>
            <w:r>
              <w:rPr>
                <w:rFonts w:ascii="宋体" w:hAnsi="宋体" w:cs="宋体"/>
                <w:color w:val="auto"/>
                <w:spacing w:val="6"/>
                <w:szCs w:val="21"/>
                <w:highlight w:val="none"/>
              </w:rPr>
              <w:t>支付</w:t>
            </w:r>
            <w:r>
              <w:rPr>
                <w:rFonts w:hint="eastAsia" w:ascii="宋体" w:hAnsi="宋体" w:cs="宋体"/>
                <w:color w:val="auto"/>
                <w:spacing w:val="6"/>
                <w:szCs w:val="21"/>
                <w:highlight w:val="none"/>
              </w:rPr>
              <w:t>发包</w:t>
            </w:r>
            <w:r>
              <w:rPr>
                <w:rFonts w:ascii="宋体" w:hAnsi="宋体" w:cs="宋体"/>
                <w:color w:val="auto"/>
                <w:spacing w:val="6"/>
                <w:szCs w:val="21"/>
                <w:highlight w:val="none"/>
              </w:rPr>
              <w:t>人</w:t>
            </w:r>
            <w:r>
              <w:rPr>
                <w:rFonts w:hint="eastAsia" w:ascii="宋体" w:hAnsi="宋体" w:cs="宋体"/>
                <w:color w:val="auto"/>
                <w:spacing w:val="6"/>
                <w:szCs w:val="21"/>
                <w:highlight w:val="none"/>
              </w:rPr>
              <w:t>违约金40000元/次。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9</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工序质量检查验收不合格，整改不及时，检验批不合格、检验批数量不满足规范要求的。</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责令返工整改直至合格，承包人并向发包人支付违约金10000～30000元/批、次。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10</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对发包人、监理签发的质量整改文件不按期进行整改和回复的。</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责令改正，承包人并向发包人支付违约金5000～10000元/次。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11</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未按各项工程施工质量管理制度、规范、标准要求执行造成质量事故（事件）的。</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责令停工限期整改，自行承担一切损失，并向发包人支付违约金20000～200000元，视造成的社会影响，发包人保留勒令承包人退场的权利。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12</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现场无成品、半成品保护措施或保护措施执行不到位。</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责令改正，承包人向发包人支付违约金1000～2000元/次。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13</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不按业主要求报送工程内业资料的</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承包人向发包人支付违约金500～2000元/次。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14</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jc w:val="left"/>
              <w:rPr>
                <w:rFonts w:ascii="宋体" w:hAnsi="宋体" w:cs="宋体"/>
                <w:color w:val="auto"/>
                <w:spacing w:val="6"/>
                <w:szCs w:val="21"/>
                <w:highlight w:val="none"/>
              </w:rPr>
            </w:pPr>
            <w:r>
              <w:rPr>
                <w:rFonts w:hint="eastAsia" w:ascii="宋体" w:hAnsi="宋体" w:cs="宋体"/>
                <w:color w:val="auto"/>
                <w:spacing w:val="6"/>
                <w:szCs w:val="21"/>
                <w:highlight w:val="none"/>
              </w:rPr>
              <w:t>现场</w:t>
            </w:r>
            <w:r>
              <w:rPr>
                <w:rFonts w:ascii="宋体" w:hAnsi="宋体" w:cs="宋体"/>
                <w:color w:val="auto"/>
                <w:spacing w:val="6"/>
                <w:szCs w:val="21"/>
                <w:highlight w:val="none"/>
              </w:rPr>
              <w:t>施工质量不符合发包方质量相关要求或不满足相关规范要求</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承包人向发包人支付违约金500～2000元/处</w:t>
            </w:r>
            <w:r>
              <w:rPr>
                <w:rFonts w:ascii="宋体" w:hAnsi="宋体" w:cs="宋体"/>
                <w:color w:val="auto"/>
                <w:spacing w:val="6"/>
                <w:szCs w:val="21"/>
                <w:highlight w:val="none"/>
              </w:rPr>
              <w:t>、</w:t>
            </w:r>
            <w:r>
              <w:rPr>
                <w:rFonts w:hint="eastAsia" w:ascii="宋体" w:hAnsi="宋体" w:cs="宋体"/>
                <w:color w:val="auto"/>
                <w:spacing w:val="6"/>
                <w:szCs w:val="21"/>
                <w:highlight w:val="none"/>
              </w:rPr>
              <w:t>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1</w:t>
            </w:r>
            <w:r>
              <w:rPr>
                <w:rFonts w:ascii="宋体" w:hAnsi="宋体" w:cs="宋体"/>
                <w:color w:val="auto"/>
                <w:spacing w:val="6"/>
                <w:szCs w:val="21"/>
                <w:highlight w:val="none"/>
              </w:rPr>
              <w:t>5</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存在违反发包方质量红线的行为</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承包人向发包人支付违约金</w:t>
            </w:r>
            <w:r>
              <w:rPr>
                <w:rFonts w:ascii="宋体" w:hAnsi="宋体" w:cs="宋体"/>
                <w:color w:val="auto"/>
                <w:spacing w:val="6"/>
                <w:szCs w:val="21"/>
                <w:highlight w:val="none"/>
              </w:rPr>
              <w:t>10000</w:t>
            </w:r>
            <w:r>
              <w:rPr>
                <w:rFonts w:hint="eastAsia" w:ascii="宋体" w:hAnsi="宋体" w:cs="宋体"/>
                <w:color w:val="auto"/>
                <w:spacing w:val="6"/>
                <w:szCs w:val="21"/>
                <w:highlight w:val="none"/>
              </w:rPr>
              <w:t>元/次，并视情况更换其项目经理、生产经理、质量负责人或约谈其高层领导。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1</w:t>
            </w:r>
            <w:r>
              <w:rPr>
                <w:rFonts w:ascii="宋体" w:hAnsi="宋体" w:cs="宋体"/>
                <w:color w:val="auto"/>
                <w:spacing w:val="6"/>
                <w:szCs w:val="21"/>
                <w:highlight w:val="none"/>
              </w:rPr>
              <w:t>6</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现场</w:t>
            </w:r>
            <w:r>
              <w:rPr>
                <w:rFonts w:ascii="宋体" w:hAnsi="宋体" w:cs="宋体"/>
                <w:color w:val="auto"/>
                <w:spacing w:val="6"/>
                <w:szCs w:val="21"/>
                <w:highlight w:val="none"/>
              </w:rPr>
              <w:t>存在</w:t>
            </w:r>
            <w:r>
              <w:rPr>
                <w:rFonts w:hint="eastAsia" w:ascii="宋体" w:hAnsi="宋体" w:cs="宋体"/>
                <w:color w:val="auto"/>
                <w:spacing w:val="6"/>
                <w:szCs w:val="21"/>
                <w:highlight w:val="none"/>
              </w:rPr>
              <w:t>质量</w:t>
            </w:r>
            <w:r>
              <w:rPr>
                <w:rFonts w:ascii="宋体" w:hAnsi="宋体" w:cs="宋体"/>
                <w:color w:val="auto"/>
                <w:spacing w:val="6"/>
                <w:szCs w:val="21"/>
                <w:highlight w:val="none"/>
              </w:rPr>
              <w:t>问题</w:t>
            </w:r>
            <w:r>
              <w:rPr>
                <w:rFonts w:hint="eastAsia" w:ascii="宋体" w:hAnsi="宋体" w:cs="宋体"/>
                <w:color w:val="auto"/>
                <w:spacing w:val="6"/>
                <w:szCs w:val="21"/>
                <w:highlight w:val="none"/>
              </w:rPr>
              <w:t>被发包方项目部</w:t>
            </w:r>
            <w:r>
              <w:rPr>
                <w:rFonts w:ascii="宋体" w:hAnsi="宋体" w:cs="宋体"/>
                <w:color w:val="auto"/>
                <w:spacing w:val="6"/>
                <w:szCs w:val="21"/>
                <w:highlight w:val="none"/>
              </w:rPr>
              <w:t>发函叫停</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按期</w:t>
            </w:r>
            <w:r>
              <w:rPr>
                <w:rFonts w:ascii="宋体" w:hAnsi="宋体" w:cs="宋体"/>
                <w:color w:val="auto"/>
                <w:spacing w:val="6"/>
                <w:szCs w:val="21"/>
                <w:highlight w:val="none"/>
              </w:rPr>
              <w:t>完成雇主方函件要求内容，</w:t>
            </w:r>
            <w:r>
              <w:rPr>
                <w:rFonts w:hint="eastAsia" w:ascii="宋体" w:hAnsi="宋体" w:cs="宋体"/>
                <w:color w:val="auto"/>
                <w:spacing w:val="6"/>
                <w:szCs w:val="21"/>
                <w:highlight w:val="none"/>
              </w:rPr>
              <w:t>并向发包人支付违约金</w:t>
            </w:r>
            <w:r>
              <w:rPr>
                <w:rFonts w:ascii="宋体" w:hAnsi="宋体" w:cs="宋体"/>
                <w:color w:val="auto"/>
                <w:spacing w:val="6"/>
                <w:szCs w:val="21"/>
                <w:highlight w:val="none"/>
              </w:rPr>
              <w:t>1</w:t>
            </w:r>
            <w:r>
              <w:rPr>
                <w:rFonts w:hint="eastAsia" w:ascii="宋体" w:hAnsi="宋体" w:cs="宋体"/>
                <w:color w:val="auto"/>
                <w:spacing w:val="6"/>
                <w:szCs w:val="21"/>
                <w:highlight w:val="none"/>
              </w:rPr>
              <w:t>0000元次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ascii="宋体" w:hAnsi="宋体" w:cs="宋体"/>
                <w:color w:val="auto"/>
                <w:spacing w:val="6"/>
                <w:szCs w:val="21"/>
                <w:highlight w:val="none"/>
              </w:rPr>
              <w:t>17</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现场</w:t>
            </w:r>
            <w:r>
              <w:rPr>
                <w:rFonts w:ascii="宋体" w:hAnsi="宋体" w:cs="宋体"/>
                <w:color w:val="auto"/>
                <w:spacing w:val="6"/>
                <w:szCs w:val="21"/>
                <w:highlight w:val="none"/>
              </w:rPr>
              <w:t>存在</w:t>
            </w:r>
            <w:r>
              <w:rPr>
                <w:rFonts w:hint="eastAsia" w:ascii="宋体" w:hAnsi="宋体" w:cs="宋体"/>
                <w:color w:val="auto"/>
                <w:spacing w:val="6"/>
                <w:szCs w:val="21"/>
                <w:highlight w:val="none"/>
              </w:rPr>
              <w:t>质量</w:t>
            </w:r>
            <w:r>
              <w:rPr>
                <w:rFonts w:ascii="宋体" w:hAnsi="宋体" w:cs="宋体"/>
                <w:color w:val="auto"/>
                <w:spacing w:val="6"/>
                <w:szCs w:val="21"/>
                <w:highlight w:val="none"/>
              </w:rPr>
              <w:t>问题</w:t>
            </w:r>
            <w:r>
              <w:rPr>
                <w:rFonts w:hint="eastAsia" w:ascii="宋体" w:hAnsi="宋体" w:cs="宋体"/>
                <w:color w:val="auto"/>
                <w:spacing w:val="6"/>
                <w:szCs w:val="21"/>
                <w:highlight w:val="none"/>
              </w:rPr>
              <w:t>被发包方公司</w:t>
            </w:r>
            <w:r>
              <w:rPr>
                <w:rFonts w:ascii="宋体" w:hAnsi="宋体" w:cs="宋体"/>
                <w:color w:val="auto"/>
                <w:spacing w:val="6"/>
                <w:szCs w:val="21"/>
                <w:highlight w:val="none"/>
              </w:rPr>
              <w:t>发函叫停</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按期</w:t>
            </w:r>
            <w:r>
              <w:rPr>
                <w:rFonts w:ascii="宋体" w:hAnsi="宋体" w:cs="宋体"/>
                <w:color w:val="auto"/>
                <w:spacing w:val="6"/>
                <w:szCs w:val="21"/>
                <w:highlight w:val="none"/>
              </w:rPr>
              <w:t>完成雇主方函件要求内容，</w:t>
            </w:r>
            <w:r>
              <w:rPr>
                <w:rFonts w:hint="eastAsia" w:ascii="宋体" w:hAnsi="宋体" w:cs="宋体"/>
                <w:color w:val="auto"/>
                <w:spacing w:val="6"/>
                <w:szCs w:val="21"/>
                <w:highlight w:val="none"/>
              </w:rPr>
              <w:t>并向发包人支付违约金</w:t>
            </w:r>
            <w:r>
              <w:rPr>
                <w:rFonts w:ascii="宋体" w:hAnsi="宋体" w:cs="宋体"/>
                <w:color w:val="auto"/>
                <w:spacing w:val="6"/>
                <w:szCs w:val="21"/>
                <w:highlight w:val="none"/>
              </w:rPr>
              <w:t>2</w:t>
            </w:r>
            <w:r>
              <w:rPr>
                <w:rFonts w:hint="eastAsia" w:ascii="宋体" w:hAnsi="宋体" w:cs="宋体"/>
                <w:color w:val="auto"/>
                <w:spacing w:val="6"/>
                <w:szCs w:val="21"/>
                <w:highlight w:val="none"/>
              </w:rPr>
              <w:t>0000元/次，雇主</w:t>
            </w:r>
            <w:r>
              <w:rPr>
                <w:rFonts w:ascii="宋体" w:hAnsi="宋体" w:cs="宋体"/>
                <w:color w:val="auto"/>
                <w:spacing w:val="6"/>
                <w:szCs w:val="21"/>
                <w:highlight w:val="none"/>
              </w:rPr>
              <w:t>视情况严重度，可以要求更换</w:t>
            </w:r>
            <w:r>
              <w:rPr>
                <w:rFonts w:hint="eastAsia" w:ascii="宋体" w:hAnsi="宋体" w:cs="宋体"/>
                <w:color w:val="auto"/>
                <w:spacing w:val="6"/>
                <w:szCs w:val="21"/>
                <w:highlight w:val="none"/>
              </w:rPr>
              <w:t>承包商</w:t>
            </w:r>
            <w:r>
              <w:rPr>
                <w:rFonts w:ascii="宋体" w:hAnsi="宋体" w:cs="宋体"/>
                <w:color w:val="auto"/>
                <w:spacing w:val="6"/>
                <w:szCs w:val="21"/>
                <w:highlight w:val="none"/>
              </w:rPr>
              <w:t>项目经理、执行经理、生产经理、质量负责人，约谈承包商总经理及以上级别领导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1</w:t>
            </w:r>
            <w:r>
              <w:rPr>
                <w:rFonts w:ascii="宋体" w:hAnsi="宋体" w:cs="宋体"/>
                <w:color w:val="auto"/>
                <w:spacing w:val="6"/>
                <w:szCs w:val="21"/>
                <w:highlight w:val="none"/>
              </w:rPr>
              <w:t>8</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现场</w:t>
            </w:r>
            <w:r>
              <w:rPr>
                <w:rFonts w:ascii="宋体" w:hAnsi="宋体" w:cs="宋体"/>
                <w:color w:val="auto"/>
                <w:spacing w:val="6"/>
                <w:szCs w:val="21"/>
                <w:highlight w:val="none"/>
              </w:rPr>
              <w:t>存在</w:t>
            </w:r>
            <w:r>
              <w:rPr>
                <w:rFonts w:hint="eastAsia" w:ascii="宋体" w:hAnsi="宋体" w:cs="宋体"/>
                <w:color w:val="auto"/>
                <w:spacing w:val="6"/>
                <w:szCs w:val="21"/>
                <w:highlight w:val="none"/>
              </w:rPr>
              <w:t>偷工减料，以次充好或</w:t>
            </w:r>
            <w:r>
              <w:rPr>
                <w:rFonts w:ascii="宋体" w:hAnsi="宋体" w:cs="宋体"/>
                <w:color w:val="auto"/>
                <w:spacing w:val="6"/>
                <w:szCs w:val="21"/>
                <w:highlight w:val="none"/>
              </w:rPr>
              <w:t>使用材料不符合发包方</w:t>
            </w:r>
            <w:r>
              <w:rPr>
                <w:rFonts w:hint="eastAsia" w:ascii="宋体" w:hAnsi="宋体" w:cs="宋体"/>
                <w:color w:val="auto"/>
                <w:spacing w:val="6"/>
                <w:szCs w:val="21"/>
                <w:highlight w:val="none"/>
              </w:rPr>
              <w:t>设计</w:t>
            </w:r>
            <w:r>
              <w:rPr>
                <w:rFonts w:ascii="宋体" w:hAnsi="宋体" w:cs="宋体"/>
                <w:color w:val="auto"/>
                <w:spacing w:val="6"/>
                <w:szCs w:val="21"/>
                <w:highlight w:val="none"/>
              </w:rPr>
              <w:t>图纸</w:t>
            </w:r>
            <w:r>
              <w:rPr>
                <w:rFonts w:hint="eastAsia" w:ascii="宋体" w:hAnsi="宋体" w:cs="宋体"/>
                <w:color w:val="auto"/>
                <w:spacing w:val="6"/>
                <w:szCs w:val="21"/>
                <w:highlight w:val="none"/>
              </w:rPr>
              <w:t>或</w:t>
            </w:r>
            <w:r>
              <w:rPr>
                <w:rFonts w:ascii="宋体" w:hAnsi="宋体" w:cs="宋体"/>
                <w:color w:val="auto"/>
                <w:spacing w:val="6"/>
                <w:szCs w:val="21"/>
                <w:highlight w:val="none"/>
              </w:rPr>
              <w:t>合同相关</w:t>
            </w:r>
            <w:r>
              <w:rPr>
                <w:rFonts w:hint="eastAsia" w:ascii="宋体" w:hAnsi="宋体" w:cs="宋体"/>
                <w:color w:val="auto"/>
                <w:spacing w:val="6"/>
                <w:szCs w:val="21"/>
                <w:highlight w:val="none"/>
              </w:rPr>
              <w:t>要求</w:t>
            </w:r>
            <w:r>
              <w:rPr>
                <w:rFonts w:ascii="宋体" w:hAnsi="宋体" w:cs="宋体"/>
                <w:color w:val="auto"/>
                <w:spacing w:val="6"/>
                <w:szCs w:val="21"/>
                <w:highlight w:val="none"/>
              </w:rPr>
              <w:t>的</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责令返工整改，承包人并向发包人支付违约金20000元/次（</w:t>
            </w:r>
            <w:r>
              <w:rPr>
                <w:rFonts w:hint="eastAsia" w:ascii="宋体" w:hAnsi="宋体"/>
                <w:color w:val="auto"/>
                <w:szCs w:val="21"/>
                <w:highlight w:val="none"/>
              </w:rPr>
              <w:t>本条奖罚</w:t>
            </w:r>
            <w:r>
              <w:rPr>
                <w:rFonts w:hint="eastAsia" w:ascii="宋体" w:hAnsi="宋体"/>
                <w:b/>
                <w:color w:val="auto"/>
                <w:szCs w:val="21"/>
                <w:highlight w:val="none"/>
              </w:rPr>
              <w:t>不因其他条款而免责，</w:t>
            </w:r>
            <w:r>
              <w:rPr>
                <w:rFonts w:hint="eastAsia" w:ascii="宋体" w:hAnsi="宋体" w:cs="宋体"/>
                <w:color w:val="auto"/>
                <w:spacing w:val="6"/>
                <w:szCs w:val="21"/>
                <w:highlight w:val="none"/>
              </w:rPr>
              <w:t>可与</w:t>
            </w:r>
            <w:r>
              <w:rPr>
                <w:rFonts w:ascii="宋体" w:hAnsi="宋体" w:cs="宋体"/>
                <w:color w:val="auto"/>
                <w:spacing w:val="6"/>
                <w:szCs w:val="21"/>
                <w:highlight w:val="none"/>
              </w:rPr>
              <w:t>其他处罚条款</w:t>
            </w:r>
            <w:r>
              <w:rPr>
                <w:rFonts w:hint="eastAsia" w:ascii="宋体" w:hAnsi="宋体" w:cs="宋体"/>
                <w:color w:val="auto"/>
                <w:spacing w:val="6"/>
                <w:szCs w:val="21"/>
                <w:highlight w:val="none"/>
              </w:rPr>
              <w:t>奖罚</w:t>
            </w:r>
            <w:r>
              <w:rPr>
                <w:rFonts w:ascii="宋体" w:hAnsi="宋体" w:cs="宋体"/>
                <w:color w:val="auto"/>
                <w:spacing w:val="6"/>
                <w:szCs w:val="21"/>
                <w:highlight w:val="none"/>
              </w:rPr>
              <w:t>重复计算）</w:t>
            </w:r>
            <w:r>
              <w:rPr>
                <w:rFonts w:hint="eastAsia" w:ascii="宋体" w:hAnsi="宋体" w:cs="宋体"/>
                <w:color w:val="auto"/>
                <w:spacing w:val="6"/>
                <w:szCs w:val="21"/>
                <w:highlight w:val="none"/>
              </w:rPr>
              <w:t>。拒不整改的，或</w:t>
            </w:r>
            <w:r>
              <w:rPr>
                <w:rFonts w:ascii="宋体" w:hAnsi="宋体" w:cs="宋体"/>
                <w:color w:val="auto"/>
                <w:spacing w:val="6"/>
                <w:szCs w:val="21"/>
                <w:highlight w:val="none"/>
              </w:rPr>
              <w:t>整改时限超出雇主约定时限，</w:t>
            </w:r>
            <w:r>
              <w:rPr>
                <w:rFonts w:hint="eastAsia" w:ascii="宋体" w:hAnsi="宋体" w:cs="宋体"/>
                <w:color w:val="auto"/>
                <w:spacing w:val="6"/>
                <w:szCs w:val="21"/>
                <w:highlight w:val="none"/>
              </w:rPr>
              <w:t>未整改部分工程不予计量和支付工程款，并</w:t>
            </w:r>
            <w:r>
              <w:rPr>
                <w:rFonts w:ascii="宋体" w:hAnsi="宋体" w:cs="宋体"/>
                <w:color w:val="auto"/>
                <w:spacing w:val="6"/>
                <w:szCs w:val="21"/>
                <w:highlight w:val="none"/>
              </w:rPr>
              <w:t>支付</w:t>
            </w:r>
            <w:r>
              <w:rPr>
                <w:rFonts w:hint="eastAsia" w:ascii="宋体" w:hAnsi="宋体" w:cs="宋体"/>
                <w:color w:val="auto"/>
                <w:spacing w:val="6"/>
                <w:szCs w:val="21"/>
                <w:highlight w:val="none"/>
              </w:rPr>
              <w:t>发包</w:t>
            </w:r>
            <w:r>
              <w:rPr>
                <w:rFonts w:ascii="宋体" w:hAnsi="宋体" w:cs="宋体"/>
                <w:color w:val="auto"/>
                <w:spacing w:val="6"/>
                <w:szCs w:val="21"/>
                <w:highlight w:val="none"/>
              </w:rPr>
              <w:t>人</w:t>
            </w:r>
            <w:r>
              <w:rPr>
                <w:rFonts w:hint="eastAsia" w:ascii="宋体" w:hAnsi="宋体" w:cs="宋体"/>
                <w:color w:val="auto"/>
                <w:spacing w:val="6"/>
                <w:szCs w:val="21"/>
                <w:highlight w:val="none"/>
              </w:rPr>
              <w:t>违约金40000元/次。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color w:val="auto"/>
                <w:spacing w:val="6"/>
                <w:szCs w:val="21"/>
                <w:highlight w:val="none"/>
              </w:rPr>
            </w:pPr>
            <w:r>
              <w:rPr>
                <w:rFonts w:hint="eastAsia" w:ascii="宋体" w:hAnsi="宋体" w:cs="宋体"/>
                <w:color w:val="auto"/>
                <w:spacing w:val="6"/>
                <w:szCs w:val="21"/>
                <w:highlight w:val="none"/>
              </w:rPr>
              <w:t>19</w:t>
            </w:r>
          </w:p>
        </w:tc>
        <w:tc>
          <w:tcPr>
            <w:tcW w:w="4169" w:type="dxa"/>
            <w:tcBorders>
              <w:top w:val="single" w:color="auto" w:sz="4" w:space="0"/>
              <w:left w:val="single" w:color="auto" w:sz="4" w:space="0"/>
              <w:bottom w:val="single" w:color="auto" w:sz="4" w:space="0"/>
              <w:right w:val="single" w:color="auto" w:sz="4" w:space="0"/>
            </w:tcBorders>
            <w:vAlign w:val="center"/>
          </w:tcPr>
          <w:p>
            <w:pPr>
              <w:spacing w:line="360" w:lineRule="exact"/>
              <w:ind w:right="-107" w:rightChars="-51" w:firstLine="195" w:firstLineChars="88"/>
              <w:jc w:val="left"/>
              <w:rPr>
                <w:rFonts w:ascii="宋体" w:hAnsi="宋体" w:cs="宋体"/>
                <w:color w:val="auto"/>
                <w:spacing w:val="6"/>
                <w:szCs w:val="21"/>
                <w:highlight w:val="none"/>
              </w:rPr>
            </w:pPr>
            <w:r>
              <w:rPr>
                <w:rFonts w:hint="eastAsia" w:ascii="宋体" w:hAnsi="宋体" w:cs="宋体"/>
                <w:color w:val="auto"/>
                <w:spacing w:val="6"/>
                <w:szCs w:val="21"/>
                <w:highlight w:val="none"/>
              </w:rPr>
              <w:t>现场</w:t>
            </w:r>
            <w:r>
              <w:rPr>
                <w:rFonts w:ascii="宋体" w:hAnsi="宋体" w:cs="宋体"/>
                <w:color w:val="auto"/>
                <w:spacing w:val="6"/>
                <w:szCs w:val="21"/>
                <w:highlight w:val="none"/>
              </w:rPr>
              <w:t>存在质量问题，不满足</w:t>
            </w:r>
            <w:r>
              <w:rPr>
                <w:rFonts w:hint="eastAsia" w:ascii="宋体" w:hAnsi="宋体" w:cs="宋体"/>
                <w:color w:val="auto"/>
                <w:spacing w:val="6"/>
                <w:szCs w:val="21"/>
                <w:highlight w:val="none"/>
              </w:rPr>
              <w:t>规范</w:t>
            </w:r>
            <w:r>
              <w:rPr>
                <w:rFonts w:ascii="宋体" w:hAnsi="宋体" w:cs="宋体"/>
                <w:color w:val="auto"/>
                <w:spacing w:val="6"/>
                <w:szCs w:val="21"/>
                <w:highlight w:val="none"/>
              </w:rPr>
              <w:t>或发包方质量标准</w:t>
            </w:r>
            <w:r>
              <w:rPr>
                <w:rFonts w:hint="eastAsia" w:ascii="宋体" w:hAnsi="宋体" w:cs="宋体"/>
                <w:color w:val="auto"/>
                <w:spacing w:val="6"/>
                <w:szCs w:val="21"/>
                <w:highlight w:val="none"/>
              </w:rPr>
              <w:t>要求</w:t>
            </w:r>
            <w:r>
              <w:rPr>
                <w:rFonts w:ascii="宋体" w:hAnsi="宋体" w:cs="宋体"/>
                <w:color w:val="auto"/>
                <w:spacing w:val="6"/>
                <w:szCs w:val="21"/>
                <w:highlight w:val="none"/>
              </w:rPr>
              <w:t>的</w:t>
            </w:r>
          </w:p>
        </w:tc>
        <w:tc>
          <w:tcPr>
            <w:tcW w:w="4248" w:type="dxa"/>
            <w:tcBorders>
              <w:top w:val="single" w:color="auto" w:sz="4" w:space="0"/>
              <w:left w:val="single" w:color="auto" w:sz="4" w:space="0"/>
              <w:bottom w:val="single" w:color="auto" w:sz="4" w:space="0"/>
              <w:right w:val="single" w:color="auto" w:sz="4" w:space="0"/>
            </w:tcBorders>
            <w:vAlign w:val="center"/>
          </w:tcPr>
          <w:p>
            <w:pPr>
              <w:spacing w:line="360" w:lineRule="exact"/>
              <w:ind w:right="71" w:rightChars="34"/>
              <w:jc w:val="left"/>
              <w:rPr>
                <w:rFonts w:ascii="宋体" w:hAnsi="宋体" w:cs="宋体"/>
                <w:color w:val="auto"/>
                <w:spacing w:val="6"/>
                <w:szCs w:val="21"/>
                <w:highlight w:val="none"/>
              </w:rPr>
            </w:pPr>
            <w:r>
              <w:rPr>
                <w:rFonts w:hint="eastAsia" w:ascii="宋体" w:hAnsi="宋体" w:cs="宋体"/>
                <w:color w:val="auto"/>
                <w:spacing w:val="6"/>
                <w:szCs w:val="21"/>
                <w:highlight w:val="none"/>
              </w:rPr>
              <w:t>责令限期整改，并向发包人支付违约金1000～2000元/次、</w:t>
            </w:r>
            <w:r>
              <w:rPr>
                <w:rFonts w:ascii="宋体" w:hAnsi="宋体" w:cs="宋体"/>
                <w:color w:val="auto"/>
                <w:spacing w:val="6"/>
                <w:szCs w:val="21"/>
                <w:highlight w:val="none"/>
              </w:rPr>
              <w:t>处</w:t>
            </w:r>
            <w:r>
              <w:rPr>
                <w:rFonts w:hint="eastAsia" w:ascii="宋体" w:hAnsi="宋体" w:cs="宋体"/>
                <w:color w:val="auto"/>
                <w:spacing w:val="6"/>
                <w:szCs w:val="21"/>
                <w:highlight w:val="none"/>
              </w:rPr>
              <w:t>（累计</w:t>
            </w:r>
            <w:r>
              <w:rPr>
                <w:rFonts w:ascii="宋体" w:hAnsi="宋体" w:cs="宋体"/>
                <w:color w:val="auto"/>
                <w:spacing w:val="6"/>
                <w:szCs w:val="21"/>
                <w:highlight w:val="none"/>
              </w:rPr>
              <w:t>处罚</w:t>
            </w:r>
            <w:r>
              <w:rPr>
                <w:rFonts w:hint="eastAsia" w:ascii="宋体" w:hAnsi="宋体" w:cs="宋体"/>
                <w:color w:val="auto"/>
                <w:spacing w:val="6"/>
                <w:szCs w:val="21"/>
                <w:highlight w:val="none"/>
              </w:rPr>
              <w:t>）。</w:t>
            </w:r>
          </w:p>
        </w:tc>
      </w:tr>
    </w:tbl>
    <w:p>
      <w:pPr>
        <w:adjustRightInd w:val="0"/>
        <w:snapToGrid w:val="0"/>
        <w:spacing w:beforeLines="50" w:afterLines="50"/>
        <w:rPr>
          <w:rFonts w:ascii="仿宋" w:hAnsi="仿宋" w:eastAsia="仿宋"/>
          <w:color w:val="auto"/>
          <w:sz w:val="24"/>
          <w:highlight w:val="none"/>
        </w:rPr>
      </w:pPr>
    </w:p>
    <w:p>
      <w:pPr>
        <w:spacing w:before="156" w:line="360" w:lineRule="auto"/>
        <w:ind w:firstLine="420"/>
        <w:jc w:val="center"/>
        <w:rPr>
          <w:rFonts w:ascii="宋体" w:hAnsi="宋体" w:cs="宋体"/>
          <w:color w:val="auto"/>
          <w:kern w:val="0"/>
          <w:szCs w:val="21"/>
          <w:highlight w:val="none"/>
          <w:lang w:val="zh-CN"/>
        </w:rPr>
      </w:pPr>
      <w:r>
        <w:rPr>
          <w:rFonts w:hint="eastAsia" w:ascii="宋体" w:hAnsi="宋体" w:cs="宋体"/>
          <w:color w:val="auto"/>
          <w:kern w:val="0"/>
          <w:szCs w:val="21"/>
          <w:highlight w:val="none"/>
          <w:lang w:val="zh-CN"/>
        </w:rPr>
        <w:t>进度处罚实施明细</w:t>
      </w:r>
      <w:r>
        <w:rPr>
          <w:rFonts w:hint="eastAsia" w:ascii="宋体" w:hAnsi="宋体" w:cs="宋体"/>
          <w:color w:val="auto"/>
          <w:szCs w:val="21"/>
          <w:highlight w:val="none"/>
        </w:rPr>
        <w:t>表</w:t>
      </w:r>
    </w:p>
    <w:tbl>
      <w:tblPr>
        <w:tblStyle w:val="45"/>
        <w:tblW w:w="866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1"/>
        <w:gridCol w:w="3686"/>
        <w:gridCol w:w="42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9" w:type="dxa"/>
            <w:vAlign w:val="center"/>
          </w:tcPr>
          <w:p>
            <w:pPr>
              <w:spacing w:before="156" w:line="360" w:lineRule="auto"/>
              <w:rPr>
                <w:rFonts w:ascii="宋体" w:hAnsi="宋体"/>
                <w:b/>
                <w:color w:val="auto"/>
                <w:spacing w:val="6"/>
                <w:szCs w:val="21"/>
                <w:highlight w:val="none"/>
              </w:rPr>
            </w:pPr>
            <w:r>
              <w:rPr>
                <w:rFonts w:hint="eastAsia" w:ascii="宋体" w:hAnsi="宋体"/>
                <w:b/>
                <w:color w:val="auto"/>
                <w:spacing w:val="6"/>
                <w:szCs w:val="21"/>
                <w:highlight w:val="none"/>
              </w:rPr>
              <w:t>序号</w:t>
            </w:r>
          </w:p>
        </w:tc>
        <w:tc>
          <w:tcPr>
            <w:tcW w:w="3702" w:type="dxa"/>
          </w:tcPr>
          <w:p>
            <w:pPr>
              <w:spacing w:before="156" w:line="360" w:lineRule="auto"/>
              <w:ind w:right="-107" w:rightChars="-51" w:firstLine="196" w:firstLineChars="88"/>
              <w:jc w:val="center"/>
              <w:rPr>
                <w:rFonts w:ascii="宋体" w:hAnsi="宋体"/>
                <w:b/>
                <w:color w:val="auto"/>
                <w:spacing w:val="6"/>
                <w:szCs w:val="21"/>
                <w:highlight w:val="none"/>
              </w:rPr>
            </w:pPr>
            <w:r>
              <w:rPr>
                <w:rFonts w:hint="eastAsia" w:ascii="宋体" w:hAnsi="宋体"/>
                <w:b/>
                <w:color w:val="auto"/>
                <w:spacing w:val="6"/>
                <w:szCs w:val="21"/>
                <w:highlight w:val="none"/>
              </w:rPr>
              <w:t>进度管理内容</w:t>
            </w:r>
          </w:p>
        </w:tc>
        <w:tc>
          <w:tcPr>
            <w:tcW w:w="4225" w:type="dxa"/>
          </w:tcPr>
          <w:p>
            <w:pPr>
              <w:spacing w:before="156" w:line="360" w:lineRule="auto"/>
              <w:ind w:right="71" w:rightChars="34" w:firstLine="267" w:firstLineChars="120"/>
              <w:jc w:val="center"/>
              <w:rPr>
                <w:rFonts w:ascii="宋体" w:hAnsi="宋体"/>
                <w:b/>
                <w:color w:val="auto"/>
                <w:spacing w:val="6"/>
                <w:szCs w:val="21"/>
                <w:highlight w:val="none"/>
              </w:rPr>
            </w:pPr>
            <w:r>
              <w:rPr>
                <w:rFonts w:hint="eastAsia" w:ascii="宋体" w:hAnsi="宋体"/>
                <w:b/>
                <w:color w:val="auto"/>
                <w:spacing w:val="6"/>
                <w:szCs w:val="21"/>
                <w:highlight w:val="none"/>
              </w:rPr>
              <w:t>管理方式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9" w:type="dxa"/>
            <w:vAlign w:val="center"/>
          </w:tcPr>
          <w:p>
            <w:pPr>
              <w:spacing w:before="156" w:line="360" w:lineRule="auto"/>
              <w:ind w:firstLine="444"/>
              <w:jc w:val="center"/>
              <w:rPr>
                <w:rFonts w:ascii="宋体" w:hAnsi="宋体"/>
                <w:color w:val="auto"/>
                <w:spacing w:val="6"/>
                <w:szCs w:val="21"/>
                <w:highlight w:val="none"/>
              </w:rPr>
            </w:pPr>
            <w:r>
              <w:rPr>
                <w:rFonts w:ascii="宋体" w:hAnsi="宋体"/>
                <w:color w:val="auto"/>
                <w:spacing w:val="6"/>
                <w:szCs w:val="21"/>
                <w:highlight w:val="none"/>
              </w:rPr>
              <w:t>1</w:t>
            </w:r>
          </w:p>
        </w:tc>
        <w:tc>
          <w:tcPr>
            <w:tcW w:w="3702" w:type="dxa"/>
          </w:tcPr>
          <w:p>
            <w:pPr>
              <w:spacing w:before="156" w:line="360" w:lineRule="auto"/>
              <w:ind w:right="-107" w:rightChars="-51" w:firstLine="195" w:firstLineChars="88"/>
              <w:rPr>
                <w:rFonts w:ascii="宋体" w:hAnsi="宋体"/>
                <w:color w:val="auto"/>
                <w:spacing w:val="6"/>
                <w:szCs w:val="21"/>
                <w:highlight w:val="none"/>
              </w:rPr>
            </w:pPr>
            <w:r>
              <w:rPr>
                <w:rFonts w:hint="eastAsia" w:ascii="宋体" w:hAnsi="宋体"/>
                <w:color w:val="auto"/>
                <w:spacing w:val="6"/>
                <w:szCs w:val="21"/>
                <w:highlight w:val="none"/>
              </w:rPr>
              <w:t>未按时提交周、月度、总进度统计报表和未对计划及时修正调整的。</w:t>
            </w:r>
          </w:p>
        </w:tc>
        <w:tc>
          <w:tcPr>
            <w:tcW w:w="4225" w:type="dxa"/>
          </w:tcPr>
          <w:p>
            <w:pPr>
              <w:spacing w:before="156" w:line="360" w:lineRule="auto"/>
              <w:ind w:right="71" w:rightChars="34" w:firstLine="266" w:firstLineChars="120"/>
              <w:rPr>
                <w:rFonts w:ascii="宋体" w:hAnsi="宋体"/>
                <w:color w:val="auto"/>
                <w:spacing w:val="6"/>
                <w:szCs w:val="21"/>
                <w:highlight w:val="none"/>
              </w:rPr>
            </w:pPr>
            <w:r>
              <w:rPr>
                <w:rFonts w:hint="eastAsia" w:ascii="宋体" w:hAnsi="宋体"/>
                <w:color w:val="auto"/>
                <w:spacing w:val="6"/>
                <w:szCs w:val="21"/>
                <w:highlight w:val="none"/>
              </w:rPr>
              <w:t>责令改正，承包商并向雇主支付违约金</w:t>
            </w:r>
            <w:r>
              <w:rPr>
                <w:rFonts w:ascii="宋体" w:hAnsi="宋体"/>
                <w:color w:val="auto"/>
                <w:spacing w:val="6"/>
                <w:szCs w:val="21"/>
                <w:highlight w:val="none"/>
              </w:rPr>
              <w:t>2000</w:t>
            </w:r>
            <w:r>
              <w:rPr>
                <w:rFonts w:hint="eastAsia" w:ascii="宋体" w:hAnsi="宋体"/>
                <w:color w:val="auto"/>
                <w:spacing w:val="6"/>
                <w:szCs w:val="21"/>
                <w:highlight w:val="none"/>
              </w:rPr>
              <w:t>元</w:t>
            </w:r>
            <w:r>
              <w:rPr>
                <w:rFonts w:ascii="宋体" w:hAnsi="宋体"/>
                <w:color w:val="auto"/>
                <w:spacing w:val="6"/>
                <w:szCs w:val="21"/>
                <w:highlight w:val="none"/>
              </w:rPr>
              <w:t>/</w:t>
            </w:r>
            <w:r>
              <w:rPr>
                <w:rFonts w:hint="eastAsia" w:ascii="宋体" w:hAnsi="宋体"/>
                <w:color w:val="auto"/>
                <w:spacing w:val="6"/>
                <w:szCs w:val="21"/>
                <w:highlight w:val="none"/>
              </w:rPr>
              <w:t>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9" w:type="dxa"/>
            <w:vAlign w:val="center"/>
          </w:tcPr>
          <w:p>
            <w:pPr>
              <w:spacing w:before="156" w:line="360" w:lineRule="auto"/>
              <w:ind w:firstLine="444"/>
              <w:jc w:val="center"/>
              <w:rPr>
                <w:rFonts w:ascii="宋体" w:hAnsi="宋体" w:cs="宋体"/>
                <w:color w:val="auto"/>
                <w:spacing w:val="6"/>
                <w:szCs w:val="21"/>
                <w:highlight w:val="none"/>
              </w:rPr>
            </w:pPr>
            <w:r>
              <w:rPr>
                <w:rFonts w:hint="eastAsia" w:ascii="宋体" w:hAnsi="宋体" w:cs="宋体"/>
                <w:color w:val="auto"/>
                <w:spacing w:val="6"/>
                <w:szCs w:val="21"/>
                <w:highlight w:val="none"/>
              </w:rPr>
              <w:t>2</w:t>
            </w:r>
          </w:p>
        </w:tc>
        <w:tc>
          <w:tcPr>
            <w:tcW w:w="3702" w:type="dxa"/>
          </w:tcPr>
          <w:p>
            <w:pPr>
              <w:spacing w:before="156" w:line="360" w:lineRule="auto"/>
              <w:ind w:right="-107" w:rightChars="-51" w:firstLine="195" w:firstLineChars="88"/>
              <w:rPr>
                <w:rFonts w:ascii="宋体" w:hAnsi="宋体" w:cs="宋体"/>
                <w:color w:val="auto"/>
                <w:spacing w:val="6"/>
                <w:szCs w:val="21"/>
                <w:highlight w:val="none"/>
              </w:rPr>
            </w:pPr>
            <w:r>
              <w:rPr>
                <w:rFonts w:hint="eastAsia" w:ascii="宋体" w:hAnsi="宋体" w:cs="宋体"/>
                <w:color w:val="auto"/>
                <w:spacing w:val="6"/>
                <w:szCs w:val="21"/>
                <w:highlight w:val="none"/>
              </w:rPr>
              <w:t>未按雇主、监理审批的周、月进、总度计划完成施工任务。</w:t>
            </w:r>
          </w:p>
        </w:tc>
        <w:tc>
          <w:tcPr>
            <w:tcW w:w="4225" w:type="dxa"/>
          </w:tcPr>
          <w:p>
            <w:pPr>
              <w:spacing w:before="156" w:line="360" w:lineRule="auto"/>
              <w:ind w:right="71" w:rightChars="34" w:firstLine="266" w:firstLineChars="120"/>
              <w:rPr>
                <w:rFonts w:ascii="宋体" w:hAnsi="宋体" w:cs="宋体"/>
                <w:color w:val="auto"/>
                <w:spacing w:val="6"/>
                <w:szCs w:val="21"/>
                <w:highlight w:val="none"/>
              </w:rPr>
            </w:pPr>
            <w:r>
              <w:rPr>
                <w:rFonts w:hint="eastAsia" w:ascii="宋体" w:hAnsi="宋体" w:cs="宋体"/>
                <w:color w:val="auto"/>
                <w:spacing w:val="6"/>
                <w:szCs w:val="21"/>
                <w:highlight w:val="none"/>
              </w:rPr>
              <w:t>每项滞后一天，承包商并向雇主支付违约金2000元/项次（节点工期另外处罚）。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9" w:type="dxa"/>
            <w:vAlign w:val="center"/>
          </w:tcPr>
          <w:p>
            <w:pPr>
              <w:spacing w:before="156" w:line="360" w:lineRule="auto"/>
              <w:ind w:firstLine="444"/>
              <w:jc w:val="center"/>
              <w:rPr>
                <w:rFonts w:ascii="宋体" w:hAnsi="宋体" w:cs="宋体"/>
                <w:color w:val="auto"/>
                <w:spacing w:val="6"/>
                <w:szCs w:val="21"/>
                <w:highlight w:val="none"/>
              </w:rPr>
            </w:pPr>
            <w:r>
              <w:rPr>
                <w:rFonts w:hint="eastAsia" w:ascii="宋体" w:hAnsi="宋体" w:cs="宋体"/>
                <w:color w:val="auto"/>
                <w:spacing w:val="6"/>
                <w:szCs w:val="21"/>
                <w:highlight w:val="none"/>
              </w:rPr>
              <w:t>3</w:t>
            </w:r>
          </w:p>
        </w:tc>
        <w:tc>
          <w:tcPr>
            <w:tcW w:w="3702" w:type="dxa"/>
          </w:tcPr>
          <w:p>
            <w:pPr>
              <w:spacing w:before="156" w:line="360" w:lineRule="auto"/>
              <w:ind w:right="-107" w:rightChars="-51" w:firstLine="195" w:firstLineChars="88"/>
              <w:rPr>
                <w:rFonts w:ascii="宋体" w:hAnsi="宋体" w:cs="宋体"/>
                <w:color w:val="auto"/>
                <w:spacing w:val="6"/>
                <w:szCs w:val="21"/>
                <w:highlight w:val="none"/>
              </w:rPr>
            </w:pPr>
            <w:r>
              <w:rPr>
                <w:rFonts w:hint="eastAsia" w:ascii="宋体" w:hAnsi="宋体" w:cs="宋体"/>
                <w:color w:val="auto"/>
                <w:spacing w:val="6"/>
                <w:szCs w:val="21"/>
                <w:highlight w:val="none"/>
              </w:rPr>
              <w:t>未按雇主要求向分包单位提供合格作业面或场地</w:t>
            </w:r>
          </w:p>
        </w:tc>
        <w:tc>
          <w:tcPr>
            <w:tcW w:w="4225" w:type="dxa"/>
          </w:tcPr>
          <w:p>
            <w:pPr>
              <w:spacing w:before="156" w:line="360" w:lineRule="auto"/>
              <w:ind w:right="71" w:rightChars="34" w:firstLine="266" w:firstLineChars="120"/>
              <w:rPr>
                <w:rFonts w:ascii="宋体" w:hAnsi="宋体" w:cs="宋体"/>
                <w:color w:val="auto"/>
                <w:spacing w:val="6"/>
                <w:szCs w:val="21"/>
                <w:highlight w:val="none"/>
              </w:rPr>
            </w:pPr>
            <w:r>
              <w:rPr>
                <w:rFonts w:hint="eastAsia" w:ascii="宋体" w:hAnsi="宋体" w:cs="宋体"/>
                <w:color w:val="auto"/>
                <w:spacing w:val="6"/>
                <w:szCs w:val="21"/>
                <w:highlight w:val="none"/>
              </w:rPr>
              <w:t>每项滞后一天，承包商并向雇主支付违约金2000元~10000元/处（节点工期另外处罚，总包对分包单位的节点工期负连带责任）。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9" w:type="dxa"/>
            <w:vAlign w:val="center"/>
          </w:tcPr>
          <w:p>
            <w:pPr>
              <w:spacing w:before="156" w:line="360" w:lineRule="auto"/>
              <w:ind w:firstLine="444"/>
              <w:jc w:val="center"/>
              <w:rPr>
                <w:rFonts w:ascii="宋体" w:hAnsi="宋体" w:cs="宋体"/>
                <w:color w:val="auto"/>
                <w:spacing w:val="6"/>
                <w:szCs w:val="21"/>
                <w:highlight w:val="none"/>
              </w:rPr>
            </w:pPr>
            <w:r>
              <w:rPr>
                <w:rFonts w:hint="eastAsia" w:ascii="宋体" w:hAnsi="宋体" w:cs="宋体"/>
                <w:color w:val="auto"/>
                <w:spacing w:val="6"/>
                <w:szCs w:val="21"/>
                <w:highlight w:val="none"/>
              </w:rPr>
              <w:t>4</w:t>
            </w:r>
          </w:p>
        </w:tc>
        <w:tc>
          <w:tcPr>
            <w:tcW w:w="3702" w:type="dxa"/>
          </w:tcPr>
          <w:p>
            <w:pPr>
              <w:spacing w:before="156" w:line="360" w:lineRule="auto"/>
              <w:ind w:right="-107" w:rightChars="-51" w:firstLine="195" w:firstLineChars="88"/>
              <w:rPr>
                <w:rFonts w:ascii="宋体" w:hAnsi="宋体" w:cs="宋体"/>
                <w:color w:val="auto"/>
                <w:spacing w:val="6"/>
                <w:szCs w:val="21"/>
                <w:highlight w:val="none"/>
              </w:rPr>
            </w:pPr>
            <w:r>
              <w:rPr>
                <w:rFonts w:hint="eastAsia" w:ascii="宋体" w:hAnsi="宋体" w:cs="宋体"/>
                <w:color w:val="auto"/>
                <w:spacing w:val="6"/>
                <w:szCs w:val="21"/>
                <w:highlight w:val="none"/>
              </w:rPr>
              <w:t>未按雇主、监理下发工作联系函要求时间点完成施工任务。</w:t>
            </w:r>
          </w:p>
        </w:tc>
        <w:tc>
          <w:tcPr>
            <w:tcW w:w="4225" w:type="dxa"/>
          </w:tcPr>
          <w:p>
            <w:pPr>
              <w:spacing w:before="156" w:line="360" w:lineRule="auto"/>
              <w:ind w:right="71" w:rightChars="34" w:firstLine="266" w:firstLineChars="120"/>
              <w:rPr>
                <w:rFonts w:ascii="宋体" w:hAnsi="宋体" w:cs="宋体"/>
                <w:color w:val="auto"/>
                <w:spacing w:val="6"/>
                <w:szCs w:val="21"/>
                <w:highlight w:val="none"/>
              </w:rPr>
            </w:pPr>
            <w:r>
              <w:rPr>
                <w:rFonts w:hint="eastAsia" w:ascii="宋体" w:hAnsi="宋体" w:cs="宋体"/>
                <w:color w:val="auto"/>
                <w:spacing w:val="6"/>
                <w:szCs w:val="21"/>
                <w:highlight w:val="none"/>
              </w:rPr>
              <w:t>每项滞后一天，承包商并向雇主支付违约金2000元~10000元/处（节点工期另外处罚，总包对分包单位的节点工期负连带责任）。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9" w:type="dxa"/>
            <w:vAlign w:val="center"/>
          </w:tcPr>
          <w:p>
            <w:pPr>
              <w:spacing w:before="156" w:line="360" w:lineRule="auto"/>
              <w:ind w:firstLine="444"/>
              <w:jc w:val="center"/>
              <w:rPr>
                <w:rFonts w:ascii="宋体" w:hAnsi="宋体" w:cs="宋体"/>
                <w:color w:val="auto"/>
                <w:spacing w:val="6"/>
                <w:szCs w:val="21"/>
                <w:highlight w:val="none"/>
              </w:rPr>
            </w:pPr>
            <w:r>
              <w:rPr>
                <w:rFonts w:hint="eastAsia" w:ascii="宋体" w:hAnsi="宋体" w:cs="宋体"/>
                <w:color w:val="auto"/>
                <w:spacing w:val="6"/>
                <w:szCs w:val="21"/>
                <w:highlight w:val="none"/>
              </w:rPr>
              <w:t>5</w:t>
            </w:r>
          </w:p>
        </w:tc>
        <w:tc>
          <w:tcPr>
            <w:tcW w:w="3702" w:type="dxa"/>
          </w:tcPr>
          <w:p>
            <w:pPr>
              <w:spacing w:before="156" w:line="360" w:lineRule="auto"/>
              <w:ind w:right="-107" w:rightChars="-51" w:firstLine="195" w:firstLineChars="88"/>
              <w:rPr>
                <w:rFonts w:ascii="宋体" w:hAnsi="宋体" w:cs="宋体"/>
                <w:color w:val="auto"/>
                <w:spacing w:val="6"/>
                <w:szCs w:val="21"/>
                <w:highlight w:val="none"/>
              </w:rPr>
            </w:pPr>
            <w:r>
              <w:rPr>
                <w:rFonts w:hint="eastAsia" w:ascii="宋体" w:hAnsi="宋体" w:cs="宋体"/>
                <w:color w:val="auto"/>
                <w:spacing w:val="6"/>
                <w:szCs w:val="21"/>
                <w:highlight w:val="none"/>
              </w:rPr>
              <w:t>未按各类现场监理例会、专项协调会、进度专题会等会议要求时间点完成施工任务。</w:t>
            </w:r>
          </w:p>
        </w:tc>
        <w:tc>
          <w:tcPr>
            <w:tcW w:w="4225" w:type="dxa"/>
          </w:tcPr>
          <w:p>
            <w:pPr>
              <w:spacing w:before="156" w:line="360" w:lineRule="auto"/>
              <w:ind w:right="71" w:rightChars="34" w:firstLine="266" w:firstLineChars="120"/>
              <w:rPr>
                <w:rFonts w:ascii="宋体" w:hAnsi="宋体" w:cs="宋体"/>
                <w:color w:val="auto"/>
                <w:spacing w:val="6"/>
                <w:szCs w:val="21"/>
                <w:highlight w:val="none"/>
              </w:rPr>
            </w:pPr>
            <w:r>
              <w:rPr>
                <w:rFonts w:hint="eastAsia" w:ascii="宋体" w:hAnsi="宋体" w:cs="宋体"/>
                <w:color w:val="auto"/>
                <w:spacing w:val="6"/>
                <w:szCs w:val="21"/>
                <w:highlight w:val="none"/>
              </w:rPr>
              <w:t>每项滞后一天，承包商并向雇主支付违约金2000元~10000元/处（节点工期另外处罚，总包对分包单位的节点工期负连带责任）。</w:t>
            </w:r>
          </w:p>
        </w:tc>
      </w:tr>
    </w:tbl>
    <w:p>
      <w:pPr>
        <w:rPr>
          <w:color w:val="auto"/>
          <w:highlight w:val="none"/>
        </w:rPr>
      </w:pPr>
    </w:p>
    <w:p>
      <w:pPr>
        <w:pStyle w:val="31"/>
        <w:numPr>
          <w:ilvl w:val="0"/>
          <w:numId w:val="7"/>
        </w:numPr>
        <w:spacing w:line="360" w:lineRule="auto"/>
        <w:rPr>
          <w:rFonts w:ascii="宋体" w:hAnsi="宋体"/>
          <w:color w:val="auto"/>
          <w:highlight w:val="none"/>
        </w:rPr>
      </w:pPr>
      <w:r>
        <w:rPr>
          <w:color w:val="auto"/>
          <w:highlight w:val="none"/>
        </w:rPr>
        <w:drawing>
          <wp:inline distT="0" distB="0" distL="0" distR="0">
            <wp:extent cx="5920740" cy="8170545"/>
            <wp:effectExtent l="0" t="0" r="3810" b="1905"/>
            <wp:docPr id="6" name="图片 6" descr="C:\Users\ADMINI~1\AppData\Local\Temp\ksohtml15212\wp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1\AppData\Local\Temp\ksohtml15212\wps1.png"/>
                    <pic:cNvPicPr>
                      <a:picLocks noChangeAspect="1" noChangeArrowheads="1"/>
                    </pic:cNvPicPr>
                  </pic:nvPicPr>
                  <pic:blipFill>
                    <a:blip r:embed="rId21" cstate="print"/>
                    <a:srcRect/>
                    <a:stretch>
                      <a:fillRect/>
                    </a:stretch>
                  </pic:blipFill>
                  <pic:spPr>
                    <a:xfrm>
                      <a:off x="0" y="0"/>
                      <a:ext cx="5918107" cy="8167012"/>
                    </a:xfrm>
                    <a:prstGeom prst="rect">
                      <a:avLst/>
                    </a:prstGeom>
                    <a:noFill/>
                    <a:ln w="9525">
                      <a:noFill/>
                      <a:miter lim="800000"/>
                      <a:headEnd/>
                      <a:tailEnd/>
                    </a:ln>
                  </pic:spPr>
                </pic:pic>
              </a:graphicData>
            </a:graphic>
          </wp:inline>
        </w:drawing>
      </w:r>
      <w:r>
        <w:rPr>
          <w:color w:val="auto"/>
          <w:highlight w:val="none"/>
        </w:rPr>
        <w:drawing>
          <wp:inline distT="0" distB="0" distL="0" distR="0">
            <wp:extent cx="5968365" cy="8236585"/>
            <wp:effectExtent l="0" t="0" r="13335" b="12065"/>
            <wp:docPr id="7" name="图片 7" descr="C:\Users\ADMINI~1\AppData\Local\Temp\ksohtml15212\wp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ADMINI~1\AppData\Local\Temp\ksohtml15212\wps2.png"/>
                    <pic:cNvPicPr>
                      <a:picLocks noChangeAspect="1" noChangeArrowheads="1"/>
                    </pic:cNvPicPr>
                  </pic:nvPicPr>
                  <pic:blipFill>
                    <a:blip r:embed="rId22" cstate="print"/>
                    <a:srcRect/>
                    <a:stretch>
                      <a:fillRect/>
                    </a:stretch>
                  </pic:blipFill>
                  <pic:spPr>
                    <a:xfrm>
                      <a:off x="0" y="0"/>
                      <a:ext cx="5965791" cy="8232817"/>
                    </a:xfrm>
                    <a:prstGeom prst="rect">
                      <a:avLst/>
                    </a:prstGeom>
                    <a:noFill/>
                    <a:ln w="9525">
                      <a:noFill/>
                      <a:miter lim="800000"/>
                      <a:headEnd/>
                      <a:tailEnd/>
                    </a:ln>
                  </pic:spPr>
                </pic:pic>
              </a:graphicData>
            </a:graphic>
          </wp:inline>
        </w:drawing>
      </w:r>
    </w:p>
    <w:bookmarkEnd w:id="364"/>
    <w:bookmarkEnd w:id="365"/>
    <w:bookmarkEnd w:id="366"/>
    <w:bookmarkEnd w:id="367"/>
    <w:p>
      <w:pPr>
        <w:pStyle w:val="3"/>
        <w:spacing w:before="0" w:after="0" w:line="360" w:lineRule="auto"/>
        <w:jc w:val="center"/>
        <w:rPr>
          <w:rFonts w:hint="eastAsia" w:ascii="宋体" w:hAnsi="宋体"/>
          <w:color w:val="auto"/>
          <w:highlight w:val="none"/>
        </w:rPr>
      </w:pPr>
    </w:p>
    <w:p>
      <w:pPr>
        <w:pStyle w:val="3"/>
        <w:spacing w:before="0" w:after="0" w:line="360" w:lineRule="auto"/>
        <w:jc w:val="center"/>
        <w:rPr>
          <w:rFonts w:ascii="宋体" w:hAnsi="宋体"/>
          <w:color w:val="auto"/>
          <w:highlight w:val="none"/>
        </w:rPr>
      </w:pPr>
      <w:bookmarkStart w:id="924" w:name="_Toc12623"/>
      <w:r>
        <w:rPr>
          <w:rFonts w:hint="eastAsia" w:ascii="宋体" w:hAnsi="宋体"/>
          <w:color w:val="auto"/>
          <w:highlight w:val="none"/>
        </w:rPr>
        <w:t>第五章  工程量清单</w:t>
      </w:r>
      <w:bookmarkEnd w:id="354"/>
      <w:bookmarkEnd w:id="355"/>
      <w:bookmarkEnd w:id="356"/>
      <w:bookmarkEnd w:id="357"/>
      <w:bookmarkEnd w:id="358"/>
      <w:bookmarkEnd w:id="359"/>
      <w:bookmarkEnd w:id="924"/>
      <w:bookmarkStart w:id="925" w:name="招标文件05章工程量清单01"/>
      <w:bookmarkEnd w:id="925"/>
      <w:bookmarkStart w:id="926" w:name="_Toc430530514"/>
      <w:bookmarkStart w:id="927" w:name="_Toc287620798"/>
      <w:bookmarkStart w:id="928" w:name="_Toc287607856"/>
      <w:bookmarkStart w:id="929" w:name="_Toc224103477"/>
      <w:bookmarkStart w:id="930" w:name="_Toc277082638"/>
    </w:p>
    <w:bookmarkEnd w:id="926"/>
    <w:bookmarkEnd w:id="927"/>
    <w:bookmarkEnd w:id="928"/>
    <w:bookmarkEnd w:id="929"/>
    <w:bookmarkEnd w:id="930"/>
    <w:p>
      <w:pPr>
        <w:snapToGrid w:val="0"/>
        <w:spacing w:line="360" w:lineRule="auto"/>
        <w:jc w:val="center"/>
        <w:rPr>
          <w:rFonts w:ascii="宋体" w:hAnsi="宋体"/>
          <w:color w:val="auto"/>
          <w:sz w:val="24"/>
          <w:highlight w:val="none"/>
        </w:rPr>
      </w:pPr>
    </w:p>
    <w:p>
      <w:pPr>
        <w:snapToGrid w:val="0"/>
        <w:spacing w:line="360" w:lineRule="auto"/>
        <w:jc w:val="center"/>
        <w:rPr>
          <w:rFonts w:ascii="宋体" w:hAnsi="宋体"/>
          <w:color w:val="auto"/>
          <w:szCs w:val="21"/>
          <w:highlight w:val="none"/>
        </w:rPr>
      </w:pPr>
      <w:r>
        <w:rPr>
          <w:rFonts w:hint="eastAsia" w:ascii="宋体" w:hAnsi="宋体"/>
          <w:color w:val="auto"/>
          <w:szCs w:val="20"/>
          <w:highlight w:val="none"/>
          <w:lang w:val="en-US" w:eastAsia="zh-CN"/>
        </w:rPr>
        <w:t>同招标文件一并发布</w:t>
      </w:r>
      <w:r>
        <w:rPr>
          <w:rFonts w:hint="eastAsia" w:ascii="宋体" w:hAnsi="宋体"/>
          <w:color w:val="auto"/>
          <w:szCs w:val="20"/>
          <w:highlight w:val="none"/>
        </w:rPr>
        <w:t>。</w:t>
      </w:r>
    </w:p>
    <w:p>
      <w:pPr>
        <w:ind w:right="561"/>
        <w:rPr>
          <w:rFonts w:ascii="宋体" w:hAnsi="宋体"/>
          <w:color w:val="auto"/>
          <w:szCs w:val="21"/>
          <w:highlight w:val="none"/>
        </w:rPr>
      </w:pPr>
      <w:r>
        <w:rPr>
          <w:rFonts w:ascii="宋体" w:hAnsi="宋体"/>
          <w:color w:val="auto"/>
          <w:sz w:val="24"/>
          <w:highlight w:val="none"/>
        </w:rPr>
        <w:br w:type="page"/>
      </w:r>
    </w:p>
    <w:p>
      <w:pPr>
        <w:pStyle w:val="3"/>
        <w:spacing w:before="0" w:after="0" w:line="360" w:lineRule="auto"/>
        <w:jc w:val="center"/>
        <w:rPr>
          <w:rFonts w:ascii="宋体" w:hAnsi="宋体"/>
          <w:color w:val="auto"/>
          <w:sz w:val="52"/>
          <w:szCs w:val="52"/>
          <w:highlight w:val="none"/>
        </w:rPr>
      </w:pPr>
      <w:bookmarkStart w:id="931" w:name="_Toc509218844"/>
      <w:bookmarkStart w:id="932" w:name="_Toc534185823"/>
      <w:bookmarkStart w:id="933" w:name="_Toc20131"/>
      <w:bookmarkStart w:id="934" w:name="_Toc13474"/>
      <w:r>
        <w:rPr>
          <w:rFonts w:ascii="宋体" w:hAnsi="宋体"/>
          <w:color w:val="auto"/>
          <w:sz w:val="52"/>
          <w:szCs w:val="52"/>
          <w:highlight w:val="none"/>
        </w:rPr>
        <w:t>第 二 卷</w:t>
      </w:r>
      <w:bookmarkEnd w:id="931"/>
      <w:bookmarkEnd w:id="932"/>
      <w:bookmarkEnd w:id="933"/>
      <w:bookmarkEnd w:id="934"/>
    </w:p>
    <w:p>
      <w:pPr>
        <w:spacing w:line="360" w:lineRule="auto"/>
        <w:rPr>
          <w:rFonts w:ascii="宋体" w:hAnsi="宋体"/>
          <w:color w:val="auto"/>
          <w:szCs w:val="20"/>
          <w:highlight w:val="none"/>
        </w:rPr>
      </w:pPr>
      <w:r>
        <w:rPr>
          <w:rFonts w:ascii="宋体" w:hAnsi="宋体"/>
          <w:color w:val="auto"/>
          <w:szCs w:val="20"/>
          <w:highlight w:val="none"/>
        </w:rPr>
        <w:br w:type="page"/>
      </w:r>
    </w:p>
    <w:p>
      <w:pPr>
        <w:pStyle w:val="3"/>
        <w:spacing w:line="360" w:lineRule="auto"/>
        <w:jc w:val="center"/>
        <w:rPr>
          <w:rFonts w:ascii="宋体" w:hAnsi="宋体"/>
          <w:color w:val="auto"/>
          <w:highlight w:val="none"/>
        </w:rPr>
      </w:pPr>
      <w:bookmarkStart w:id="935" w:name="招标文件06章图纸"/>
      <w:bookmarkEnd w:id="935"/>
      <w:bookmarkStart w:id="936" w:name="_Toc534185825"/>
      <w:bookmarkStart w:id="937" w:name="_Toc287620803"/>
      <w:bookmarkStart w:id="938" w:name="_Toc2508"/>
      <w:bookmarkStart w:id="939" w:name="_Toc287607861"/>
      <w:bookmarkStart w:id="940" w:name="_Toc22154"/>
      <w:bookmarkStart w:id="941" w:name="_Toc509218846"/>
      <w:bookmarkStart w:id="942" w:name="_Toc430530519"/>
      <w:r>
        <w:rPr>
          <w:rFonts w:hint="eastAsia" w:ascii="宋体" w:hAnsi="宋体"/>
          <w:color w:val="auto"/>
          <w:highlight w:val="none"/>
        </w:rPr>
        <w:t>第六章  图纸</w:t>
      </w:r>
      <w:bookmarkEnd w:id="936"/>
      <w:bookmarkEnd w:id="937"/>
      <w:bookmarkEnd w:id="938"/>
      <w:bookmarkEnd w:id="939"/>
      <w:bookmarkEnd w:id="940"/>
      <w:bookmarkEnd w:id="941"/>
      <w:bookmarkEnd w:id="942"/>
    </w:p>
    <w:p>
      <w:pPr>
        <w:snapToGrid w:val="0"/>
        <w:spacing w:line="360" w:lineRule="auto"/>
        <w:jc w:val="center"/>
        <w:rPr>
          <w:rFonts w:ascii="宋体" w:hAnsi="宋体"/>
          <w:color w:val="auto"/>
          <w:szCs w:val="21"/>
          <w:highlight w:val="none"/>
        </w:rPr>
      </w:pPr>
      <w:r>
        <w:rPr>
          <w:rFonts w:hint="eastAsia" w:ascii="宋体" w:hAnsi="宋体"/>
          <w:color w:val="auto"/>
          <w:szCs w:val="20"/>
          <w:highlight w:val="none"/>
          <w:lang w:val="en-US" w:eastAsia="zh-CN"/>
        </w:rPr>
        <w:t>同招标文件一并发布</w:t>
      </w:r>
      <w:r>
        <w:rPr>
          <w:rFonts w:hint="eastAsia" w:ascii="宋体" w:hAnsi="宋体"/>
          <w:color w:val="auto"/>
          <w:szCs w:val="20"/>
          <w:highlight w:val="none"/>
        </w:rPr>
        <w:t>。</w:t>
      </w:r>
    </w:p>
    <w:p>
      <w:pPr>
        <w:spacing w:line="360" w:lineRule="auto"/>
        <w:jc w:val="center"/>
        <w:rPr>
          <w:rFonts w:ascii="宋体" w:hAnsi="宋体"/>
          <w:color w:val="auto"/>
          <w:szCs w:val="20"/>
          <w:highlight w:val="none"/>
        </w:rPr>
      </w:pPr>
    </w:p>
    <w:p>
      <w:pPr>
        <w:spacing w:line="360" w:lineRule="auto"/>
        <w:rPr>
          <w:rFonts w:ascii="宋体" w:hAnsi="宋体"/>
          <w:color w:val="auto"/>
          <w:szCs w:val="20"/>
          <w:highlight w:val="none"/>
        </w:rPr>
      </w:pPr>
      <w:bookmarkStart w:id="943" w:name="招标文件06章图纸01"/>
      <w:bookmarkEnd w:id="943"/>
      <w:bookmarkStart w:id="944" w:name="_Toc287620804"/>
      <w:bookmarkStart w:id="945" w:name="_Toc430530520"/>
    </w:p>
    <w:bookmarkEnd w:id="944"/>
    <w:bookmarkEnd w:id="945"/>
    <w:p>
      <w:pPr>
        <w:spacing w:line="360" w:lineRule="auto"/>
        <w:rPr>
          <w:rFonts w:ascii="宋体" w:hAnsi="宋体"/>
          <w:color w:val="auto"/>
          <w:highlight w:val="none"/>
        </w:rPr>
      </w:pPr>
      <w:r>
        <w:rPr>
          <w:rFonts w:ascii="宋体" w:hAnsi="宋体"/>
          <w:color w:val="auto"/>
          <w:szCs w:val="20"/>
          <w:highlight w:val="none"/>
        </w:rPr>
        <w:br w:type="page"/>
      </w:r>
    </w:p>
    <w:p>
      <w:pPr>
        <w:pStyle w:val="3"/>
        <w:spacing w:before="0" w:after="0" w:line="360" w:lineRule="auto"/>
        <w:jc w:val="center"/>
        <w:rPr>
          <w:rFonts w:ascii="宋体" w:hAnsi="宋体"/>
          <w:color w:val="auto"/>
          <w:sz w:val="52"/>
          <w:szCs w:val="52"/>
          <w:highlight w:val="none"/>
        </w:rPr>
      </w:pPr>
      <w:bookmarkStart w:id="946" w:name="_Toc3988"/>
      <w:bookmarkStart w:id="947" w:name="_Toc8804"/>
      <w:r>
        <w:rPr>
          <w:rFonts w:hint="eastAsia" w:ascii="宋体" w:hAnsi="宋体"/>
          <w:color w:val="auto"/>
          <w:sz w:val="52"/>
          <w:szCs w:val="52"/>
          <w:highlight w:val="none"/>
        </w:rPr>
        <w:t>第 三 卷</w:t>
      </w:r>
      <w:bookmarkEnd w:id="946"/>
      <w:bookmarkEnd w:id="947"/>
      <w:bookmarkStart w:id="948" w:name="_Toc509218847"/>
      <w:bookmarkStart w:id="949" w:name="_Toc534185826"/>
      <w:bookmarkStart w:id="950" w:name="_Toc536797255"/>
      <w:bookmarkStart w:id="951" w:name="_Toc13211206"/>
      <w:bookmarkStart w:id="952" w:name="_Toc536796986"/>
      <w:bookmarkStart w:id="953" w:name="_Toc13210772"/>
      <w:bookmarkStart w:id="954" w:name="_Toc536796850"/>
      <w:bookmarkStart w:id="955" w:name="_Toc13211764"/>
      <w:bookmarkStart w:id="956" w:name="_Toc536621880"/>
      <w:bookmarkStart w:id="957" w:name="_Toc536797390"/>
      <w:bookmarkStart w:id="958" w:name="_Toc536619968"/>
      <w:bookmarkStart w:id="959" w:name="_Toc536620100"/>
      <w:bookmarkStart w:id="960" w:name="_Toc536797121"/>
      <w:bookmarkStart w:id="961" w:name="_Toc536628344"/>
    </w:p>
    <w:bookmarkEnd w:id="948"/>
    <w:p>
      <w:pPr>
        <w:rPr>
          <w:color w:val="auto"/>
          <w:highlight w:val="none"/>
        </w:rPr>
      </w:pPr>
      <w:r>
        <w:rPr>
          <w:color w:val="auto"/>
          <w:highlight w:val="none"/>
        </w:rPr>
        <w:br w:type="page"/>
      </w:r>
      <w:bookmarkEnd w:id="949"/>
      <w:bookmarkEnd w:id="950"/>
      <w:bookmarkEnd w:id="951"/>
      <w:bookmarkEnd w:id="952"/>
      <w:bookmarkEnd w:id="953"/>
      <w:bookmarkEnd w:id="954"/>
      <w:bookmarkEnd w:id="955"/>
      <w:bookmarkEnd w:id="956"/>
      <w:bookmarkEnd w:id="957"/>
      <w:bookmarkEnd w:id="958"/>
      <w:bookmarkEnd w:id="959"/>
      <w:bookmarkEnd w:id="960"/>
      <w:bookmarkEnd w:id="961"/>
    </w:p>
    <w:p>
      <w:pPr>
        <w:pStyle w:val="3"/>
        <w:spacing w:line="360" w:lineRule="auto"/>
        <w:jc w:val="center"/>
        <w:rPr>
          <w:rFonts w:ascii="宋体" w:hAnsi="宋体"/>
          <w:color w:val="auto"/>
          <w:highlight w:val="none"/>
        </w:rPr>
      </w:pPr>
      <w:bookmarkStart w:id="962" w:name="招标文件07章技术标准和要求"/>
      <w:bookmarkEnd w:id="962"/>
      <w:bookmarkStart w:id="963" w:name="_Toc17170"/>
      <w:bookmarkStart w:id="964" w:name="_Toc18021"/>
      <w:r>
        <w:rPr>
          <w:rFonts w:ascii="宋体" w:hAnsi="宋体"/>
          <w:color w:val="auto"/>
          <w:highlight w:val="none"/>
        </w:rPr>
        <w:t>第七章</w:t>
      </w:r>
      <w:r>
        <w:rPr>
          <w:rFonts w:hint="eastAsia" w:ascii="宋体" w:hAnsi="宋体"/>
          <w:color w:val="auto"/>
          <w:highlight w:val="none"/>
        </w:rPr>
        <w:t xml:space="preserve">  </w:t>
      </w:r>
      <w:r>
        <w:rPr>
          <w:rFonts w:ascii="宋体" w:hAnsi="宋体"/>
          <w:color w:val="auto"/>
          <w:highlight w:val="none"/>
        </w:rPr>
        <w:t>技术标准和要求</w:t>
      </w:r>
      <w:bookmarkEnd w:id="963"/>
      <w:bookmarkEnd w:id="964"/>
      <w:bookmarkStart w:id="965" w:name="招标文件07章技术标准和要求01"/>
      <w:bookmarkEnd w:id="965"/>
      <w:bookmarkStart w:id="966" w:name="_Toc287620808"/>
      <w:bookmarkStart w:id="967" w:name="_Toc430530524"/>
    </w:p>
    <w:bookmarkEnd w:id="966"/>
    <w:bookmarkEnd w:id="967"/>
    <w:p>
      <w:pPr>
        <w:spacing w:line="360" w:lineRule="auto"/>
        <w:jc w:val="center"/>
        <w:rPr>
          <w:rFonts w:ascii="宋体" w:hAnsi="宋体"/>
          <w:color w:val="auto"/>
          <w:szCs w:val="21"/>
          <w:highlight w:val="none"/>
        </w:rPr>
      </w:pPr>
      <w:r>
        <w:rPr>
          <w:rFonts w:ascii="宋体" w:hAnsi="宋体"/>
          <w:color w:val="auto"/>
          <w:szCs w:val="21"/>
          <w:highlight w:val="none"/>
        </w:rPr>
        <w:t>由</w:t>
      </w:r>
      <w:r>
        <w:rPr>
          <w:rFonts w:hint="eastAsia" w:ascii="宋体" w:hAnsi="宋体"/>
          <w:color w:val="auto"/>
          <w:szCs w:val="21"/>
          <w:highlight w:val="none"/>
          <w:lang w:eastAsia="zh-CN"/>
        </w:rPr>
        <w:t>比选人</w:t>
      </w:r>
      <w:r>
        <w:rPr>
          <w:rFonts w:ascii="宋体" w:hAnsi="宋体"/>
          <w:color w:val="auto"/>
          <w:szCs w:val="21"/>
          <w:highlight w:val="none"/>
        </w:rPr>
        <w:t>根据招标项目的实际情况编写</w:t>
      </w:r>
      <w:r>
        <w:rPr>
          <w:rFonts w:hint="eastAsia" w:ascii="宋体" w:hAnsi="宋体"/>
          <w:color w:val="auto"/>
          <w:szCs w:val="21"/>
          <w:highlight w:val="none"/>
        </w:rPr>
        <w:t>（如有）。</w:t>
      </w:r>
    </w:p>
    <w:p>
      <w:pPr>
        <w:spacing w:line="360" w:lineRule="auto"/>
        <w:rPr>
          <w:rFonts w:ascii="宋体" w:hAnsi="宋体"/>
          <w:color w:val="auto"/>
          <w:highlight w:val="none"/>
        </w:rPr>
      </w:pPr>
      <w:r>
        <w:rPr>
          <w:rFonts w:ascii="宋体" w:hAnsi="宋体"/>
          <w:color w:val="auto"/>
          <w:highlight w:val="none"/>
        </w:rPr>
        <w:br w:type="page"/>
      </w:r>
    </w:p>
    <w:p>
      <w:pPr>
        <w:pStyle w:val="3"/>
        <w:spacing w:before="0" w:after="0" w:line="360" w:lineRule="auto"/>
        <w:jc w:val="center"/>
        <w:rPr>
          <w:rFonts w:ascii="宋体" w:hAnsi="宋体"/>
          <w:color w:val="auto"/>
          <w:sz w:val="52"/>
          <w:szCs w:val="52"/>
          <w:highlight w:val="none"/>
        </w:rPr>
      </w:pPr>
      <w:bookmarkStart w:id="968" w:name="_Toc509218849"/>
      <w:bookmarkStart w:id="969" w:name="_Toc534185827"/>
      <w:bookmarkStart w:id="970" w:name="_Toc16297"/>
      <w:bookmarkStart w:id="971" w:name="_Toc18822"/>
      <w:r>
        <w:rPr>
          <w:rFonts w:ascii="宋体" w:hAnsi="宋体"/>
          <w:color w:val="auto"/>
          <w:sz w:val="52"/>
          <w:szCs w:val="52"/>
          <w:highlight w:val="none"/>
        </w:rPr>
        <w:t>第 四 卷</w:t>
      </w:r>
      <w:bookmarkEnd w:id="968"/>
      <w:bookmarkEnd w:id="969"/>
      <w:bookmarkEnd w:id="970"/>
      <w:bookmarkEnd w:id="971"/>
      <w:bookmarkStart w:id="972" w:name="_Toc13210775"/>
      <w:bookmarkStart w:id="973" w:name="_Toc509218850"/>
      <w:bookmarkStart w:id="974" w:name="_Toc536628347"/>
      <w:bookmarkStart w:id="975" w:name="_Toc536619970"/>
      <w:bookmarkStart w:id="976" w:name="_Toc13211209"/>
      <w:bookmarkStart w:id="977" w:name="_Toc536797258"/>
      <w:bookmarkStart w:id="978" w:name="_Toc536796853"/>
      <w:bookmarkStart w:id="979" w:name="_Toc534185828"/>
      <w:bookmarkStart w:id="980" w:name="_Toc536796989"/>
      <w:bookmarkStart w:id="981" w:name="_Toc536797393"/>
      <w:bookmarkStart w:id="982" w:name="_Toc13211767"/>
      <w:bookmarkStart w:id="983" w:name="_Toc536620102"/>
      <w:bookmarkStart w:id="984" w:name="_Toc536797124"/>
      <w:bookmarkStart w:id="985" w:name="_Toc536621883"/>
    </w:p>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p>
      <w:pPr>
        <w:rPr>
          <w:color w:val="auto"/>
          <w:highlight w:val="none"/>
        </w:rPr>
      </w:pPr>
      <w:r>
        <w:rPr>
          <w:color w:val="auto"/>
          <w:highlight w:val="none"/>
        </w:rPr>
        <w:br w:type="page"/>
      </w:r>
      <w:bookmarkStart w:id="986" w:name="招标文件08章投标文件格式"/>
      <w:bookmarkEnd w:id="986"/>
      <w:bookmarkStart w:id="987" w:name="_Toc287620812"/>
      <w:bookmarkStart w:id="988" w:name="_Toc287607865"/>
    </w:p>
    <w:p>
      <w:pPr>
        <w:pStyle w:val="3"/>
        <w:spacing w:line="360" w:lineRule="auto"/>
        <w:jc w:val="center"/>
        <w:rPr>
          <w:rFonts w:ascii="宋体" w:hAnsi="宋体"/>
          <w:color w:val="auto"/>
          <w:highlight w:val="none"/>
        </w:rPr>
      </w:pPr>
      <w:bookmarkStart w:id="989" w:name="_Toc22563"/>
      <w:bookmarkStart w:id="990" w:name="_Toc430530528"/>
      <w:bookmarkStart w:id="991" w:name="_Toc509218852"/>
      <w:bookmarkStart w:id="992" w:name="_Toc23843"/>
      <w:bookmarkStart w:id="993" w:name="_Toc534185829"/>
      <w:r>
        <w:rPr>
          <w:rFonts w:hint="eastAsia" w:ascii="宋体" w:hAnsi="宋体"/>
          <w:color w:val="auto"/>
          <w:highlight w:val="none"/>
        </w:rPr>
        <w:t xml:space="preserve">第八章  </w:t>
      </w:r>
      <w:r>
        <w:rPr>
          <w:rFonts w:hint="eastAsia" w:ascii="宋体" w:hAnsi="宋体"/>
          <w:color w:val="auto"/>
          <w:highlight w:val="none"/>
          <w:lang w:eastAsia="zh-CN"/>
        </w:rPr>
        <w:t>竞选文件</w:t>
      </w:r>
      <w:r>
        <w:rPr>
          <w:rFonts w:hint="eastAsia" w:ascii="宋体" w:hAnsi="宋体"/>
          <w:color w:val="auto"/>
          <w:highlight w:val="none"/>
        </w:rPr>
        <w:t>格式</w:t>
      </w:r>
      <w:bookmarkEnd w:id="987"/>
      <w:bookmarkEnd w:id="988"/>
      <w:bookmarkEnd w:id="989"/>
      <w:bookmarkEnd w:id="990"/>
      <w:bookmarkEnd w:id="991"/>
      <w:bookmarkEnd w:id="992"/>
      <w:bookmarkEnd w:id="993"/>
    </w:p>
    <w:p>
      <w:pPr>
        <w:spacing w:line="360" w:lineRule="auto"/>
        <w:rPr>
          <w:rFonts w:ascii="宋体" w:hAnsi="宋体"/>
          <w:color w:val="auto"/>
          <w:sz w:val="32"/>
          <w:szCs w:val="32"/>
          <w:highlight w:val="none"/>
        </w:rPr>
      </w:pPr>
    </w:p>
    <w:p>
      <w:pPr>
        <w:spacing w:line="360" w:lineRule="auto"/>
        <w:jc w:val="center"/>
        <w:rPr>
          <w:rFonts w:ascii="宋体" w:hAnsi="宋体"/>
          <w:color w:val="auto"/>
          <w:sz w:val="36"/>
          <w:szCs w:val="36"/>
          <w:highlight w:val="none"/>
        </w:rPr>
      </w:pPr>
      <w:r>
        <w:rPr>
          <w:rFonts w:ascii="宋体" w:hAnsi="宋体"/>
          <w:color w:val="auto"/>
          <w:szCs w:val="20"/>
          <w:highlight w:val="none"/>
        </w:rPr>
        <w:br w:type="page"/>
      </w:r>
      <w:bookmarkStart w:id="994" w:name="_Toc224103493"/>
      <w:r>
        <w:rPr>
          <w:rFonts w:hint="eastAsia" w:ascii="宋体" w:hAnsi="宋体"/>
          <w:color w:val="auto"/>
          <w:sz w:val="36"/>
          <w:szCs w:val="36"/>
          <w:highlight w:val="none"/>
        </w:rPr>
        <w:t>目  录</w:t>
      </w:r>
      <w:bookmarkEnd w:id="994"/>
    </w:p>
    <w:p>
      <w:pPr>
        <w:spacing w:line="360" w:lineRule="auto"/>
        <w:jc w:val="center"/>
        <w:rPr>
          <w:rFonts w:ascii="宋体" w:hAnsi="宋体"/>
          <w:color w:val="auto"/>
          <w:szCs w:val="20"/>
          <w:highlight w:val="none"/>
        </w:rPr>
      </w:pPr>
    </w:p>
    <w:p>
      <w:pPr>
        <w:spacing w:line="360" w:lineRule="auto"/>
        <w:rPr>
          <w:rFonts w:ascii="宋体" w:hAnsi="宋体"/>
          <w:b/>
          <w:color w:val="auto"/>
          <w:highlight w:val="none"/>
        </w:rPr>
      </w:pPr>
      <w:r>
        <w:rPr>
          <w:rFonts w:hint="eastAsia" w:ascii="宋体" w:hAnsi="宋体"/>
          <w:b/>
          <w:color w:val="auto"/>
          <w:highlight w:val="none"/>
        </w:rPr>
        <w:t>一</w:t>
      </w:r>
      <w:r>
        <w:rPr>
          <w:rFonts w:ascii="宋体" w:hAnsi="宋体"/>
          <w:b/>
          <w:color w:val="auto"/>
          <w:highlight w:val="none"/>
        </w:rPr>
        <w:t>、投标</w:t>
      </w:r>
      <w:r>
        <w:rPr>
          <w:rFonts w:hint="eastAsia" w:ascii="宋体" w:hAnsi="宋体"/>
          <w:b/>
          <w:color w:val="auto"/>
          <w:highlight w:val="none"/>
        </w:rPr>
        <w:t>保函部分（适用于投标保证金采用纸质投标保函形式的）</w:t>
      </w:r>
    </w:p>
    <w:p>
      <w:pPr>
        <w:spacing w:line="360" w:lineRule="auto"/>
        <w:rPr>
          <w:rFonts w:ascii="宋体" w:hAnsi="宋体"/>
          <w:b/>
          <w:color w:val="auto"/>
          <w:highlight w:val="none"/>
        </w:rPr>
      </w:pPr>
      <w:r>
        <w:rPr>
          <w:rFonts w:hint="eastAsia" w:ascii="宋体" w:hAnsi="宋体"/>
          <w:b/>
          <w:color w:val="auto"/>
          <w:highlight w:val="none"/>
          <w:lang w:val="en-US" w:eastAsia="zh-CN"/>
        </w:rPr>
        <w:t>二</w:t>
      </w:r>
      <w:r>
        <w:rPr>
          <w:rFonts w:ascii="宋体" w:hAnsi="宋体"/>
          <w:b/>
          <w:color w:val="auto"/>
          <w:highlight w:val="none"/>
        </w:rPr>
        <w:t>、</w:t>
      </w:r>
      <w:r>
        <w:rPr>
          <w:rFonts w:hint="eastAsia" w:ascii="宋体" w:hAnsi="宋体"/>
          <w:b/>
          <w:color w:val="auto"/>
          <w:highlight w:val="none"/>
          <w:lang w:eastAsia="zh-CN"/>
        </w:rPr>
        <w:t>竞选函</w:t>
      </w:r>
      <w:r>
        <w:rPr>
          <w:rFonts w:ascii="宋体" w:hAnsi="宋体"/>
          <w:b/>
          <w:color w:val="auto"/>
          <w:highlight w:val="none"/>
        </w:rPr>
        <w:t>部分</w:t>
      </w:r>
    </w:p>
    <w:p>
      <w:pPr>
        <w:spacing w:line="360" w:lineRule="auto"/>
        <w:ind w:firstLine="420" w:firstLineChars="200"/>
        <w:rPr>
          <w:rFonts w:hint="eastAsia" w:ascii="宋体" w:hAnsi="宋体" w:eastAsia="宋体"/>
          <w:color w:val="auto"/>
          <w:highlight w:val="none"/>
          <w:lang w:eastAsia="zh-CN"/>
        </w:rPr>
      </w:pPr>
      <w:r>
        <w:rPr>
          <w:rFonts w:ascii="宋体" w:hAnsi="宋体"/>
          <w:color w:val="auto"/>
          <w:highlight w:val="none"/>
        </w:rPr>
        <w:t>（一）</w:t>
      </w:r>
      <w:r>
        <w:rPr>
          <w:rFonts w:hint="eastAsia" w:ascii="宋体" w:hAnsi="宋体"/>
          <w:color w:val="auto"/>
          <w:highlight w:val="none"/>
          <w:lang w:eastAsia="zh-CN"/>
        </w:rPr>
        <w:t>竞选函</w:t>
      </w:r>
    </w:p>
    <w:p>
      <w:pPr>
        <w:spacing w:line="360" w:lineRule="auto"/>
        <w:ind w:firstLine="420" w:firstLineChars="200"/>
        <w:rPr>
          <w:rFonts w:ascii="宋体" w:hAnsi="宋体"/>
          <w:color w:val="auto"/>
          <w:highlight w:val="none"/>
        </w:rPr>
      </w:pPr>
      <w:r>
        <w:rPr>
          <w:rFonts w:ascii="宋体" w:hAnsi="宋体"/>
          <w:color w:val="auto"/>
          <w:highlight w:val="none"/>
        </w:rPr>
        <w:t>（二）</w:t>
      </w:r>
      <w:r>
        <w:rPr>
          <w:rFonts w:hint="eastAsia" w:ascii="宋体" w:hAnsi="宋体"/>
          <w:color w:val="auto"/>
          <w:highlight w:val="none"/>
          <w:lang w:eastAsia="zh-CN"/>
        </w:rPr>
        <w:t>竞选函</w:t>
      </w:r>
      <w:r>
        <w:rPr>
          <w:rFonts w:ascii="宋体" w:hAnsi="宋体"/>
          <w:color w:val="auto"/>
          <w:highlight w:val="none"/>
        </w:rPr>
        <w:t>附录</w:t>
      </w:r>
    </w:p>
    <w:p>
      <w:pPr>
        <w:spacing w:line="360" w:lineRule="auto"/>
        <w:ind w:firstLine="420" w:firstLineChars="200"/>
        <w:rPr>
          <w:rFonts w:hint="eastAsia" w:ascii="宋体" w:hAnsi="宋体"/>
          <w:color w:val="auto"/>
          <w:highlight w:val="none"/>
        </w:rPr>
      </w:pPr>
      <w:r>
        <w:rPr>
          <w:rFonts w:ascii="宋体" w:hAnsi="宋体"/>
          <w:color w:val="auto"/>
          <w:highlight w:val="none"/>
        </w:rPr>
        <w:t>（三）</w:t>
      </w:r>
      <w:r>
        <w:rPr>
          <w:rFonts w:hint="eastAsia" w:ascii="宋体" w:hAnsi="宋体"/>
          <w:color w:val="auto"/>
          <w:highlight w:val="none"/>
        </w:rPr>
        <w:t>法定代表人身份证明或附有法定代表人身份证明的授权委托书</w:t>
      </w:r>
    </w:p>
    <w:p>
      <w:pPr>
        <w:spacing w:line="360" w:lineRule="auto"/>
        <w:ind w:firstLine="420" w:firstLineChars="200"/>
        <w:rPr>
          <w:rFonts w:ascii="宋体" w:hAnsi="宋体"/>
          <w:color w:val="auto"/>
          <w:highlight w:val="none"/>
        </w:rPr>
      </w:pPr>
      <w:r>
        <w:rPr>
          <w:rFonts w:ascii="宋体" w:hAnsi="宋体"/>
          <w:color w:val="auto"/>
          <w:highlight w:val="none"/>
        </w:rPr>
        <w:t>（四）</w:t>
      </w:r>
      <w:r>
        <w:rPr>
          <w:rFonts w:hint="eastAsia" w:ascii="宋体" w:hAnsi="宋体"/>
          <w:color w:val="auto"/>
          <w:highlight w:val="none"/>
        </w:rPr>
        <w:t>低价风险担保提交承诺书（如有）</w:t>
      </w:r>
    </w:p>
    <w:p>
      <w:pPr>
        <w:spacing w:line="360" w:lineRule="auto"/>
        <w:rPr>
          <w:rFonts w:ascii="宋体" w:hAnsi="宋体"/>
          <w:b/>
          <w:color w:val="auto"/>
          <w:highlight w:val="none"/>
        </w:rPr>
      </w:pPr>
      <w:r>
        <w:rPr>
          <w:rFonts w:hint="eastAsia" w:ascii="宋体" w:hAnsi="宋体"/>
          <w:b/>
          <w:color w:val="auto"/>
          <w:highlight w:val="none"/>
          <w:lang w:val="en-US" w:eastAsia="zh-CN"/>
        </w:rPr>
        <w:t>三</w:t>
      </w:r>
      <w:r>
        <w:rPr>
          <w:rFonts w:ascii="宋体" w:hAnsi="宋体"/>
          <w:b/>
          <w:color w:val="auto"/>
          <w:highlight w:val="none"/>
        </w:rPr>
        <w:t>、</w:t>
      </w:r>
      <w:r>
        <w:rPr>
          <w:rFonts w:hint="eastAsia" w:ascii="宋体" w:hAnsi="宋体"/>
          <w:b/>
          <w:color w:val="auto"/>
          <w:highlight w:val="none"/>
        </w:rPr>
        <w:t>经济</w:t>
      </w:r>
      <w:r>
        <w:rPr>
          <w:rFonts w:ascii="宋体" w:hAnsi="宋体"/>
          <w:b/>
          <w:color w:val="auto"/>
          <w:highlight w:val="none"/>
        </w:rPr>
        <w:t>部分</w:t>
      </w:r>
    </w:p>
    <w:p>
      <w:pPr>
        <w:spacing w:line="360" w:lineRule="auto"/>
        <w:ind w:firstLine="420" w:firstLineChars="200"/>
        <w:rPr>
          <w:rFonts w:ascii="宋体" w:hAnsi="宋体"/>
          <w:color w:val="auto"/>
          <w:highlight w:val="none"/>
        </w:rPr>
      </w:pPr>
      <w:r>
        <w:rPr>
          <w:rFonts w:ascii="宋体" w:hAnsi="宋体"/>
          <w:color w:val="auto"/>
          <w:highlight w:val="none"/>
        </w:rPr>
        <w:t>已标价工程量清单</w:t>
      </w:r>
    </w:p>
    <w:p>
      <w:pPr>
        <w:spacing w:line="360" w:lineRule="auto"/>
        <w:rPr>
          <w:rFonts w:ascii="宋体" w:hAnsi="宋体"/>
          <w:b/>
          <w:color w:val="auto"/>
          <w:highlight w:val="none"/>
        </w:rPr>
      </w:pPr>
      <w:r>
        <w:rPr>
          <w:rFonts w:hint="eastAsia" w:ascii="宋体" w:hAnsi="宋体"/>
          <w:b/>
          <w:color w:val="auto"/>
          <w:highlight w:val="none"/>
          <w:lang w:val="en-US" w:eastAsia="zh-CN"/>
        </w:rPr>
        <w:t>四</w:t>
      </w:r>
      <w:r>
        <w:rPr>
          <w:rFonts w:ascii="宋体" w:hAnsi="宋体"/>
          <w:b/>
          <w:color w:val="auto"/>
          <w:highlight w:val="none"/>
        </w:rPr>
        <w:t>、技术部分（不设置</w:t>
      </w:r>
      <w:r>
        <w:rPr>
          <w:rFonts w:hint="eastAsia" w:ascii="宋体" w:hAnsi="宋体"/>
          <w:b/>
          <w:color w:val="auto"/>
          <w:highlight w:val="none"/>
        </w:rPr>
        <w:t>技术方案</w:t>
      </w:r>
      <w:r>
        <w:rPr>
          <w:rFonts w:ascii="宋体" w:hAnsi="宋体"/>
          <w:b/>
          <w:color w:val="auto"/>
          <w:highlight w:val="none"/>
        </w:rPr>
        <w:t>评审的不设此部分）</w:t>
      </w:r>
    </w:p>
    <w:p>
      <w:pPr>
        <w:spacing w:line="360" w:lineRule="auto"/>
        <w:ind w:firstLine="420" w:firstLineChars="200"/>
        <w:rPr>
          <w:rFonts w:ascii="宋体" w:hAnsi="宋体"/>
          <w:color w:val="auto"/>
          <w:highlight w:val="none"/>
        </w:rPr>
      </w:pPr>
      <w:r>
        <w:rPr>
          <w:rFonts w:hint="eastAsia" w:ascii="宋体" w:hAnsi="宋体"/>
          <w:color w:val="auto"/>
          <w:highlight w:val="none"/>
        </w:rPr>
        <w:t>技术方案</w:t>
      </w:r>
    </w:p>
    <w:p>
      <w:pPr>
        <w:spacing w:line="360" w:lineRule="auto"/>
        <w:ind w:firstLine="420" w:firstLineChars="200"/>
        <w:rPr>
          <w:rFonts w:ascii="宋体" w:hAnsi="宋体"/>
          <w:color w:val="auto"/>
          <w:highlight w:val="none"/>
        </w:rPr>
      </w:pPr>
      <w:r>
        <w:rPr>
          <w:rFonts w:ascii="宋体" w:hAnsi="宋体"/>
          <w:color w:val="auto"/>
          <w:highlight w:val="none"/>
        </w:rPr>
        <w:t>附表一</w:t>
      </w:r>
      <w:r>
        <w:rPr>
          <w:rFonts w:hint="eastAsia" w:ascii="宋体" w:hAnsi="宋体"/>
          <w:color w:val="auto"/>
          <w:highlight w:val="none"/>
        </w:rPr>
        <w:t xml:space="preserve"> </w:t>
      </w:r>
      <w:r>
        <w:rPr>
          <w:rFonts w:ascii="宋体" w:hAnsi="宋体"/>
          <w:color w:val="auto"/>
          <w:highlight w:val="none"/>
        </w:rPr>
        <w:t>拟投入本标段的主要施工设备表</w:t>
      </w:r>
    </w:p>
    <w:p>
      <w:pPr>
        <w:spacing w:line="360" w:lineRule="auto"/>
        <w:ind w:firstLine="420" w:firstLineChars="200"/>
        <w:rPr>
          <w:rFonts w:ascii="宋体" w:hAnsi="宋体"/>
          <w:color w:val="auto"/>
          <w:highlight w:val="none"/>
        </w:rPr>
      </w:pPr>
      <w:r>
        <w:rPr>
          <w:rFonts w:ascii="宋体" w:hAnsi="宋体"/>
          <w:color w:val="auto"/>
          <w:highlight w:val="none"/>
        </w:rPr>
        <w:t>附表二</w:t>
      </w:r>
      <w:r>
        <w:rPr>
          <w:rFonts w:hint="eastAsia" w:ascii="宋体" w:hAnsi="宋体"/>
          <w:color w:val="auto"/>
          <w:highlight w:val="none"/>
        </w:rPr>
        <w:t xml:space="preserve"> </w:t>
      </w:r>
      <w:r>
        <w:rPr>
          <w:rFonts w:ascii="宋体" w:hAnsi="宋体"/>
          <w:color w:val="auto"/>
          <w:highlight w:val="none"/>
        </w:rPr>
        <w:t>拟配备本标段的试验和检测仪器设备表</w:t>
      </w:r>
    </w:p>
    <w:p>
      <w:pPr>
        <w:spacing w:line="360" w:lineRule="auto"/>
        <w:ind w:firstLine="420" w:firstLineChars="200"/>
        <w:rPr>
          <w:rFonts w:ascii="宋体" w:hAnsi="宋体"/>
          <w:color w:val="auto"/>
          <w:highlight w:val="none"/>
        </w:rPr>
      </w:pPr>
      <w:r>
        <w:rPr>
          <w:rFonts w:ascii="宋体" w:hAnsi="宋体"/>
          <w:color w:val="auto"/>
          <w:highlight w:val="none"/>
        </w:rPr>
        <w:t>附表三</w:t>
      </w:r>
      <w:r>
        <w:rPr>
          <w:rFonts w:hint="eastAsia" w:ascii="宋体" w:hAnsi="宋体"/>
          <w:color w:val="auto"/>
          <w:highlight w:val="none"/>
        </w:rPr>
        <w:t xml:space="preserve"> </w:t>
      </w:r>
      <w:r>
        <w:rPr>
          <w:rFonts w:ascii="宋体" w:hAnsi="宋体"/>
          <w:color w:val="auto"/>
          <w:highlight w:val="none"/>
        </w:rPr>
        <w:t>劳动力计划表</w:t>
      </w:r>
    </w:p>
    <w:p>
      <w:pPr>
        <w:spacing w:line="360" w:lineRule="auto"/>
        <w:ind w:firstLine="420" w:firstLineChars="200"/>
        <w:rPr>
          <w:rFonts w:ascii="宋体" w:hAnsi="宋体"/>
          <w:color w:val="auto"/>
          <w:highlight w:val="none"/>
        </w:rPr>
      </w:pPr>
      <w:r>
        <w:rPr>
          <w:rFonts w:ascii="宋体" w:hAnsi="宋体"/>
          <w:color w:val="auto"/>
          <w:highlight w:val="none"/>
        </w:rPr>
        <w:t>附表四</w:t>
      </w:r>
      <w:r>
        <w:rPr>
          <w:rFonts w:hint="eastAsia" w:ascii="宋体" w:hAnsi="宋体"/>
          <w:color w:val="auto"/>
          <w:highlight w:val="none"/>
        </w:rPr>
        <w:t xml:space="preserve"> </w:t>
      </w:r>
      <w:r>
        <w:rPr>
          <w:rFonts w:ascii="宋体" w:hAnsi="宋体"/>
          <w:color w:val="auto"/>
          <w:highlight w:val="none"/>
        </w:rPr>
        <w:t>计划开、竣工日期和施工进度网络图</w:t>
      </w:r>
    </w:p>
    <w:p>
      <w:pPr>
        <w:spacing w:line="360" w:lineRule="auto"/>
        <w:ind w:firstLine="420" w:firstLineChars="200"/>
        <w:rPr>
          <w:rFonts w:ascii="宋体" w:hAnsi="宋体"/>
          <w:color w:val="auto"/>
          <w:highlight w:val="none"/>
        </w:rPr>
      </w:pPr>
      <w:r>
        <w:rPr>
          <w:rFonts w:ascii="宋体" w:hAnsi="宋体"/>
          <w:color w:val="auto"/>
          <w:highlight w:val="none"/>
        </w:rPr>
        <w:t>附表五</w:t>
      </w:r>
      <w:r>
        <w:rPr>
          <w:rFonts w:hint="eastAsia" w:ascii="宋体" w:hAnsi="宋体"/>
          <w:color w:val="auto"/>
          <w:highlight w:val="none"/>
        </w:rPr>
        <w:t xml:space="preserve"> </w:t>
      </w:r>
      <w:r>
        <w:rPr>
          <w:rFonts w:ascii="宋体" w:hAnsi="宋体"/>
          <w:color w:val="auto"/>
          <w:highlight w:val="none"/>
        </w:rPr>
        <w:t>施工总平面图</w:t>
      </w:r>
    </w:p>
    <w:p>
      <w:pPr>
        <w:spacing w:line="360" w:lineRule="auto"/>
        <w:ind w:firstLine="420" w:firstLineChars="200"/>
        <w:rPr>
          <w:rFonts w:ascii="宋体" w:hAnsi="宋体"/>
          <w:color w:val="auto"/>
          <w:highlight w:val="none"/>
        </w:rPr>
      </w:pPr>
      <w:r>
        <w:rPr>
          <w:rFonts w:ascii="宋体" w:hAnsi="宋体"/>
          <w:color w:val="auto"/>
          <w:highlight w:val="none"/>
        </w:rPr>
        <w:t>附表六</w:t>
      </w:r>
      <w:r>
        <w:rPr>
          <w:rFonts w:hint="eastAsia" w:ascii="宋体" w:hAnsi="宋体"/>
          <w:color w:val="auto"/>
          <w:highlight w:val="none"/>
        </w:rPr>
        <w:t xml:space="preserve"> </w:t>
      </w:r>
      <w:r>
        <w:rPr>
          <w:rFonts w:ascii="宋体" w:hAnsi="宋体"/>
          <w:color w:val="auto"/>
          <w:highlight w:val="none"/>
        </w:rPr>
        <w:t>临时用地表</w:t>
      </w:r>
    </w:p>
    <w:p>
      <w:pPr>
        <w:spacing w:line="360" w:lineRule="auto"/>
        <w:rPr>
          <w:rFonts w:ascii="宋体" w:hAnsi="宋体"/>
          <w:b/>
          <w:color w:val="auto"/>
          <w:highlight w:val="none"/>
        </w:rPr>
      </w:pPr>
      <w:r>
        <w:rPr>
          <w:rFonts w:hint="eastAsia" w:ascii="宋体" w:hAnsi="宋体"/>
          <w:b/>
          <w:color w:val="auto"/>
          <w:highlight w:val="none"/>
          <w:lang w:val="en-US" w:eastAsia="zh-CN"/>
        </w:rPr>
        <w:t>五</w:t>
      </w:r>
      <w:r>
        <w:rPr>
          <w:rFonts w:ascii="宋体" w:hAnsi="宋体"/>
          <w:b/>
          <w:color w:val="auto"/>
          <w:highlight w:val="none"/>
        </w:rPr>
        <w:t>、</w:t>
      </w:r>
      <w:r>
        <w:rPr>
          <w:rFonts w:hint="eastAsia" w:ascii="宋体" w:hAnsi="宋体"/>
          <w:b/>
          <w:color w:val="auto"/>
          <w:highlight w:val="none"/>
        </w:rPr>
        <w:t>资格审查部分</w:t>
      </w:r>
    </w:p>
    <w:p>
      <w:pPr>
        <w:spacing w:line="360" w:lineRule="auto"/>
        <w:ind w:firstLine="420" w:firstLineChars="200"/>
        <w:rPr>
          <w:rFonts w:ascii="宋体" w:hAnsi="宋体"/>
          <w:color w:val="auto"/>
          <w:highlight w:val="none"/>
        </w:rPr>
      </w:pPr>
      <w:r>
        <w:rPr>
          <w:rFonts w:ascii="宋体" w:hAnsi="宋体"/>
          <w:color w:val="auto"/>
          <w:highlight w:val="none"/>
        </w:rPr>
        <w:t>（一）</w:t>
      </w:r>
      <w:r>
        <w:rPr>
          <w:rFonts w:hint="eastAsia" w:ascii="宋体" w:hAnsi="宋体"/>
          <w:color w:val="auto"/>
          <w:highlight w:val="none"/>
        </w:rPr>
        <w:t>法定代表人身份证明或附有法定代表人身份证明的授权委托书</w:t>
      </w:r>
    </w:p>
    <w:p>
      <w:pPr>
        <w:spacing w:line="360" w:lineRule="auto"/>
        <w:ind w:firstLine="420" w:firstLineChars="200"/>
        <w:rPr>
          <w:rFonts w:ascii="宋体" w:hAnsi="宋体"/>
          <w:color w:val="auto"/>
          <w:highlight w:val="none"/>
        </w:rPr>
      </w:pPr>
      <w:r>
        <w:rPr>
          <w:rFonts w:ascii="宋体" w:hAnsi="宋体"/>
          <w:color w:val="auto"/>
          <w:highlight w:val="none"/>
        </w:rPr>
        <w:t>（二）</w:t>
      </w:r>
      <w:r>
        <w:rPr>
          <w:rFonts w:hint="eastAsia" w:ascii="宋体" w:hAnsi="宋体"/>
          <w:color w:val="auto"/>
          <w:highlight w:val="none"/>
          <w:lang w:eastAsia="zh-CN"/>
        </w:rPr>
        <w:t>竞选人</w:t>
      </w:r>
      <w:r>
        <w:rPr>
          <w:rFonts w:ascii="宋体" w:hAnsi="宋体"/>
          <w:color w:val="auto"/>
          <w:highlight w:val="none"/>
        </w:rPr>
        <w:t>基本情况表</w:t>
      </w:r>
    </w:p>
    <w:p>
      <w:pPr>
        <w:spacing w:line="360" w:lineRule="auto"/>
        <w:ind w:firstLine="420" w:firstLineChars="200"/>
        <w:rPr>
          <w:rFonts w:ascii="宋体" w:hAnsi="宋体"/>
          <w:color w:val="auto"/>
          <w:highlight w:val="none"/>
        </w:rPr>
      </w:pPr>
      <w:r>
        <w:rPr>
          <w:rFonts w:ascii="宋体" w:hAnsi="宋体"/>
          <w:color w:val="auto"/>
          <w:highlight w:val="none"/>
        </w:rPr>
        <w:t>（</w:t>
      </w:r>
      <w:r>
        <w:rPr>
          <w:rFonts w:hint="eastAsia" w:ascii="宋体" w:hAnsi="宋体"/>
          <w:color w:val="auto"/>
          <w:highlight w:val="none"/>
          <w:lang w:val="en-US" w:eastAsia="zh-CN"/>
        </w:rPr>
        <w:t>三</w:t>
      </w:r>
      <w:r>
        <w:rPr>
          <w:rFonts w:ascii="宋体" w:hAnsi="宋体"/>
          <w:color w:val="auto"/>
          <w:highlight w:val="none"/>
        </w:rPr>
        <w:t>）项目管理机构</w:t>
      </w:r>
    </w:p>
    <w:p>
      <w:pPr>
        <w:spacing w:line="360" w:lineRule="auto"/>
        <w:ind w:firstLine="420" w:firstLineChars="200"/>
        <w:rPr>
          <w:rFonts w:ascii="宋体" w:hAnsi="宋体"/>
          <w:color w:val="auto"/>
          <w:highlight w:val="none"/>
        </w:rPr>
      </w:pPr>
      <w:r>
        <w:rPr>
          <w:rFonts w:ascii="宋体" w:hAnsi="宋体"/>
          <w:color w:val="auto"/>
          <w:highlight w:val="none"/>
        </w:rPr>
        <w:t>（</w:t>
      </w:r>
      <w:r>
        <w:rPr>
          <w:rFonts w:hint="eastAsia" w:ascii="宋体" w:hAnsi="宋体"/>
          <w:color w:val="auto"/>
          <w:highlight w:val="none"/>
          <w:lang w:val="en-US" w:eastAsia="zh-CN"/>
        </w:rPr>
        <w:t>四</w:t>
      </w:r>
      <w:r>
        <w:rPr>
          <w:rFonts w:ascii="宋体" w:hAnsi="宋体"/>
          <w:color w:val="auto"/>
          <w:highlight w:val="none"/>
        </w:rPr>
        <w:t>）近年财务状况表</w:t>
      </w:r>
    </w:p>
    <w:p>
      <w:pPr>
        <w:spacing w:line="360" w:lineRule="auto"/>
        <w:ind w:firstLine="420" w:firstLineChars="200"/>
        <w:rPr>
          <w:rFonts w:ascii="宋体" w:hAnsi="宋体"/>
          <w:color w:val="auto"/>
          <w:highlight w:val="none"/>
        </w:rPr>
      </w:pPr>
      <w:r>
        <w:rPr>
          <w:rFonts w:ascii="宋体" w:hAnsi="宋体"/>
          <w:color w:val="auto"/>
          <w:highlight w:val="none"/>
        </w:rPr>
        <w:t>（</w:t>
      </w:r>
      <w:r>
        <w:rPr>
          <w:rFonts w:hint="eastAsia" w:ascii="宋体" w:hAnsi="宋体"/>
          <w:color w:val="auto"/>
          <w:highlight w:val="none"/>
          <w:lang w:val="en-US" w:eastAsia="zh-CN"/>
        </w:rPr>
        <w:t>五</w:t>
      </w:r>
      <w:r>
        <w:rPr>
          <w:rFonts w:ascii="宋体" w:hAnsi="宋体"/>
          <w:color w:val="auto"/>
          <w:highlight w:val="none"/>
        </w:rPr>
        <w:t>）</w:t>
      </w:r>
      <w:r>
        <w:rPr>
          <w:rFonts w:hint="eastAsia" w:ascii="宋体" w:hAnsi="宋体"/>
          <w:color w:val="auto"/>
          <w:highlight w:val="none"/>
        </w:rPr>
        <w:t>承诺</w:t>
      </w:r>
    </w:p>
    <w:p>
      <w:pPr>
        <w:spacing w:line="360" w:lineRule="auto"/>
        <w:ind w:firstLine="420" w:firstLineChars="200"/>
        <w:rPr>
          <w:rFonts w:ascii="宋体" w:hAnsi="宋体"/>
          <w:color w:val="auto"/>
          <w:highlight w:val="none"/>
        </w:rPr>
      </w:pPr>
      <w:r>
        <w:rPr>
          <w:rFonts w:ascii="宋体" w:hAnsi="宋体"/>
          <w:color w:val="auto"/>
          <w:highlight w:val="none"/>
        </w:rPr>
        <w:t>（</w:t>
      </w:r>
      <w:r>
        <w:rPr>
          <w:rFonts w:hint="eastAsia" w:ascii="宋体" w:hAnsi="宋体"/>
          <w:color w:val="auto"/>
          <w:highlight w:val="none"/>
          <w:lang w:val="en-US" w:eastAsia="zh-CN"/>
        </w:rPr>
        <w:t>六</w:t>
      </w:r>
      <w:r>
        <w:rPr>
          <w:rFonts w:ascii="宋体" w:hAnsi="宋体"/>
          <w:color w:val="auto"/>
          <w:highlight w:val="none"/>
        </w:rPr>
        <w:t>）其他资料</w:t>
      </w:r>
    </w:p>
    <w:p>
      <w:pPr>
        <w:spacing w:line="360" w:lineRule="auto"/>
        <w:rPr>
          <w:rFonts w:ascii="宋体" w:hAnsi="宋体"/>
          <w:color w:val="auto"/>
          <w:highlight w:val="none"/>
        </w:rPr>
      </w:pPr>
    </w:p>
    <w:p>
      <w:pPr>
        <w:autoSpaceDE w:val="0"/>
        <w:autoSpaceDN w:val="0"/>
        <w:adjustRightInd w:val="0"/>
        <w:spacing w:line="276" w:lineRule="auto"/>
        <w:ind w:right="-23"/>
        <w:jc w:val="left"/>
        <w:rPr>
          <w:rFonts w:ascii="宋体" w:hAnsi="宋体"/>
          <w:b/>
          <w:color w:val="auto"/>
          <w:kern w:val="0"/>
          <w:sz w:val="24"/>
          <w:highlight w:val="none"/>
        </w:rPr>
      </w:pPr>
      <w:r>
        <w:rPr>
          <w:rFonts w:ascii="宋体" w:hAnsi="宋体"/>
          <w:b/>
          <w:color w:val="auto"/>
          <w:kern w:val="0"/>
          <w:sz w:val="24"/>
          <w:highlight w:val="none"/>
        </w:rPr>
        <w:br w:type="page"/>
      </w:r>
      <w:bookmarkStart w:id="995" w:name="_Toc287607866"/>
      <w:bookmarkStart w:id="996" w:name="_Toc277082642"/>
      <w:bookmarkStart w:id="997" w:name="_Toc430530529"/>
      <w:bookmarkStart w:id="998" w:name="_Toc224103494"/>
      <w:bookmarkStart w:id="999" w:name="_Toc287620813"/>
    </w:p>
    <w:p>
      <w:pPr>
        <w:pStyle w:val="4"/>
        <w:spacing w:line="360" w:lineRule="auto"/>
        <w:jc w:val="center"/>
        <w:rPr>
          <w:rFonts w:ascii="宋体" w:hAnsi="宋体"/>
          <w:b w:val="0"/>
          <w:bCs w:val="0"/>
          <w:color w:val="auto"/>
          <w:sz w:val="44"/>
          <w:szCs w:val="44"/>
          <w:highlight w:val="none"/>
        </w:rPr>
      </w:pPr>
      <w:bookmarkStart w:id="1000" w:name="_Toc10643"/>
      <w:bookmarkStart w:id="1001" w:name="_Toc27983320"/>
      <w:bookmarkStart w:id="1002" w:name="_Toc534185830"/>
      <w:bookmarkStart w:id="1003" w:name="_Toc509218853"/>
      <w:bookmarkStart w:id="1004" w:name="_Toc57905917"/>
      <w:bookmarkStart w:id="1005" w:name="_Toc19476"/>
      <w:r>
        <w:rPr>
          <w:rFonts w:hint="eastAsia" w:ascii="宋体" w:hAnsi="宋体"/>
          <w:b w:val="0"/>
          <w:bCs w:val="0"/>
          <w:color w:val="auto"/>
          <w:sz w:val="44"/>
          <w:szCs w:val="44"/>
          <w:highlight w:val="none"/>
        </w:rPr>
        <w:t>一、投标保函部分</w:t>
      </w:r>
      <w:bookmarkEnd w:id="1000"/>
      <w:bookmarkEnd w:id="1001"/>
      <w:bookmarkEnd w:id="1002"/>
      <w:bookmarkEnd w:id="1003"/>
      <w:bookmarkEnd w:id="1004"/>
    </w:p>
    <w:p>
      <w:pPr>
        <w:tabs>
          <w:tab w:val="left" w:pos="2580"/>
          <w:tab w:val="left" w:pos="5940"/>
        </w:tabs>
        <w:autoSpaceDE w:val="0"/>
        <w:autoSpaceDN w:val="0"/>
        <w:adjustRightInd w:val="0"/>
        <w:snapToGrid w:val="0"/>
        <w:spacing w:line="360" w:lineRule="auto"/>
        <w:jc w:val="center"/>
        <w:rPr>
          <w:rFonts w:ascii="宋体" w:hAnsi="宋体"/>
          <w:color w:val="auto"/>
          <w:kern w:val="0"/>
          <w:sz w:val="28"/>
          <w:szCs w:val="28"/>
          <w:highlight w:val="none"/>
        </w:rPr>
      </w:pPr>
      <w:r>
        <w:rPr>
          <w:rFonts w:hint="eastAsia" w:ascii="宋体" w:hAnsi="宋体"/>
          <w:color w:val="auto"/>
          <w:kern w:val="0"/>
          <w:sz w:val="28"/>
          <w:szCs w:val="28"/>
          <w:highlight w:val="none"/>
        </w:rPr>
        <w:t>（适用于投标保证金采用纸质投标保函形式的）</w:t>
      </w:r>
    </w:p>
    <w:p>
      <w:pPr>
        <w:keepNext w:val="0"/>
        <w:keepLines w:val="0"/>
        <w:pageBreakBefore w:val="0"/>
        <w:widowControl w:val="0"/>
        <w:kinsoku/>
        <w:overflowPunct/>
        <w:topLinePunct w:val="0"/>
        <w:autoSpaceDE/>
        <w:autoSpaceDN/>
        <w:bidi w:val="0"/>
        <w:adjustRightInd/>
        <w:snapToGrid/>
        <w:spacing w:line="360" w:lineRule="auto"/>
        <w:ind w:right="0" w:rightChars="0"/>
        <w:jc w:val="center"/>
        <w:textAlignment w:val="auto"/>
        <w:outlineLvl w:val="9"/>
        <w:rPr>
          <w:rFonts w:ascii="宋体" w:hAnsi="宋体"/>
          <w:color w:val="auto"/>
          <w:kern w:val="0"/>
          <w:sz w:val="28"/>
          <w:szCs w:val="28"/>
          <w:highlight w:val="none"/>
        </w:rPr>
      </w:pPr>
      <w:r>
        <w:rPr>
          <w:rFonts w:ascii="宋体" w:hAnsi="宋体"/>
          <w:color w:val="auto"/>
          <w:kern w:val="0"/>
          <w:sz w:val="28"/>
          <w:szCs w:val="28"/>
          <w:highlight w:val="none"/>
        </w:rPr>
        <w:br w:type="page"/>
      </w:r>
    </w:p>
    <w:p>
      <w:pPr>
        <w:keepNext w:val="0"/>
        <w:keepLines w:val="0"/>
        <w:pageBreakBefore w:val="0"/>
        <w:widowControl w:val="0"/>
        <w:kinsoku/>
        <w:overflowPunct/>
        <w:topLinePunct w:val="0"/>
        <w:autoSpaceDE/>
        <w:autoSpaceDN/>
        <w:bidi w:val="0"/>
        <w:adjustRightInd/>
        <w:snapToGrid/>
        <w:spacing w:line="360" w:lineRule="auto"/>
        <w:ind w:right="0" w:rightChars="0" w:firstLine="420" w:firstLineChars="200"/>
        <w:jc w:val="both"/>
        <w:textAlignment w:val="auto"/>
        <w:outlineLvl w:val="9"/>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（1）纸质投标保函（如有）</w:t>
      </w:r>
    </w:p>
    <w:p>
      <w:pPr>
        <w:keepNext w:val="0"/>
        <w:keepLines w:val="0"/>
        <w:pageBreakBefore w:val="0"/>
        <w:widowControl w:val="0"/>
        <w:kinsoku/>
        <w:overflowPunct/>
        <w:topLinePunct w:val="0"/>
        <w:autoSpaceDE/>
        <w:autoSpaceDN/>
        <w:bidi w:val="0"/>
        <w:adjustRightInd/>
        <w:snapToGrid/>
        <w:spacing w:line="360" w:lineRule="auto"/>
        <w:ind w:right="0" w:rightChars="0"/>
        <w:jc w:val="center"/>
        <w:textAlignment w:val="auto"/>
        <w:outlineLvl w:val="9"/>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投标保函示范文本</w:t>
      </w:r>
    </w:p>
    <w:p>
      <w:pPr>
        <w:keepNext w:val="0"/>
        <w:keepLines w:val="0"/>
        <w:pageBreakBefore w:val="0"/>
        <w:widowControl w:val="0"/>
        <w:kinsoku/>
        <w:wordWrap w:val="0"/>
        <w:overflowPunct/>
        <w:topLinePunct w:val="0"/>
        <w:autoSpaceDE/>
        <w:autoSpaceDN/>
        <w:bidi w:val="0"/>
        <w:adjustRightInd/>
        <w:snapToGrid/>
        <w:spacing w:line="360" w:lineRule="auto"/>
        <w:ind w:right="0" w:rightChars="0"/>
        <w:jc w:val="right"/>
        <w:textAlignment w:val="auto"/>
        <w:outlineLvl w:val="9"/>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jc w:val="both"/>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rPr>
        <w:t>（受益人名称）</w:t>
      </w:r>
      <w:r>
        <w:rPr>
          <w:rFonts w:hint="eastAsia" w:asciiTheme="minorEastAsia" w:hAnsiTheme="minorEastAsia" w:eastAsiaTheme="minorEastAsia" w:cstheme="minorEastAsia"/>
          <w:color w:val="auto"/>
          <w:kern w:val="2"/>
          <w:sz w:val="21"/>
          <w:szCs w:val="21"/>
          <w:highlight w:val="none"/>
          <w:lang w:eastAsia="zh-CN"/>
        </w:rPr>
        <w:t>：</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396" w:firstLineChars="200"/>
        <w:jc w:val="both"/>
        <w:textAlignment w:val="auto"/>
        <w:outlineLvl w:val="9"/>
        <w:rPr>
          <w:rFonts w:hint="eastAsia" w:asciiTheme="minorEastAsia" w:hAnsiTheme="minorEastAsia" w:eastAsiaTheme="minorEastAsia" w:cstheme="minorEastAsia"/>
          <w:color w:val="auto"/>
          <w:spacing w:val="-6"/>
          <w:kern w:val="0"/>
          <w:sz w:val="21"/>
          <w:szCs w:val="21"/>
          <w:highlight w:val="none"/>
          <w:lang w:val="en-US" w:eastAsia="zh-CN" w:bidi="ar-SA"/>
        </w:rPr>
      </w:pPr>
      <w:r>
        <w:rPr>
          <w:rFonts w:hint="eastAsia" w:asciiTheme="minorEastAsia" w:hAnsiTheme="minorEastAsia" w:eastAsiaTheme="minorEastAsia" w:cstheme="minorEastAsia"/>
          <w:color w:val="auto"/>
          <w:spacing w:val="-6"/>
          <w:kern w:val="0"/>
          <w:sz w:val="21"/>
          <w:szCs w:val="21"/>
          <w:highlight w:val="none"/>
          <w:lang w:val="en-US" w:eastAsia="zh-CN" w:bidi="ar-SA"/>
        </w:rPr>
        <w:t>我方（即“开立人”）已获得通知，本保函申请人（即“投标人”）已响应贵方于</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rPr>
        <w:t>年</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rPr>
        <w:t>月</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rPr>
        <w:t>日</w:t>
      </w:r>
      <w:r>
        <w:rPr>
          <w:rFonts w:hint="eastAsia" w:asciiTheme="minorEastAsia" w:hAnsiTheme="minorEastAsia" w:eastAsiaTheme="minorEastAsia" w:cstheme="minorEastAsia"/>
          <w:color w:val="auto"/>
          <w:spacing w:val="-6"/>
          <w:kern w:val="0"/>
          <w:sz w:val="21"/>
          <w:szCs w:val="21"/>
          <w:highlight w:val="none"/>
          <w:lang w:val="en-US" w:eastAsia="zh-CN" w:bidi="ar-SA"/>
        </w:rPr>
        <w:t>就</w:t>
      </w:r>
      <w:r>
        <w:rPr>
          <w:rFonts w:hint="eastAsia" w:asciiTheme="minorEastAsia" w:hAnsiTheme="minorEastAsia" w:eastAsiaTheme="minorEastAsia" w:cstheme="minorEastAsia"/>
          <w:color w:val="auto"/>
          <w:spacing w:val="-6"/>
          <w:kern w:val="0"/>
          <w:sz w:val="21"/>
          <w:szCs w:val="21"/>
          <w:highlight w:val="none"/>
          <w:u w:val="single"/>
          <w:lang w:val="en-US" w:eastAsia="zh-CN" w:bidi="ar-SA"/>
        </w:rPr>
        <w:t xml:space="preserve">                   </w:t>
      </w:r>
      <w:r>
        <w:rPr>
          <w:rFonts w:hint="eastAsia" w:asciiTheme="minorEastAsia" w:hAnsiTheme="minorEastAsia" w:eastAsiaTheme="minorEastAsia" w:cstheme="minorEastAsia"/>
          <w:color w:val="auto"/>
          <w:spacing w:val="-6"/>
          <w:kern w:val="0"/>
          <w:sz w:val="21"/>
          <w:szCs w:val="21"/>
          <w:highlight w:val="none"/>
          <w:lang w:val="en-US" w:eastAsia="zh-CN" w:bidi="ar-SA"/>
        </w:rPr>
        <w:t>（以下简称“本工程”）发出的招标文件以及后续发布的答疑补遗文件，并拟向招标人（即“受益人”）提交投标文件（即“基础交易”）。</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jc w:val="both"/>
        <w:textAlignment w:val="auto"/>
        <w:outlineLvl w:val="9"/>
        <w:rPr>
          <w:rFonts w:hint="eastAsia" w:asciiTheme="minorEastAsia" w:hAnsiTheme="minorEastAsia" w:eastAsiaTheme="minorEastAsia" w:cstheme="minorEastAsia"/>
          <w:color w:val="auto"/>
          <w:kern w:val="0"/>
          <w:sz w:val="21"/>
          <w:szCs w:val="21"/>
          <w:highlight w:val="none"/>
          <w:lang w:val="en-US" w:eastAsia="zh-CN" w:bidi="ar-SA"/>
        </w:rPr>
      </w:pPr>
      <w:r>
        <w:rPr>
          <w:rFonts w:hint="eastAsia" w:asciiTheme="minorEastAsia" w:hAnsiTheme="minorEastAsia" w:eastAsiaTheme="minorEastAsia" w:cstheme="minorEastAsia"/>
          <w:color w:val="auto"/>
          <w:kern w:val="0"/>
          <w:sz w:val="21"/>
          <w:szCs w:val="21"/>
          <w:highlight w:val="none"/>
          <w:lang w:val="en-US" w:eastAsia="zh-CN" w:bidi="ar-SA"/>
        </w:rPr>
        <w:t>一、我方理解根据招标条件，投标人必须提交一份投标保函（以下简称“本保函”），以担保投标人诚信履行其在上述基础交易中承担的投标人义务。鉴此，应申请人要求，我方在此同意向贵方出具此投标保函，本保函担保金额为人民币（大写）</w:t>
      </w:r>
      <w:r>
        <w:rPr>
          <w:rFonts w:hint="eastAsia" w:asciiTheme="minorEastAsia" w:hAnsiTheme="minorEastAsia" w:eastAsiaTheme="minorEastAsia" w:cstheme="minorEastAsia"/>
          <w:color w:val="auto"/>
          <w:kern w:val="0"/>
          <w:sz w:val="21"/>
          <w:szCs w:val="21"/>
          <w:highlight w:val="none"/>
          <w:u w:val="single"/>
          <w:lang w:val="en-US" w:eastAsia="zh-CN" w:bidi="ar-SA"/>
        </w:rPr>
        <w:t xml:space="preserve">    </w:t>
      </w:r>
      <w:r>
        <w:rPr>
          <w:rFonts w:hint="eastAsia" w:asciiTheme="minorEastAsia" w:hAnsiTheme="minorEastAsia" w:eastAsiaTheme="minorEastAsia" w:cstheme="minorEastAsia"/>
          <w:color w:val="auto"/>
          <w:kern w:val="0"/>
          <w:sz w:val="21"/>
          <w:szCs w:val="21"/>
          <w:highlight w:val="none"/>
          <w:lang w:val="en-US" w:eastAsia="zh-CN" w:bidi="ar-SA"/>
        </w:rPr>
        <w:t>元（¥</w:t>
      </w:r>
      <w:r>
        <w:rPr>
          <w:rFonts w:hint="eastAsia" w:asciiTheme="minorEastAsia" w:hAnsiTheme="minorEastAsia" w:eastAsiaTheme="minorEastAsia" w:cstheme="minorEastAsia"/>
          <w:color w:val="auto"/>
          <w:kern w:val="0"/>
          <w:sz w:val="21"/>
          <w:szCs w:val="21"/>
          <w:highlight w:val="none"/>
          <w:u w:val="single"/>
          <w:lang w:val="en-US" w:eastAsia="zh-CN" w:bidi="ar-SA"/>
        </w:rPr>
        <w:t xml:space="preserve">        </w:t>
      </w:r>
      <w:r>
        <w:rPr>
          <w:rFonts w:hint="eastAsia" w:asciiTheme="minorEastAsia" w:hAnsiTheme="minorEastAsia" w:eastAsiaTheme="minorEastAsia" w:cstheme="minorEastAsia"/>
          <w:color w:val="auto"/>
          <w:kern w:val="0"/>
          <w:sz w:val="21"/>
          <w:szCs w:val="21"/>
          <w:highlight w:val="none"/>
          <w:lang w:val="en-US" w:eastAsia="zh-CN" w:bidi="ar-SA"/>
        </w:rPr>
        <w:t>）。</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jc w:val="both"/>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二、我方在投标人发生以下情形时承担保证担保责任：</w:t>
      </w:r>
    </w:p>
    <w:p>
      <w:pPr>
        <w:keepNext w:val="0"/>
        <w:keepLines w:val="0"/>
        <w:pageBreakBefore w:val="0"/>
        <w:widowControl w:val="0"/>
        <w:numPr>
          <w:ilvl w:val="0"/>
          <w:numId w:val="0"/>
        </w:numPr>
        <w:shd w:val="clear"/>
        <w:kinsoku/>
        <w:wordWrap/>
        <w:overflowPunct w:val="0"/>
        <w:topLinePunct w:val="0"/>
        <w:autoSpaceDE/>
        <w:autoSpaceDN/>
        <w:bidi w:val="0"/>
        <w:adjustRightInd/>
        <w:snapToGrid/>
        <w:spacing w:beforeLines="0" w:line="360" w:lineRule="auto"/>
        <w:ind w:left="0" w:leftChars="0" w:right="0" w:rightChars="0" w:firstLine="420" w:firstLineChars="200"/>
        <w:jc w:val="both"/>
        <w:textAlignment w:val="auto"/>
        <w:outlineLvl w:val="9"/>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 xml:space="preserve">（1）投标人在开标后至投标有效期满之前撤销投标的； </w:t>
      </w:r>
    </w:p>
    <w:p>
      <w:pPr>
        <w:keepNext w:val="0"/>
        <w:keepLines w:val="0"/>
        <w:pageBreakBefore w:val="0"/>
        <w:widowControl w:val="0"/>
        <w:numPr>
          <w:ilvl w:val="0"/>
          <w:numId w:val="0"/>
        </w:numPr>
        <w:shd w:val="clear"/>
        <w:kinsoku/>
        <w:wordWrap/>
        <w:overflowPunct w:val="0"/>
        <w:topLinePunct w:val="0"/>
        <w:autoSpaceDE/>
        <w:autoSpaceDN/>
        <w:bidi w:val="0"/>
        <w:adjustRightInd/>
        <w:snapToGrid/>
        <w:spacing w:beforeLines="0" w:line="360" w:lineRule="auto"/>
        <w:ind w:right="0" w:rightChars="0" w:firstLine="420" w:firstLineChars="200"/>
        <w:jc w:val="both"/>
        <w:textAlignment w:val="auto"/>
        <w:outlineLvl w:val="9"/>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 xml:space="preserve">（2）投标人在收到中标通知后，不能或拒绝在中标通知书规定的时间内与贵方签订合同； </w:t>
      </w:r>
    </w:p>
    <w:p>
      <w:pPr>
        <w:keepNext w:val="0"/>
        <w:keepLines w:val="0"/>
        <w:pageBreakBefore w:val="0"/>
        <w:widowControl w:val="0"/>
        <w:numPr>
          <w:ilvl w:val="0"/>
          <w:numId w:val="0"/>
        </w:numPr>
        <w:shd w:val="clear"/>
        <w:kinsoku/>
        <w:wordWrap/>
        <w:overflowPunct w:val="0"/>
        <w:topLinePunct w:val="0"/>
        <w:autoSpaceDE/>
        <w:autoSpaceDN/>
        <w:bidi w:val="0"/>
        <w:adjustRightInd/>
        <w:snapToGrid/>
        <w:spacing w:beforeLines="0" w:line="360" w:lineRule="auto"/>
        <w:ind w:right="0" w:rightChars="0" w:firstLine="420" w:firstLineChars="200"/>
        <w:jc w:val="both"/>
        <w:textAlignment w:val="auto"/>
        <w:outlineLvl w:val="9"/>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（3）投标人在与贵方签订合同前，未在规定的时间内提交符合招标文件要求的履约担保；</w:t>
      </w:r>
    </w:p>
    <w:p>
      <w:pPr>
        <w:keepNext w:val="0"/>
        <w:keepLines w:val="0"/>
        <w:pageBreakBefore w:val="0"/>
        <w:widowControl w:val="0"/>
        <w:numPr>
          <w:ilvl w:val="0"/>
          <w:numId w:val="0"/>
        </w:numPr>
        <w:shd w:val="clear"/>
        <w:kinsoku/>
        <w:wordWrap/>
        <w:overflowPunct w:val="0"/>
        <w:topLinePunct w:val="0"/>
        <w:autoSpaceDE/>
        <w:autoSpaceDN/>
        <w:bidi w:val="0"/>
        <w:adjustRightInd/>
        <w:snapToGrid/>
        <w:spacing w:beforeLines="0" w:line="360" w:lineRule="auto"/>
        <w:ind w:right="0" w:rightChars="0" w:firstLine="420" w:firstLineChars="200"/>
        <w:jc w:val="both"/>
        <w:textAlignment w:val="auto"/>
        <w:outlineLvl w:val="9"/>
        <w:rPr>
          <w:rFonts w:hint="eastAsia" w:asciiTheme="minorEastAsia" w:hAnsiTheme="minorEastAsia" w:eastAsiaTheme="minorEastAsia" w:cstheme="minorEastAsia"/>
          <w:color w:val="auto"/>
          <w:kern w:val="2"/>
          <w:sz w:val="21"/>
          <w:szCs w:val="21"/>
          <w:highlight w:val="none"/>
          <w:lang w:val="en-US" w:eastAsia="zh-CN" w:bidi="ar-SA"/>
        </w:rPr>
      </w:pPr>
      <w:r>
        <w:rPr>
          <w:rFonts w:hint="eastAsia" w:asciiTheme="minorEastAsia" w:hAnsiTheme="minorEastAsia" w:eastAsiaTheme="minorEastAsia" w:cstheme="minorEastAsia"/>
          <w:color w:val="auto"/>
          <w:kern w:val="2"/>
          <w:sz w:val="21"/>
          <w:szCs w:val="21"/>
          <w:highlight w:val="none"/>
          <w:lang w:val="en-US" w:eastAsia="zh-CN" w:bidi="ar-SA"/>
        </w:rPr>
        <w:t>（4）投标人违反招标文件规定的其他情形。</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jc w:val="both"/>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三、本保函为不可撤销、不可转让的见索即付保函。本保函有效期自开立之日起至投标有效期届满之日后的</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rPr>
        <w:t>日</w:t>
      </w:r>
      <w:r>
        <w:rPr>
          <w:rFonts w:hint="eastAsia" w:asciiTheme="minorEastAsia" w:hAnsiTheme="minorEastAsia" w:eastAsiaTheme="minorEastAsia" w:cstheme="minorEastAsia"/>
          <w:color w:val="auto"/>
          <w:kern w:val="2"/>
          <w:sz w:val="21"/>
          <w:szCs w:val="21"/>
          <w:highlight w:val="none"/>
          <w:lang w:eastAsia="zh-CN"/>
        </w:rPr>
        <w:t>止（提示：建议</w:t>
      </w:r>
      <w:r>
        <w:rPr>
          <w:rFonts w:hint="eastAsia" w:asciiTheme="minorEastAsia" w:hAnsiTheme="minorEastAsia" w:eastAsiaTheme="minorEastAsia" w:cstheme="minorEastAsia"/>
          <w:color w:val="auto"/>
          <w:kern w:val="2"/>
          <w:sz w:val="21"/>
          <w:szCs w:val="21"/>
          <w:highlight w:val="none"/>
          <w:lang w:val="en-US" w:eastAsia="zh-CN"/>
        </w:rPr>
        <w:t>30日</w:t>
      </w:r>
      <w:r>
        <w:rPr>
          <w:rFonts w:hint="eastAsia" w:asciiTheme="minorEastAsia" w:hAnsiTheme="minorEastAsia" w:eastAsiaTheme="minorEastAsia" w:cstheme="minorEastAsia"/>
          <w:color w:val="auto"/>
          <w:kern w:val="2"/>
          <w:sz w:val="21"/>
          <w:szCs w:val="21"/>
          <w:highlight w:val="none"/>
          <w:lang w:eastAsia="zh-CN"/>
        </w:rPr>
        <w:t>）</w:t>
      </w:r>
      <w:r>
        <w:rPr>
          <w:rFonts w:hint="eastAsia" w:asciiTheme="minorEastAsia" w:hAnsiTheme="minorEastAsia" w:eastAsiaTheme="minorEastAsia" w:cstheme="minorEastAsia"/>
          <w:color w:val="auto"/>
          <w:kern w:val="2"/>
          <w:sz w:val="21"/>
          <w:szCs w:val="21"/>
          <w:highlight w:val="none"/>
        </w:rPr>
        <w:t>。投标有效期延长的，本保函有效期相应顺延，最迟不超过</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rPr>
        <w:t>年</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rPr>
        <w:t>月</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rPr>
        <w:t>日</w:t>
      </w:r>
      <w:r>
        <w:rPr>
          <w:rFonts w:hint="eastAsia" w:asciiTheme="minorEastAsia" w:hAnsiTheme="minorEastAsia" w:eastAsiaTheme="minorEastAsia" w:cstheme="minorEastAsia"/>
          <w:color w:val="auto"/>
          <w:kern w:val="2"/>
          <w:sz w:val="21"/>
          <w:szCs w:val="21"/>
          <w:highlight w:val="none"/>
          <w:lang w:eastAsia="zh-CN"/>
        </w:rPr>
        <w:t>（提示：建议按保函有效期不超过</w:t>
      </w:r>
      <w:r>
        <w:rPr>
          <w:rFonts w:hint="eastAsia" w:asciiTheme="minorEastAsia" w:hAnsiTheme="minorEastAsia" w:eastAsiaTheme="minorEastAsia" w:cstheme="minorEastAsia"/>
          <w:color w:val="auto"/>
          <w:kern w:val="2"/>
          <w:sz w:val="21"/>
          <w:szCs w:val="21"/>
          <w:highlight w:val="none"/>
          <w:lang w:val="en-US" w:eastAsia="zh-CN"/>
        </w:rPr>
        <w:t>270日考虑</w:t>
      </w:r>
      <w:r>
        <w:rPr>
          <w:rFonts w:hint="eastAsia" w:asciiTheme="minorEastAsia" w:hAnsiTheme="minorEastAsia" w:eastAsiaTheme="minorEastAsia" w:cstheme="minorEastAsia"/>
          <w:color w:val="auto"/>
          <w:kern w:val="2"/>
          <w:sz w:val="21"/>
          <w:szCs w:val="21"/>
          <w:highlight w:val="none"/>
          <w:lang w:eastAsia="zh-CN"/>
        </w:rPr>
        <w:t>）</w:t>
      </w:r>
      <w:r>
        <w:rPr>
          <w:rFonts w:hint="eastAsia" w:asciiTheme="minorEastAsia" w:hAnsiTheme="minorEastAsia" w:eastAsiaTheme="minorEastAsia" w:cstheme="minorEastAsia"/>
          <w:color w:val="auto"/>
          <w:kern w:val="2"/>
          <w:sz w:val="21"/>
          <w:szCs w:val="21"/>
          <w:highlight w:val="none"/>
        </w:rPr>
        <w:t>。</w:t>
      </w:r>
    </w:p>
    <w:p>
      <w:pPr>
        <w:keepNext w:val="0"/>
        <w:keepLines w:val="0"/>
        <w:pageBreakBefore w:val="0"/>
        <w:widowControl w:val="0"/>
        <w:numPr>
          <w:ilvl w:val="0"/>
          <w:numId w:val="0"/>
        </w:numPr>
        <w:shd w:val="clear"/>
        <w:kinsoku/>
        <w:wordWrap/>
        <w:overflowPunct w:val="0"/>
        <w:topLinePunct w:val="0"/>
        <w:autoSpaceDE/>
        <w:autoSpaceDN/>
        <w:bidi w:val="0"/>
        <w:adjustRightInd/>
        <w:snapToGrid/>
        <w:spacing w:beforeLines="0" w:line="360" w:lineRule="auto"/>
        <w:ind w:right="0" w:rightChars="0" w:firstLine="420" w:firstLineChars="200"/>
        <w:jc w:val="both"/>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lang w:eastAsia="zh-CN"/>
        </w:rPr>
        <w:t>四、</w:t>
      </w:r>
      <w:r>
        <w:rPr>
          <w:rFonts w:hint="eastAsia" w:asciiTheme="minorEastAsia" w:hAnsiTheme="minorEastAsia" w:eastAsiaTheme="minorEastAsia" w:cstheme="minorEastAsia"/>
          <w:color w:val="auto"/>
          <w:kern w:val="2"/>
          <w:sz w:val="21"/>
          <w:szCs w:val="21"/>
          <w:highlight w:val="none"/>
        </w:rPr>
        <w:t>我方承诺，在收到受益人发来的书面</w:t>
      </w:r>
      <w:r>
        <w:rPr>
          <w:rFonts w:hint="eastAsia" w:asciiTheme="minorEastAsia" w:hAnsiTheme="minorEastAsia" w:eastAsiaTheme="minorEastAsia" w:cstheme="minorEastAsia"/>
          <w:color w:val="auto"/>
          <w:kern w:val="2"/>
          <w:sz w:val="21"/>
          <w:szCs w:val="21"/>
          <w:highlight w:val="none"/>
          <w:lang w:eastAsia="zh-CN"/>
        </w:rPr>
        <w:t>索赔</w:t>
      </w:r>
      <w:r>
        <w:rPr>
          <w:rFonts w:hint="eastAsia" w:asciiTheme="minorEastAsia" w:hAnsiTheme="minorEastAsia" w:eastAsiaTheme="minorEastAsia" w:cstheme="minorEastAsia"/>
          <w:color w:val="auto"/>
          <w:kern w:val="2"/>
          <w:sz w:val="21"/>
          <w:szCs w:val="21"/>
          <w:highlight w:val="none"/>
        </w:rPr>
        <w:t>通知后的</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none"/>
          <w:lang w:eastAsia="zh-CN"/>
        </w:rPr>
        <w:t>个工作</w:t>
      </w:r>
      <w:r>
        <w:rPr>
          <w:rFonts w:hint="eastAsia" w:asciiTheme="minorEastAsia" w:hAnsiTheme="minorEastAsia" w:eastAsiaTheme="minorEastAsia" w:cstheme="minorEastAsia"/>
          <w:color w:val="auto"/>
          <w:kern w:val="2"/>
          <w:sz w:val="21"/>
          <w:szCs w:val="21"/>
          <w:highlight w:val="none"/>
        </w:rPr>
        <w:t>日</w:t>
      </w:r>
      <w:r>
        <w:rPr>
          <w:rFonts w:hint="eastAsia" w:asciiTheme="minorEastAsia" w:hAnsiTheme="minorEastAsia" w:eastAsiaTheme="minorEastAsia" w:cstheme="minorEastAsia"/>
          <w:color w:val="auto"/>
          <w:kern w:val="2"/>
          <w:sz w:val="21"/>
          <w:szCs w:val="21"/>
          <w:highlight w:val="none"/>
          <w:lang w:eastAsia="zh-CN"/>
        </w:rPr>
        <w:t>（提示：建议</w:t>
      </w:r>
      <w:r>
        <w:rPr>
          <w:rFonts w:hint="eastAsia" w:asciiTheme="minorEastAsia" w:hAnsiTheme="minorEastAsia" w:eastAsiaTheme="minorEastAsia" w:cstheme="minorEastAsia"/>
          <w:color w:val="auto"/>
          <w:kern w:val="2"/>
          <w:sz w:val="21"/>
          <w:szCs w:val="21"/>
          <w:highlight w:val="none"/>
          <w:lang w:val="en-US" w:eastAsia="zh-CN"/>
        </w:rPr>
        <w:t>10—15个工作日</w:t>
      </w:r>
      <w:r>
        <w:rPr>
          <w:rFonts w:hint="eastAsia" w:asciiTheme="minorEastAsia" w:hAnsiTheme="minorEastAsia" w:eastAsiaTheme="minorEastAsia" w:cstheme="minorEastAsia"/>
          <w:color w:val="auto"/>
          <w:kern w:val="2"/>
          <w:sz w:val="21"/>
          <w:szCs w:val="21"/>
          <w:highlight w:val="none"/>
          <w:lang w:eastAsia="zh-CN"/>
        </w:rPr>
        <w:t>）</w:t>
      </w:r>
      <w:r>
        <w:rPr>
          <w:rFonts w:hint="eastAsia" w:asciiTheme="minorEastAsia" w:hAnsiTheme="minorEastAsia" w:eastAsiaTheme="minorEastAsia" w:cstheme="minorEastAsia"/>
          <w:color w:val="auto"/>
          <w:kern w:val="2"/>
          <w:sz w:val="21"/>
          <w:szCs w:val="21"/>
          <w:highlight w:val="none"/>
        </w:rPr>
        <w:t>内无条件支付，前述书面</w:t>
      </w:r>
      <w:r>
        <w:rPr>
          <w:rFonts w:hint="eastAsia" w:asciiTheme="minorEastAsia" w:hAnsiTheme="minorEastAsia" w:eastAsiaTheme="minorEastAsia" w:cstheme="minorEastAsia"/>
          <w:color w:val="auto"/>
          <w:kern w:val="2"/>
          <w:sz w:val="21"/>
          <w:szCs w:val="21"/>
          <w:highlight w:val="none"/>
          <w:lang w:eastAsia="zh-CN"/>
        </w:rPr>
        <w:t>索赔</w:t>
      </w:r>
      <w:r>
        <w:rPr>
          <w:rFonts w:hint="eastAsia" w:asciiTheme="minorEastAsia" w:hAnsiTheme="minorEastAsia" w:eastAsiaTheme="minorEastAsia" w:cstheme="minorEastAsia"/>
          <w:color w:val="auto"/>
          <w:kern w:val="2"/>
          <w:sz w:val="21"/>
          <w:szCs w:val="21"/>
          <w:highlight w:val="none"/>
        </w:rPr>
        <w:t>通知即为付款要求之单据，且应满足以下要求：</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jc w:val="both"/>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（1）</w:t>
      </w:r>
      <w:r>
        <w:rPr>
          <w:rFonts w:hint="eastAsia" w:asciiTheme="minorEastAsia" w:hAnsiTheme="minorEastAsia" w:eastAsiaTheme="minorEastAsia" w:cstheme="minorEastAsia"/>
          <w:color w:val="auto"/>
          <w:kern w:val="2"/>
          <w:sz w:val="21"/>
          <w:szCs w:val="21"/>
          <w:highlight w:val="none"/>
          <w:lang w:eastAsia="zh-CN"/>
        </w:rPr>
        <w:t>索赔</w:t>
      </w:r>
      <w:r>
        <w:rPr>
          <w:rFonts w:hint="eastAsia" w:asciiTheme="minorEastAsia" w:hAnsiTheme="minorEastAsia" w:eastAsiaTheme="minorEastAsia" w:cstheme="minorEastAsia"/>
          <w:color w:val="auto"/>
          <w:kern w:val="2"/>
          <w:sz w:val="21"/>
          <w:szCs w:val="21"/>
          <w:highlight w:val="none"/>
        </w:rPr>
        <w:t>通知到达的日期在本保函的有效期内；</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jc w:val="both"/>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（2）载明要求支付的金额；</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jc w:val="both"/>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（3）载明申请人违反招投标文件规定的义务内容和具体条款；</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jc w:val="both"/>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（4）声明不存在招标文件规定免除申请人或我方支付责任的情形；</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jc w:val="both"/>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spacing w:val="0"/>
          <w:kern w:val="2"/>
          <w:sz w:val="21"/>
          <w:szCs w:val="21"/>
          <w:highlight w:val="none"/>
          <w:lang w:eastAsia="zh-CN"/>
        </w:rPr>
        <w:t>（</w:t>
      </w:r>
      <w:r>
        <w:rPr>
          <w:rFonts w:hint="eastAsia" w:asciiTheme="minorEastAsia" w:hAnsiTheme="minorEastAsia" w:eastAsiaTheme="minorEastAsia" w:cstheme="minorEastAsia"/>
          <w:color w:val="auto"/>
          <w:spacing w:val="0"/>
          <w:kern w:val="2"/>
          <w:sz w:val="21"/>
          <w:szCs w:val="21"/>
          <w:highlight w:val="none"/>
          <w:lang w:val="en-US" w:eastAsia="zh-CN"/>
        </w:rPr>
        <w:t>5</w:t>
      </w:r>
      <w:r>
        <w:rPr>
          <w:rFonts w:hint="eastAsia" w:asciiTheme="minorEastAsia" w:hAnsiTheme="minorEastAsia" w:eastAsiaTheme="minorEastAsia" w:cstheme="minorEastAsia"/>
          <w:color w:val="auto"/>
          <w:spacing w:val="0"/>
          <w:kern w:val="2"/>
          <w:sz w:val="21"/>
          <w:szCs w:val="21"/>
          <w:highlight w:val="none"/>
          <w:lang w:eastAsia="zh-CN"/>
        </w:rPr>
        <w:t>）索赔</w:t>
      </w:r>
      <w:r>
        <w:rPr>
          <w:rFonts w:hint="eastAsia" w:asciiTheme="minorEastAsia" w:hAnsiTheme="minorEastAsia" w:eastAsiaTheme="minorEastAsia" w:cstheme="minorEastAsia"/>
          <w:color w:val="auto"/>
          <w:spacing w:val="0"/>
          <w:kern w:val="2"/>
          <w:sz w:val="21"/>
          <w:szCs w:val="21"/>
          <w:highlight w:val="none"/>
        </w:rPr>
        <w:t>通知应在本保函有效期内到达的地址是：</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rPr>
        <w:t>。</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受益人发出的书面</w:t>
      </w:r>
      <w:r>
        <w:rPr>
          <w:rFonts w:hint="eastAsia" w:asciiTheme="minorEastAsia" w:hAnsiTheme="minorEastAsia" w:eastAsiaTheme="minorEastAsia" w:cstheme="minorEastAsia"/>
          <w:color w:val="auto"/>
          <w:kern w:val="2"/>
          <w:sz w:val="21"/>
          <w:szCs w:val="21"/>
          <w:highlight w:val="none"/>
          <w:lang w:eastAsia="zh-CN"/>
        </w:rPr>
        <w:t>索赔</w:t>
      </w:r>
      <w:r>
        <w:rPr>
          <w:rFonts w:hint="eastAsia" w:asciiTheme="minorEastAsia" w:hAnsiTheme="minorEastAsia" w:eastAsiaTheme="minorEastAsia" w:cstheme="minorEastAsia"/>
          <w:color w:val="auto"/>
          <w:kern w:val="2"/>
          <w:sz w:val="21"/>
          <w:szCs w:val="21"/>
          <w:highlight w:val="none"/>
        </w:rPr>
        <w:t>通知应由其为鉴明受益人法定代表人或授权代理人签</w:t>
      </w:r>
      <w:r>
        <w:rPr>
          <w:rFonts w:hint="eastAsia" w:asciiTheme="minorEastAsia" w:hAnsiTheme="minorEastAsia" w:eastAsiaTheme="minorEastAsia" w:cstheme="minorEastAsia"/>
          <w:color w:val="auto"/>
          <w:kern w:val="2"/>
          <w:sz w:val="21"/>
          <w:szCs w:val="21"/>
          <w:highlight w:val="none"/>
          <w:lang w:eastAsia="zh-CN"/>
        </w:rPr>
        <w:t>名</w:t>
      </w:r>
      <w:r>
        <w:rPr>
          <w:rFonts w:hint="eastAsia" w:asciiTheme="minorEastAsia" w:hAnsiTheme="minorEastAsia" w:eastAsiaTheme="minorEastAsia" w:cstheme="minorEastAsia"/>
          <w:color w:val="auto"/>
          <w:kern w:val="2"/>
          <w:sz w:val="21"/>
          <w:szCs w:val="21"/>
          <w:highlight w:val="none"/>
        </w:rPr>
        <w:t>并加盖公章。</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五、本保函项下的权利不得转让，不得设定担保。</w:t>
      </w:r>
      <w:r>
        <w:rPr>
          <w:rFonts w:hint="eastAsia" w:asciiTheme="minorEastAsia" w:hAnsiTheme="minorEastAsia" w:eastAsiaTheme="minorEastAsia" w:cstheme="minorEastAsia"/>
          <w:color w:val="auto"/>
          <w:kern w:val="2"/>
          <w:sz w:val="21"/>
          <w:szCs w:val="21"/>
          <w:highlight w:val="none"/>
          <w:lang w:eastAsia="zh-CN"/>
        </w:rPr>
        <w:t>贵方</w:t>
      </w:r>
      <w:r>
        <w:rPr>
          <w:rFonts w:hint="eastAsia" w:asciiTheme="minorEastAsia" w:hAnsiTheme="minorEastAsia" w:eastAsiaTheme="minorEastAsia" w:cstheme="minorEastAsia"/>
          <w:color w:val="auto"/>
          <w:kern w:val="2"/>
          <w:sz w:val="21"/>
          <w:szCs w:val="21"/>
          <w:highlight w:val="none"/>
        </w:rPr>
        <w:t>未经我方书面同意转让本保函或其项下任何权利，对我方不发生法律效力。</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 xml:space="preserve">六、本保函项下的基础交易不成立、不生效、无效、被撤销、被解除，不影响本保函的独立有效。 </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七、受益人应在本保函到期后的</w:t>
      </w:r>
      <w:r>
        <w:rPr>
          <w:rFonts w:hint="eastAsia" w:asciiTheme="minorEastAsia" w:hAnsiTheme="minorEastAsia" w:eastAsiaTheme="minorEastAsia" w:cstheme="minorEastAsia"/>
          <w:color w:val="auto"/>
          <w:kern w:val="2"/>
          <w:sz w:val="21"/>
          <w:szCs w:val="21"/>
          <w:highlight w:val="none"/>
          <w:lang w:val="en-US" w:eastAsia="zh-CN"/>
        </w:rPr>
        <w:t>七</w:t>
      </w:r>
      <w:r>
        <w:rPr>
          <w:rFonts w:hint="eastAsia" w:asciiTheme="minorEastAsia" w:hAnsiTheme="minorEastAsia" w:eastAsiaTheme="minorEastAsia" w:cstheme="minorEastAsia"/>
          <w:color w:val="auto"/>
          <w:kern w:val="2"/>
          <w:sz w:val="21"/>
          <w:szCs w:val="21"/>
          <w:highlight w:val="none"/>
          <w:lang w:eastAsia="zh-CN"/>
        </w:rPr>
        <w:t>个工作</w:t>
      </w:r>
      <w:r>
        <w:rPr>
          <w:rFonts w:hint="eastAsia" w:asciiTheme="minorEastAsia" w:hAnsiTheme="minorEastAsia" w:eastAsiaTheme="minorEastAsia" w:cstheme="minorEastAsia"/>
          <w:color w:val="auto"/>
          <w:kern w:val="2"/>
          <w:sz w:val="21"/>
          <w:szCs w:val="21"/>
          <w:highlight w:val="none"/>
        </w:rPr>
        <w:t>日内将本保函正本退回我方注销，但是不论受益人是否按此要求将本保函正本退回我方，我方在本保函项下的义务和责任均在保函有效期到期后自动消灭。</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lang w:eastAsia="zh-CN"/>
        </w:rPr>
      </w:pPr>
      <w:r>
        <w:rPr>
          <w:rFonts w:hint="eastAsia" w:asciiTheme="minorEastAsia" w:hAnsiTheme="minorEastAsia" w:eastAsiaTheme="minorEastAsia" w:cstheme="minorEastAsia"/>
          <w:color w:val="auto"/>
          <w:kern w:val="2"/>
          <w:sz w:val="21"/>
          <w:szCs w:val="21"/>
          <w:highlight w:val="none"/>
        </w:rPr>
        <w:t>八、</w:t>
      </w:r>
      <w:r>
        <w:rPr>
          <w:rFonts w:hint="eastAsia" w:asciiTheme="minorEastAsia" w:hAnsiTheme="minorEastAsia" w:eastAsiaTheme="minorEastAsia" w:cstheme="minorEastAsia"/>
          <w:color w:val="auto"/>
          <w:kern w:val="2"/>
          <w:sz w:val="21"/>
          <w:szCs w:val="21"/>
          <w:highlight w:val="none"/>
          <w:lang w:eastAsia="zh-CN"/>
        </w:rPr>
        <w:t>本保函的开具是我方真实意思表示，符合法律法规规定，我方同意遵守本保函约定并无条件承担担保责任。本保函与其他规定或条款不一致时，以本保函约定为准。</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lang w:eastAsia="zh-CN"/>
        </w:rPr>
        <w:t>九、</w:t>
      </w:r>
      <w:r>
        <w:rPr>
          <w:rFonts w:hint="eastAsia" w:asciiTheme="minorEastAsia" w:hAnsiTheme="minorEastAsia" w:eastAsiaTheme="minorEastAsia" w:cstheme="minorEastAsia"/>
          <w:color w:val="auto"/>
          <w:kern w:val="2"/>
          <w:sz w:val="21"/>
          <w:szCs w:val="21"/>
          <w:highlight w:val="none"/>
        </w:rPr>
        <w:t>本保函适用的法律为中华人民共和国法律，争议裁判管辖地为中华人民共和国</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rPr>
        <w:t>。</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lang w:eastAsia="zh-CN"/>
        </w:rPr>
        <w:t>十</w:t>
      </w:r>
      <w:r>
        <w:rPr>
          <w:rFonts w:hint="eastAsia" w:asciiTheme="minorEastAsia" w:hAnsiTheme="minorEastAsia" w:eastAsiaTheme="minorEastAsia" w:cstheme="minorEastAsia"/>
          <w:color w:val="auto"/>
          <w:kern w:val="2"/>
          <w:sz w:val="21"/>
          <w:szCs w:val="21"/>
          <w:highlight w:val="none"/>
        </w:rPr>
        <w:t>、本保函自我方法定代表人或授权代表</w:t>
      </w:r>
      <w:r>
        <w:rPr>
          <w:rFonts w:hint="eastAsia" w:asciiTheme="minorEastAsia" w:hAnsiTheme="minorEastAsia" w:eastAsiaTheme="minorEastAsia" w:cstheme="minorEastAsia"/>
          <w:color w:val="auto"/>
          <w:kern w:val="2"/>
          <w:sz w:val="21"/>
          <w:szCs w:val="21"/>
          <w:highlight w:val="none"/>
          <w:lang w:eastAsia="zh-CN"/>
        </w:rPr>
        <w:t>签名</w:t>
      </w:r>
      <w:r>
        <w:rPr>
          <w:rFonts w:hint="eastAsia" w:asciiTheme="minorEastAsia" w:hAnsiTheme="minorEastAsia" w:eastAsiaTheme="minorEastAsia" w:cstheme="minorEastAsia"/>
          <w:color w:val="auto"/>
          <w:kern w:val="2"/>
          <w:sz w:val="21"/>
          <w:szCs w:val="21"/>
          <w:highlight w:val="none"/>
        </w:rPr>
        <w:t>并加盖公章之日起生效。</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u w:val="none"/>
        </w:rPr>
      </w:pPr>
      <w:r>
        <w:rPr>
          <w:rFonts w:hint="eastAsia" w:asciiTheme="minorEastAsia" w:hAnsiTheme="minorEastAsia" w:eastAsiaTheme="minorEastAsia" w:cstheme="minorEastAsia"/>
          <w:color w:val="auto"/>
          <w:kern w:val="2"/>
          <w:sz w:val="21"/>
          <w:szCs w:val="21"/>
          <w:highlight w:val="none"/>
          <w:lang w:eastAsia="zh-CN"/>
        </w:rPr>
        <w:t>十一、本保函在重庆市辖区范围内的核验地点：</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none"/>
          <w:lang w:eastAsia="zh-CN"/>
        </w:rPr>
        <w:t>；核验方式：</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u w:val="none"/>
          <w:lang w:val="en-US" w:eastAsia="zh-CN"/>
        </w:rPr>
        <w:t>。</w:t>
      </w:r>
    </w:p>
    <w:p>
      <w:pPr>
        <w:keepNext w:val="0"/>
        <w:keepLines w:val="0"/>
        <w:pageBreakBefore w:val="0"/>
        <w:widowControl w:val="0"/>
        <w:shd w:val="clear"/>
        <w:kinsoku/>
        <w:wordWrap/>
        <w:overflowPunct/>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rPr>
      </w:pP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 xml:space="preserve">开 立 人： </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rPr>
        <w:t>（公章）</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法定代表人（或授权</w:t>
      </w:r>
      <w:r>
        <w:rPr>
          <w:rFonts w:hint="eastAsia" w:asciiTheme="minorEastAsia" w:hAnsiTheme="minorEastAsia" w:eastAsiaTheme="minorEastAsia" w:cstheme="minorEastAsia"/>
          <w:color w:val="auto"/>
          <w:kern w:val="2"/>
          <w:sz w:val="21"/>
          <w:szCs w:val="21"/>
          <w:highlight w:val="none"/>
          <w:lang w:eastAsia="zh-CN"/>
        </w:rPr>
        <w:t>代表</w:t>
      </w:r>
      <w:r>
        <w:rPr>
          <w:rFonts w:hint="eastAsia" w:asciiTheme="minorEastAsia" w:hAnsiTheme="minorEastAsia" w:eastAsiaTheme="minorEastAsia" w:cstheme="minorEastAsia"/>
          <w:color w:val="auto"/>
          <w:kern w:val="2"/>
          <w:sz w:val="21"/>
          <w:szCs w:val="21"/>
          <w:highlight w:val="none"/>
        </w:rPr>
        <w:t>）：</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rPr>
        <w:t>（</w:t>
      </w:r>
      <w:r>
        <w:rPr>
          <w:rFonts w:hint="eastAsia" w:asciiTheme="minorEastAsia" w:hAnsiTheme="minorEastAsia" w:eastAsiaTheme="minorEastAsia" w:cstheme="minorEastAsia"/>
          <w:color w:val="auto"/>
          <w:kern w:val="2"/>
          <w:sz w:val="21"/>
          <w:szCs w:val="21"/>
          <w:highlight w:val="none"/>
          <w:lang w:eastAsia="zh-CN"/>
        </w:rPr>
        <w:t>签名</w:t>
      </w:r>
      <w:r>
        <w:rPr>
          <w:rFonts w:hint="eastAsia" w:asciiTheme="minorEastAsia" w:hAnsiTheme="minorEastAsia" w:eastAsiaTheme="minorEastAsia" w:cstheme="minorEastAsia"/>
          <w:color w:val="auto"/>
          <w:kern w:val="2"/>
          <w:sz w:val="21"/>
          <w:szCs w:val="21"/>
          <w:highlight w:val="none"/>
        </w:rPr>
        <w:t>）</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地    址：</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rPr>
        <w:t xml:space="preserve"> </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邮政编码：</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rPr>
        <w:t xml:space="preserve"> </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电    话：</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rPr>
        <w:t xml:space="preserve"> </w:t>
      </w:r>
    </w:p>
    <w:p>
      <w:pPr>
        <w:keepNext w:val="0"/>
        <w:keepLines w:val="0"/>
        <w:pageBreakBefore w:val="0"/>
        <w:widowControl w:val="0"/>
        <w:shd w:val="clear"/>
        <w:kinsoku/>
        <w:wordWrap/>
        <w:overflowPunct w:val="0"/>
        <w:topLinePunct w:val="0"/>
        <w:autoSpaceDE/>
        <w:autoSpaceDN/>
        <w:bidi w:val="0"/>
        <w:adjustRightInd/>
        <w:snapToGrid/>
        <w:spacing w:beforeLines="0" w:line="360" w:lineRule="auto"/>
        <w:ind w:right="0" w:rightChars="0" w:firstLine="420" w:firstLineChars="200"/>
        <w:textAlignment w:val="auto"/>
        <w:outlineLvl w:val="9"/>
        <w:rPr>
          <w:rFonts w:hint="eastAsia" w:asciiTheme="minorEastAsia" w:hAnsiTheme="minorEastAsia" w:eastAsiaTheme="minorEastAsia" w:cstheme="minorEastAsia"/>
          <w:color w:val="auto"/>
          <w:kern w:val="2"/>
          <w:sz w:val="21"/>
          <w:szCs w:val="21"/>
          <w:highlight w:val="none"/>
        </w:rPr>
      </w:pPr>
      <w:r>
        <w:rPr>
          <w:rFonts w:hint="eastAsia" w:asciiTheme="minorEastAsia" w:hAnsiTheme="minorEastAsia" w:eastAsiaTheme="minorEastAsia" w:cstheme="minorEastAsia"/>
          <w:color w:val="auto"/>
          <w:kern w:val="2"/>
          <w:sz w:val="21"/>
          <w:szCs w:val="21"/>
          <w:highlight w:val="none"/>
        </w:rPr>
        <w:t>传    真：</w:t>
      </w:r>
      <w:r>
        <w:rPr>
          <w:rFonts w:hint="eastAsia" w:asciiTheme="minorEastAsia" w:hAnsiTheme="minorEastAsia" w:eastAsiaTheme="minorEastAsia" w:cstheme="minorEastAsia"/>
          <w:color w:val="auto"/>
          <w:kern w:val="2"/>
          <w:sz w:val="21"/>
          <w:szCs w:val="21"/>
          <w:highlight w:val="none"/>
          <w:u w:val="single"/>
        </w:rPr>
        <w:t xml:space="preserve">                                </w:t>
      </w:r>
      <w:r>
        <w:rPr>
          <w:rFonts w:hint="eastAsia" w:asciiTheme="minorEastAsia" w:hAnsiTheme="minorEastAsia" w:eastAsiaTheme="minorEastAsia" w:cstheme="minorEastAsia"/>
          <w:color w:val="auto"/>
          <w:kern w:val="2"/>
          <w:sz w:val="21"/>
          <w:szCs w:val="21"/>
          <w:highlight w:val="none"/>
          <w:u w:val="single"/>
          <w:lang w:val="en-US" w:eastAsia="zh-CN"/>
        </w:rPr>
        <w:t xml:space="preserve">          </w:t>
      </w:r>
      <w:r>
        <w:rPr>
          <w:rFonts w:hint="eastAsia" w:asciiTheme="minorEastAsia" w:hAnsiTheme="minorEastAsia" w:eastAsiaTheme="minorEastAsia" w:cstheme="minorEastAsia"/>
          <w:color w:val="auto"/>
          <w:kern w:val="2"/>
          <w:sz w:val="21"/>
          <w:szCs w:val="21"/>
          <w:highlight w:val="none"/>
        </w:rPr>
        <w:t xml:space="preserve"> </w:t>
      </w:r>
    </w:p>
    <w:p>
      <w:pPr>
        <w:spacing w:line="360" w:lineRule="auto"/>
        <w:ind w:firstLine="420" w:firstLineChars="200"/>
        <w:jc w:val="left"/>
        <w:rPr>
          <w:rFonts w:ascii="宋体" w:hAnsi="宋体"/>
          <w:color w:val="auto"/>
          <w:kern w:val="0"/>
          <w:szCs w:val="21"/>
          <w:highlight w:val="none"/>
        </w:rPr>
      </w:pPr>
      <w:r>
        <w:rPr>
          <w:rFonts w:hint="eastAsia" w:asciiTheme="minorEastAsia" w:hAnsiTheme="minorEastAsia" w:eastAsiaTheme="minorEastAsia" w:cstheme="minorEastAsia"/>
          <w:color w:val="auto"/>
          <w:kern w:val="2"/>
          <w:sz w:val="21"/>
          <w:szCs w:val="21"/>
          <w:highlight w:val="none"/>
        </w:rPr>
        <w:t xml:space="preserve">开立时间：    年 </w:t>
      </w:r>
      <w:r>
        <w:rPr>
          <w:rFonts w:hint="eastAsia" w:asciiTheme="minorEastAsia" w:hAnsiTheme="minorEastAsia" w:eastAsiaTheme="minorEastAsia" w:cstheme="minorEastAsia"/>
          <w:color w:val="auto"/>
          <w:kern w:val="2"/>
          <w:sz w:val="21"/>
          <w:szCs w:val="21"/>
          <w:highlight w:val="none"/>
          <w:lang w:val="en-US" w:eastAsia="zh-CN"/>
        </w:rPr>
        <w:t xml:space="preserve"> </w:t>
      </w:r>
      <w:r>
        <w:rPr>
          <w:rFonts w:hint="eastAsia" w:asciiTheme="minorEastAsia" w:hAnsiTheme="minorEastAsia" w:eastAsiaTheme="minorEastAsia" w:cstheme="minorEastAsia"/>
          <w:color w:val="auto"/>
          <w:kern w:val="2"/>
          <w:sz w:val="21"/>
          <w:szCs w:val="21"/>
          <w:highlight w:val="none"/>
        </w:rPr>
        <w:t xml:space="preserve">  月 </w:t>
      </w:r>
      <w:r>
        <w:rPr>
          <w:rFonts w:hint="eastAsia" w:asciiTheme="minorEastAsia" w:hAnsiTheme="minorEastAsia" w:eastAsiaTheme="minorEastAsia" w:cstheme="minorEastAsia"/>
          <w:color w:val="auto"/>
          <w:kern w:val="2"/>
          <w:sz w:val="21"/>
          <w:szCs w:val="21"/>
          <w:highlight w:val="none"/>
          <w:lang w:val="en-US" w:eastAsia="zh-CN"/>
        </w:rPr>
        <w:t xml:space="preserve">  </w:t>
      </w:r>
      <w:r>
        <w:rPr>
          <w:rFonts w:hint="eastAsia" w:asciiTheme="minorEastAsia" w:hAnsiTheme="minorEastAsia" w:eastAsiaTheme="minorEastAsia" w:cstheme="minorEastAsia"/>
          <w:color w:val="auto"/>
          <w:kern w:val="2"/>
          <w:sz w:val="21"/>
          <w:szCs w:val="21"/>
          <w:highlight w:val="none"/>
        </w:rPr>
        <w:t xml:space="preserve"> </w:t>
      </w:r>
      <w:r>
        <w:rPr>
          <w:rFonts w:hint="eastAsia" w:asciiTheme="minorEastAsia" w:hAnsiTheme="minorEastAsia" w:eastAsiaTheme="minorEastAsia" w:cstheme="minorEastAsia"/>
          <w:color w:val="auto"/>
          <w:kern w:val="2"/>
          <w:sz w:val="21"/>
          <w:szCs w:val="21"/>
          <w:highlight w:val="none"/>
          <w:lang w:eastAsia="zh-CN"/>
        </w:rPr>
        <w:t>日</w:t>
      </w:r>
    </w:p>
    <w:p>
      <w:pPr>
        <w:spacing w:line="360" w:lineRule="auto"/>
        <w:ind w:firstLine="420" w:firstLineChars="200"/>
        <w:rPr>
          <w:rFonts w:ascii="宋体" w:hAnsi="宋体"/>
          <w:color w:val="auto"/>
          <w:szCs w:val="21"/>
          <w:highlight w:val="none"/>
        </w:rPr>
      </w:pPr>
      <w:r>
        <w:rPr>
          <w:rFonts w:hint="eastAsia" w:ascii="宋体" w:hAnsi="宋体"/>
          <w:color w:val="auto"/>
          <w:kern w:val="0"/>
          <w:szCs w:val="21"/>
          <w:highlight w:val="none"/>
        </w:rPr>
        <w:br w:type="page"/>
      </w:r>
    </w:p>
    <w:p>
      <w:pPr>
        <w:pStyle w:val="4"/>
        <w:spacing w:line="360" w:lineRule="auto"/>
        <w:jc w:val="center"/>
        <w:rPr>
          <w:rFonts w:ascii="宋体" w:hAnsi="宋体"/>
          <w:b w:val="0"/>
          <w:bCs w:val="0"/>
          <w:color w:val="auto"/>
          <w:sz w:val="44"/>
          <w:szCs w:val="44"/>
          <w:highlight w:val="none"/>
        </w:rPr>
      </w:pPr>
      <w:bookmarkStart w:id="1006" w:name="_Toc11674"/>
      <w:r>
        <w:rPr>
          <w:rFonts w:hint="eastAsia" w:ascii="宋体" w:hAnsi="宋体"/>
          <w:b w:val="0"/>
          <w:bCs w:val="0"/>
          <w:color w:val="auto"/>
          <w:sz w:val="44"/>
          <w:szCs w:val="44"/>
          <w:highlight w:val="none"/>
          <w:lang w:val="en-US" w:eastAsia="zh-CN"/>
        </w:rPr>
        <w:t>二</w:t>
      </w:r>
      <w:r>
        <w:rPr>
          <w:rFonts w:hint="eastAsia" w:ascii="宋体" w:hAnsi="宋体"/>
          <w:b w:val="0"/>
          <w:bCs w:val="0"/>
          <w:color w:val="auto"/>
          <w:sz w:val="44"/>
          <w:szCs w:val="44"/>
          <w:highlight w:val="none"/>
        </w:rPr>
        <w:t>、</w:t>
      </w:r>
      <w:r>
        <w:rPr>
          <w:rFonts w:hint="eastAsia" w:ascii="宋体" w:hAnsi="宋体"/>
          <w:b w:val="0"/>
          <w:bCs w:val="0"/>
          <w:color w:val="auto"/>
          <w:sz w:val="44"/>
          <w:szCs w:val="44"/>
          <w:highlight w:val="none"/>
          <w:lang w:eastAsia="zh-CN"/>
        </w:rPr>
        <w:t>竞选函</w:t>
      </w:r>
      <w:r>
        <w:rPr>
          <w:rFonts w:hint="eastAsia" w:ascii="宋体" w:hAnsi="宋体"/>
          <w:b w:val="0"/>
          <w:bCs w:val="0"/>
          <w:color w:val="auto"/>
          <w:sz w:val="44"/>
          <w:szCs w:val="44"/>
          <w:highlight w:val="none"/>
        </w:rPr>
        <w:t>部分</w:t>
      </w:r>
      <w:bookmarkEnd w:id="995"/>
      <w:bookmarkEnd w:id="996"/>
      <w:bookmarkEnd w:id="997"/>
      <w:bookmarkEnd w:id="998"/>
      <w:bookmarkEnd w:id="999"/>
      <w:bookmarkEnd w:id="1005"/>
      <w:bookmarkEnd w:id="1006"/>
    </w:p>
    <w:p>
      <w:pPr>
        <w:tabs>
          <w:tab w:val="left" w:pos="2580"/>
          <w:tab w:val="left" w:pos="5940"/>
        </w:tabs>
        <w:autoSpaceDE w:val="0"/>
        <w:autoSpaceDN w:val="0"/>
        <w:adjustRightInd w:val="0"/>
        <w:snapToGrid w:val="0"/>
        <w:spacing w:line="360" w:lineRule="auto"/>
        <w:ind w:firstLine="2940"/>
        <w:jc w:val="left"/>
        <w:rPr>
          <w:rFonts w:ascii="宋体" w:hAnsi="宋体"/>
          <w:color w:val="auto"/>
          <w:kern w:val="0"/>
          <w:sz w:val="28"/>
          <w:szCs w:val="28"/>
          <w:highlight w:val="none"/>
        </w:rPr>
      </w:pPr>
    </w:p>
    <w:p>
      <w:pPr>
        <w:tabs>
          <w:tab w:val="left" w:pos="2580"/>
          <w:tab w:val="left" w:pos="5940"/>
        </w:tabs>
        <w:autoSpaceDE w:val="0"/>
        <w:autoSpaceDN w:val="0"/>
        <w:adjustRightInd w:val="0"/>
        <w:snapToGrid w:val="0"/>
        <w:spacing w:line="360" w:lineRule="auto"/>
        <w:jc w:val="left"/>
        <w:rPr>
          <w:rFonts w:ascii="宋体" w:hAnsi="宋体"/>
          <w:color w:val="auto"/>
          <w:kern w:val="0"/>
          <w:sz w:val="28"/>
          <w:szCs w:val="28"/>
          <w:highlight w:val="none"/>
          <w:u w:val="single"/>
        </w:rPr>
      </w:pPr>
      <w:r>
        <w:rPr>
          <w:rFonts w:ascii="宋体" w:hAnsi="宋体"/>
          <w:color w:val="auto"/>
          <w:kern w:val="0"/>
          <w:sz w:val="28"/>
          <w:szCs w:val="28"/>
          <w:highlight w:val="none"/>
          <w:u w:val="single"/>
        </w:rPr>
        <w:br w:type="page"/>
      </w:r>
    </w:p>
    <w:p>
      <w:pPr>
        <w:spacing w:line="360" w:lineRule="auto"/>
        <w:jc w:val="center"/>
        <w:rPr>
          <w:rFonts w:ascii="宋体" w:hAnsi="宋体"/>
          <w:color w:val="auto"/>
          <w:kern w:val="0"/>
          <w:sz w:val="32"/>
          <w:szCs w:val="32"/>
          <w:highlight w:val="none"/>
        </w:rPr>
      </w:pPr>
      <w:r>
        <w:rPr>
          <w:rFonts w:hint="eastAsia" w:ascii="宋体" w:hAnsi="宋体"/>
          <w:color w:val="auto"/>
          <w:kern w:val="0"/>
          <w:sz w:val="32"/>
          <w:szCs w:val="32"/>
          <w:highlight w:val="none"/>
          <w:u w:val="single"/>
        </w:rPr>
        <w:t xml:space="preserve">                   （项目名称）</w:t>
      </w:r>
    </w:p>
    <w:p>
      <w:pPr>
        <w:tabs>
          <w:tab w:val="left" w:pos="3600"/>
          <w:tab w:val="left" w:pos="4480"/>
          <w:tab w:val="left" w:pos="5360"/>
        </w:tabs>
        <w:autoSpaceDE w:val="0"/>
        <w:autoSpaceDN w:val="0"/>
        <w:adjustRightInd w:val="0"/>
        <w:snapToGrid w:val="0"/>
        <w:spacing w:line="360" w:lineRule="auto"/>
        <w:jc w:val="left"/>
        <w:rPr>
          <w:rFonts w:ascii="宋体" w:hAnsi="宋体"/>
          <w:color w:val="auto"/>
          <w:kern w:val="0"/>
          <w:sz w:val="44"/>
          <w:szCs w:val="44"/>
          <w:highlight w:val="none"/>
        </w:rPr>
      </w:pPr>
    </w:p>
    <w:p>
      <w:pPr>
        <w:tabs>
          <w:tab w:val="left" w:pos="3600"/>
          <w:tab w:val="left" w:pos="4480"/>
          <w:tab w:val="left" w:pos="5360"/>
        </w:tabs>
        <w:autoSpaceDE w:val="0"/>
        <w:autoSpaceDN w:val="0"/>
        <w:adjustRightInd w:val="0"/>
        <w:snapToGrid w:val="0"/>
        <w:spacing w:line="360" w:lineRule="auto"/>
        <w:jc w:val="left"/>
        <w:rPr>
          <w:rFonts w:ascii="宋体" w:hAnsi="宋体"/>
          <w:color w:val="auto"/>
          <w:kern w:val="0"/>
          <w:sz w:val="44"/>
          <w:szCs w:val="44"/>
          <w:highlight w:val="none"/>
        </w:rPr>
      </w:pPr>
    </w:p>
    <w:p>
      <w:pPr>
        <w:tabs>
          <w:tab w:val="left" w:pos="3600"/>
          <w:tab w:val="left" w:pos="4480"/>
          <w:tab w:val="left" w:pos="5360"/>
        </w:tabs>
        <w:autoSpaceDE w:val="0"/>
        <w:autoSpaceDN w:val="0"/>
        <w:adjustRightInd w:val="0"/>
        <w:snapToGrid w:val="0"/>
        <w:spacing w:line="360" w:lineRule="auto"/>
        <w:jc w:val="left"/>
        <w:rPr>
          <w:rFonts w:ascii="宋体" w:hAnsi="宋体"/>
          <w:color w:val="auto"/>
          <w:kern w:val="0"/>
          <w:sz w:val="44"/>
          <w:szCs w:val="44"/>
          <w:highlight w:val="none"/>
        </w:rPr>
      </w:pPr>
    </w:p>
    <w:p>
      <w:pPr>
        <w:tabs>
          <w:tab w:val="left" w:pos="3600"/>
          <w:tab w:val="left" w:pos="4480"/>
          <w:tab w:val="left" w:pos="5360"/>
        </w:tabs>
        <w:autoSpaceDE w:val="0"/>
        <w:autoSpaceDN w:val="0"/>
        <w:adjustRightInd w:val="0"/>
        <w:snapToGrid w:val="0"/>
        <w:spacing w:line="360" w:lineRule="auto"/>
        <w:jc w:val="left"/>
        <w:rPr>
          <w:rFonts w:ascii="宋体" w:hAnsi="宋体"/>
          <w:color w:val="auto"/>
          <w:kern w:val="0"/>
          <w:sz w:val="44"/>
          <w:szCs w:val="44"/>
          <w:highlight w:val="none"/>
        </w:rPr>
      </w:pPr>
    </w:p>
    <w:p>
      <w:pPr>
        <w:tabs>
          <w:tab w:val="left" w:pos="3600"/>
          <w:tab w:val="left" w:pos="4480"/>
          <w:tab w:val="left" w:pos="5360"/>
        </w:tabs>
        <w:autoSpaceDE w:val="0"/>
        <w:autoSpaceDN w:val="0"/>
        <w:adjustRightInd w:val="0"/>
        <w:snapToGrid w:val="0"/>
        <w:spacing w:line="360" w:lineRule="auto"/>
        <w:jc w:val="left"/>
        <w:rPr>
          <w:rFonts w:ascii="宋体" w:hAnsi="宋体"/>
          <w:color w:val="auto"/>
          <w:kern w:val="0"/>
          <w:sz w:val="44"/>
          <w:szCs w:val="44"/>
          <w:highlight w:val="none"/>
        </w:rPr>
      </w:pPr>
    </w:p>
    <w:p>
      <w:pPr>
        <w:tabs>
          <w:tab w:val="left" w:pos="3600"/>
          <w:tab w:val="left" w:pos="4480"/>
          <w:tab w:val="left" w:pos="5360"/>
        </w:tabs>
        <w:autoSpaceDE w:val="0"/>
        <w:autoSpaceDN w:val="0"/>
        <w:adjustRightInd w:val="0"/>
        <w:snapToGrid w:val="0"/>
        <w:spacing w:line="360" w:lineRule="auto"/>
        <w:jc w:val="center"/>
        <w:rPr>
          <w:rFonts w:ascii="宋体" w:hAnsi="宋体"/>
          <w:color w:val="auto"/>
          <w:kern w:val="0"/>
          <w:sz w:val="72"/>
          <w:szCs w:val="72"/>
          <w:highlight w:val="none"/>
        </w:rPr>
      </w:pPr>
      <w:r>
        <w:rPr>
          <w:rFonts w:hint="eastAsia" w:ascii="宋体" w:hAnsi="宋体"/>
          <w:color w:val="auto"/>
          <w:kern w:val="0"/>
          <w:sz w:val="72"/>
          <w:szCs w:val="72"/>
          <w:highlight w:val="none"/>
        </w:rPr>
        <w:t>投 标 文 件</w:t>
      </w:r>
    </w:p>
    <w:p>
      <w:pPr>
        <w:autoSpaceDE w:val="0"/>
        <w:autoSpaceDN w:val="0"/>
        <w:adjustRightInd w:val="0"/>
        <w:snapToGrid w:val="0"/>
        <w:spacing w:line="360" w:lineRule="auto"/>
        <w:jc w:val="left"/>
        <w:rPr>
          <w:rFonts w:ascii="宋体" w:hAnsi="宋体"/>
          <w:color w:val="auto"/>
          <w:kern w:val="0"/>
          <w:sz w:val="16"/>
          <w:szCs w:val="16"/>
          <w:highlight w:val="none"/>
        </w:rPr>
      </w:pPr>
    </w:p>
    <w:p>
      <w:pPr>
        <w:autoSpaceDE w:val="0"/>
        <w:autoSpaceDN w:val="0"/>
        <w:adjustRightInd w:val="0"/>
        <w:snapToGrid w:val="0"/>
        <w:spacing w:line="360" w:lineRule="auto"/>
        <w:jc w:val="center"/>
        <w:rPr>
          <w:rFonts w:ascii="宋体" w:hAnsi="宋体"/>
          <w:color w:val="auto"/>
          <w:kern w:val="0"/>
          <w:sz w:val="36"/>
          <w:szCs w:val="36"/>
          <w:highlight w:val="none"/>
        </w:rPr>
      </w:pPr>
      <w:r>
        <w:rPr>
          <w:rFonts w:hint="eastAsia" w:ascii="宋体" w:hAnsi="宋体"/>
          <w:color w:val="auto"/>
          <w:kern w:val="0"/>
          <w:sz w:val="36"/>
          <w:szCs w:val="36"/>
          <w:highlight w:val="none"/>
          <w:lang w:eastAsia="zh-CN"/>
        </w:rPr>
        <w:t>竞选函</w:t>
      </w:r>
      <w:r>
        <w:rPr>
          <w:rFonts w:hint="eastAsia" w:ascii="宋体" w:hAnsi="宋体"/>
          <w:color w:val="auto"/>
          <w:kern w:val="0"/>
          <w:sz w:val="36"/>
          <w:szCs w:val="36"/>
          <w:highlight w:val="none"/>
        </w:rPr>
        <w:t>部分</w:t>
      </w: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tabs>
          <w:tab w:val="left" w:pos="6080"/>
          <w:tab w:val="left" w:pos="6640"/>
        </w:tabs>
        <w:autoSpaceDE w:val="0"/>
        <w:autoSpaceDN w:val="0"/>
        <w:adjustRightInd w:val="0"/>
        <w:snapToGrid w:val="0"/>
        <w:spacing w:after="156" w:afterLines="50" w:line="360" w:lineRule="auto"/>
        <w:jc w:val="center"/>
        <w:rPr>
          <w:rFonts w:ascii="宋体" w:hAnsi="宋体"/>
          <w:color w:val="auto"/>
          <w:w w:val="99"/>
          <w:kern w:val="0"/>
          <w:sz w:val="28"/>
          <w:szCs w:val="28"/>
          <w:highlight w:val="none"/>
        </w:rPr>
      </w:pPr>
      <w:r>
        <w:rPr>
          <w:rFonts w:hint="eastAsia" w:ascii="宋体" w:hAnsi="宋体"/>
          <w:color w:val="auto"/>
          <w:w w:val="99"/>
          <w:kern w:val="0"/>
          <w:sz w:val="28"/>
          <w:szCs w:val="28"/>
          <w:highlight w:val="none"/>
          <w:lang w:eastAsia="zh-CN"/>
        </w:rPr>
        <w:t>竞选人</w:t>
      </w:r>
      <w:r>
        <w:rPr>
          <w:rFonts w:ascii="宋体" w:hAnsi="宋体"/>
          <w:color w:val="auto"/>
          <w:spacing w:val="1"/>
          <w:w w:val="99"/>
          <w:kern w:val="0"/>
          <w:sz w:val="28"/>
          <w:szCs w:val="28"/>
          <w:highlight w:val="none"/>
        </w:rPr>
        <w:t>：</w:t>
      </w:r>
      <w:r>
        <w:rPr>
          <w:rFonts w:ascii="宋体" w:hAnsi="宋体"/>
          <w:color w:val="auto"/>
          <w:w w:val="198"/>
          <w:kern w:val="0"/>
          <w:sz w:val="28"/>
          <w:szCs w:val="28"/>
          <w:highlight w:val="none"/>
          <w:u w:val="single"/>
        </w:rPr>
        <w:t xml:space="preserve"> 　　　　 　　</w:t>
      </w:r>
      <w:r>
        <w:rPr>
          <w:rFonts w:ascii="宋体" w:hAnsi="宋体"/>
          <w:color w:val="auto"/>
          <w:w w:val="99"/>
          <w:kern w:val="0"/>
          <w:sz w:val="28"/>
          <w:szCs w:val="28"/>
          <w:highlight w:val="none"/>
        </w:rPr>
        <w:t>（盖单位法人章）</w:t>
      </w:r>
    </w:p>
    <w:p>
      <w:pPr>
        <w:tabs>
          <w:tab w:val="left" w:pos="6080"/>
          <w:tab w:val="left" w:pos="6640"/>
        </w:tabs>
        <w:autoSpaceDE w:val="0"/>
        <w:autoSpaceDN w:val="0"/>
        <w:adjustRightInd w:val="0"/>
        <w:snapToGrid w:val="0"/>
        <w:spacing w:after="156" w:afterLines="50" w:line="360" w:lineRule="auto"/>
        <w:jc w:val="center"/>
        <w:rPr>
          <w:rFonts w:ascii="宋体" w:hAnsi="宋体"/>
          <w:color w:val="auto"/>
          <w:kern w:val="0"/>
          <w:sz w:val="28"/>
          <w:szCs w:val="28"/>
          <w:highlight w:val="none"/>
        </w:rPr>
      </w:pPr>
      <w:r>
        <w:rPr>
          <w:rFonts w:ascii="宋体" w:hAnsi="宋体"/>
          <w:color w:val="auto"/>
          <w:w w:val="99"/>
          <w:kern w:val="0"/>
          <w:sz w:val="28"/>
          <w:szCs w:val="28"/>
          <w:highlight w:val="none"/>
        </w:rPr>
        <w:t>法定代表人或其委托代理人：</w:t>
      </w:r>
      <w:r>
        <w:rPr>
          <w:rFonts w:ascii="宋体" w:hAnsi="宋体"/>
          <w:color w:val="auto"/>
          <w:w w:val="198"/>
          <w:kern w:val="0"/>
          <w:sz w:val="28"/>
          <w:szCs w:val="28"/>
          <w:highlight w:val="none"/>
          <w:u w:val="single"/>
        </w:rPr>
        <w:t xml:space="preserve"> 　　 </w:t>
      </w:r>
      <w:r>
        <w:rPr>
          <w:rFonts w:ascii="宋体" w:hAnsi="宋体"/>
          <w:color w:val="auto"/>
          <w:w w:val="99"/>
          <w:kern w:val="0"/>
          <w:sz w:val="28"/>
          <w:szCs w:val="28"/>
          <w:highlight w:val="none"/>
        </w:rPr>
        <w:t>（</w:t>
      </w:r>
      <w:r>
        <w:rPr>
          <w:rFonts w:hint="eastAsia" w:ascii="宋体" w:hAnsi="宋体"/>
          <w:color w:val="auto"/>
          <w:w w:val="99"/>
          <w:kern w:val="0"/>
          <w:sz w:val="28"/>
          <w:szCs w:val="28"/>
          <w:highlight w:val="none"/>
        </w:rPr>
        <w:t>签名</w:t>
      </w:r>
      <w:r>
        <w:rPr>
          <w:rFonts w:ascii="宋体" w:hAnsi="宋体"/>
          <w:color w:val="auto"/>
          <w:w w:val="99"/>
          <w:kern w:val="0"/>
          <w:sz w:val="28"/>
          <w:szCs w:val="28"/>
          <w:highlight w:val="none"/>
        </w:rPr>
        <w:t>或盖章）</w:t>
      </w:r>
    </w:p>
    <w:p>
      <w:pPr>
        <w:autoSpaceDE w:val="0"/>
        <w:autoSpaceDN w:val="0"/>
        <w:adjustRightInd w:val="0"/>
        <w:snapToGrid w:val="0"/>
        <w:spacing w:line="360" w:lineRule="auto"/>
        <w:jc w:val="center"/>
        <w:rPr>
          <w:rFonts w:ascii="宋体" w:hAnsi="宋体"/>
          <w:color w:val="auto"/>
          <w:kern w:val="0"/>
          <w:sz w:val="24"/>
          <w:szCs w:val="21"/>
          <w:highlight w:val="none"/>
        </w:rPr>
      </w:pPr>
      <w:r>
        <w:rPr>
          <w:rFonts w:hint="eastAsia" w:ascii="宋体" w:hAnsi="宋体"/>
          <w:color w:val="auto"/>
          <w:w w:val="99"/>
          <w:kern w:val="0"/>
          <w:sz w:val="28"/>
          <w:szCs w:val="28"/>
          <w:highlight w:val="none"/>
          <w:u w:val="single"/>
        </w:rPr>
        <w:t xml:space="preserve">    </w:t>
      </w:r>
      <w:r>
        <w:rPr>
          <w:rFonts w:hint="eastAsia" w:ascii="宋体" w:hAnsi="宋体"/>
          <w:color w:val="auto"/>
          <w:w w:val="99"/>
          <w:kern w:val="0"/>
          <w:sz w:val="28"/>
          <w:szCs w:val="28"/>
          <w:highlight w:val="none"/>
        </w:rPr>
        <w:t>年</w:t>
      </w:r>
      <w:r>
        <w:rPr>
          <w:rFonts w:hint="eastAsia" w:ascii="宋体" w:hAnsi="宋体"/>
          <w:color w:val="auto"/>
          <w:w w:val="99"/>
          <w:kern w:val="0"/>
          <w:sz w:val="28"/>
          <w:szCs w:val="28"/>
          <w:highlight w:val="none"/>
          <w:u w:val="single"/>
        </w:rPr>
        <w:t xml:space="preserve">    </w:t>
      </w:r>
      <w:r>
        <w:rPr>
          <w:rFonts w:hint="eastAsia" w:ascii="宋体" w:hAnsi="宋体"/>
          <w:color w:val="auto"/>
          <w:w w:val="99"/>
          <w:kern w:val="0"/>
          <w:sz w:val="28"/>
          <w:szCs w:val="28"/>
          <w:highlight w:val="none"/>
        </w:rPr>
        <w:t>月</w:t>
      </w:r>
      <w:r>
        <w:rPr>
          <w:rFonts w:hint="eastAsia" w:ascii="宋体" w:hAnsi="宋体"/>
          <w:color w:val="auto"/>
          <w:w w:val="99"/>
          <w:kern w:val="0"/>
          <w:sz w:val="28"/>
          <w:szCs w:val="28"/>
          <w:highlight w:val="none"/>
          <w:u w:val="single"/>
        </w:rPr>
        <w:t xml:space="preserve">    </w:t>
      </w:r>
      <w:r>
        <w:rPr>
          <w:rFonts w:hint="eastAsia" w:ascii="宋体" w:hAnsi="宋体"/>
          <w:color w:val="auto"/>
          <w:w w:val="99"/>
          <w:kern w:val="0"/>
          <w:sz w:val="28"/>
          <w:szCs w:val="28"/>
          <w:highlight w:val="none"/>
        </w:rPr>
        <w:t>日</w:t>
      </w:r>
      <w:r>
        <w:rPr>
          <w:rFonts w:ascii="宋体" w:hAnsi="宋体"/>
          <w:color w:val="auto"/>
          <w:kern w:val="0"/>
          <w:sz w:val="24"/>
          <w:szCs w:val="21"/>
          <w:highlight w:val="none"/>
        </w:rPr>
        <w:br w:type="page"/>
      </w:r>
    </w:p>
    <w:p>
      <w:pPr>
        <w:autoSpaceDE w:val="0"/>
        <w:autoSpaceDN w:val="0"/>
        <w:adjustRightInd w:val="0"/>
        <w:snapToGrid w:val="0"/>
        <w:spacing w:line="360" w:lineRule="auto"/>
        <w:jc w:val="center"/>
        <w:rPr>
          <w:rFonts w:ascii="宋体" w:hAnsi="宋体"/>
          <w:color w:val="auto"/>
          <w:kern w:val="0"/>
          <w:sz w:val="36"/>
          <w:szCs w:val="36"/>
          <w:highlight w:val="none"/>
        </w:rPr>
      </w:pPr>
      <w:r>
        <w:rPr>
          <w:rFonts w:hint="eastAsia" w:ascii="宋体" w:hAnsi="宋体"/>
          <w:color w:val="auto"/>
          <w:kern w:val="0"/>
          <w:sz w:val="36"/>
          <w:szCs w:val="36"/>
          <w:highlight w:val="none"/>
        </w:rPr>
        <w:t>目  录</w:t>
      </w:r>
    </w:p>
    <w:p>
      <w:pPr>
        <w:autoSpaceDE w:val="0"/>
        <w:autoSpaceDN w:val="0"/>
        <w:adjustRightInd w:val="0"/>
        <w:snapToGrid w:val="0"/>
        <w:spacing w:line="360" w:lineRule="auto"/>
        <w:jc w:val="left"/>
        <w:rPr>
          <w:rFonts w:ascii="宋体" w:hAnsi="宋体"/>
          <w:color w:val="auto"/>
          <w:kern w:val="0"/>
          <w:sz w:val="24"/>
          <w:szCs w:val="21"/>
          <w:highlight w:val="none"/>
        </w:rPr>
      </w:pPr>
    </w:p>
    <w:p>
      <w:pPr>
        <w:autoSpaceDE w:val="0"/>
        <w:autoSpaceDN w:val="0"/>
        <w:adjustRightInd w:val="0"/>
        <w:spacing w:line="360" w:lineRule="auto"/>
        <w:ind w:firstLine="480" w:firstLineChars="200"/>
        <w:jc w:val="left"/>
        <w:rPr>
          <w:rFonts w:hint="eastAsia" w:ascii="宋体" w:hAnsi="宋体" w:eastAsia="宋体"/>
          <w:color w:val="auto"/>
          <w:kern w:val="0"/>
          <w:sz w:val="24"/>
          <w:highlight w:val="none"/>
          <w:lang w:eastAsia="zh-CN"/>
        </w:rPr>
      </w:pPr>
      <w:bookmarkStart w:id="1007" w:name="_Toc287607867"/>
      <w:bookmarkStart w:id="1008" w:name="_Toc224103495"/>
      <w:bookmarkStart w:id="1009" w:name="_Toc534185831"/>
      <w:bookmarkStart w:id="1010" w:name="_Toc509218854"/>
      <w:bookmarkStart w:id="1011" w:name="_Toc430530530"/>
      <w:bookmarkStart w:id="1012" w:name="_Toc277082643"/>
      <w:bookmarkStart w:id="1013" w:name="_Toc287620814"/>
      <w:r>
        <w:rPr>
          <w:rFonts w:ascii="宋体" w:hAnsi="宋体"/>
          <w:color w:val="auto"/>
          <w:kern w:val="0"/>
          <w:sz w:val="24"/>
          <w:highlight w:val="none"/>
        </w:rPr>
        <w:t>（一）</w:t>
      </w:r>
      <w:r>
        <w:rPr>
          <w:rFonts w:hint="eastAsia" w:ascii="宋体" w:hAnsi="宋体"/>
          <w:color w:val="auto"/>
          <w:kern w:val="0"/>
          <w:sz w:val="24"/>
          <w:highlight w:val="none"/>
          <w:lang w:eastAsia="zh-CN"/>
        </w:rPr>
        <w:t>竞选函</w:t>
      </w:r>
    </w:p>
    <w:p>
      <w:pPr>
        <w:autoSpaceDE w:val="0"/>
        <w:autoSpaceDN w:val="0"/>
        <w:adjustRightInd w:val="0"/>
        <w:spacing w:line="360" w:lineRule="auto"/>
        <w:ind w:firstLine="480" w:firstLineChars="200"/>
        <w:jc w:val="left"/>
        <w:rPr>
          <w:rFonts w:ascii="宋体" w:hAnsi="宋体"/>
          <w:color w:val="auto"/>
          <w:kern w:val="0"/>
          <w:sz w:val="24"/>
          <w:highlight w:val="none"/>
        </w:rPr>
      </w:pPr>
      <w:r>
        <w:rPr>
          <w:rFonts w:ascii="宋体" w:hAnsi="宋体"/>
          <w:color w:val="auto"/>
          <w:kern w:val="0"/>
          <w:sz w:val="24"/>
          <w:highlight w:val="none"/>
        </w:rPr>
        <w:t>（二）</w:t>
      </w:r>
      <w:r>
        <w:rPr>
          <w:rFonts w:hint="eastAsia" w:ascii="宋体" w:hAnsi="宋体"/>
          <w:color w:val="auto"/>
          <w:kern w:val="0"/>
          <w:sz w:val="24"/>
          <w:highlight w:val="none"/>
          <w:lang w:eastAsia="zh-CN"/>
        </w:rPr>
        <w:t>竞选函</w:t>
      </w:r>
      <w:r>
        <w:rPr>
          <w:rFonts w:ascii="宋体" w:hAnsi="宋体"/>
          <w:color w:val="auto"/>
          <w:kern w:val="0"/>
          <w:sz w:val="24"/>
          <w:highlight w:val="none"/>
        </w:rPr>
        <w:t>附录</w:t>
      </w:r>
    </w:p>
    <w:p>
      <w:pPr>
        <w:autoSpaceDE w:val="0"/>
        <w:autoSpaceDN w:val="0"/>
        <w:adjustRightInd w:val="0"/>
        <w:spacing w:line="360" w:lineRule="auto"/>
        <w:ind w:firstLine="480" w:firstLineChars="200"/>
        <w:jc w:val="left"/>
        <w:rPr>
          <w:rFonts w:hint="eastAsia" w:ascii="宋体" w:hAnsi="宋体" w:eastAsia="宋体" w:cs="Times New Roman"/>
          <w:color w:val="auto"/>
          <w:kern w:val="0"/>
          <w:sz w:val="24"/>
          <w:highlight w:val="none"/>
        </w:rPr>
      </w:pPr>
      <w:r>
        <w:rPr>
          <w:rFonts w:ascii="宋体" w:hAnsi="宋体" w:eastAsia="宋体" w:cs="Times New Roman"/>
          <w:color w:val="auto"/>
          <w:kern w:val="0"/>
          <w:sz w:val="24"/>
          <w:highlight w:val="none"/>
        </w:rPr>
        <w:t>（三）</w:t>
      </w:r>
      <w:r>
        <w:rPr>
          <w:rFonts w:hint="eastAsia" w:ascii="宋体" w:hAnsi="宋体" w:eastAsia="宋体" w:cs="Times New Roman"/>
          <w:color w:val="auto"/>
          <w:kern w:val="0"/>
          <w:sz w:val="24"/>
          <w:highlight w:val="none"/>
        </w:rPr>
        <w:t>法定代表人身份证明或附有法定代表人身份证明的授权委托书</w:t>
      </w:r>
    </w:p>
    <w:p>
      <w:pPr>
        <w:autoSpaceDE w:val="0"/>
        <w:autoSpaceDN w:val="0"/>
        <w:adjustRightInd w:val="0"/>
        <w:spacing w:line="360" w:lineRule="auto"/>
        <w:ind w:firstLine="480" w:firstLineChars="200"/>
        <w:jc w:val="left"/>
        <w:rPr>
          <w:rFonts w:ascii="宋体" w:hAnsi="宋体" w:eastAsia="宋体" w:cs="Times New Roman"/>
          <w:color w:val="auto"/>
          <w:kern w:val="0"/>
          <w:sz w:val="24"/>
          <w:highlight w:val="none"/>
        </w:rPr>
      </w:pPr>
      <w:r>
        <w:rPr>
          <w:rFonts w:ascii="宋体" w:hAnsi="宋体" w:eastAsia="宋体" w:cs="Times New Roman"/>
          <w:color w:val="auto"/>
          <w:kern w:val="0"/>
          <w:sz w:val="24"/>
          <w:highlight w:val="none"/>
        </w:rPr>
        <w:t>（四）</w:t>
      </w:r>
      <w:r>
        <w:rPr>
          <w:rFonts w:hint="eastAsia" w:ascii="宋体" w:hAnsi="宋体" w:eastAsia="宋体" w:cs="Times New Roman"/>
          <w:color w:val="auto"/>
          <w:kern w:val="0"/>
          <w:sz w:val="24"/>
          <w:highlight w:val="none"/>
        </w:rPr>
        <w:t>低价风险担保提交承诺书（如有）</w:t>
      </w:r>
    </w:p>
    <w:p>
      <w:pPr>
        <w:pStyle w:val="5"/>
        <w:spacing w:before="0" w:after="0" w:line="400" w:lineRule="exact"/>
        <w:jc w:val="center"/>
        <w:rPr>
          <w:rFonts w:hint="eastAsia" w:ascii="宋体" w:hAnsi="宋体" w:eastAsia="宋体"/>
          <w:b w:val="0"/>
          <w:color w:val="auto"/>
          <w:highlight w:val="none"/>
          <w:lang w:eastAsia="zh-CN"/>
        </w:rPr>
      </w:pPr>
      <w:r>
        <w:rPr>
          <w:rFonts w:ascii="宋体" w:hAnsi="宋体"/>
          <w:color w:val="auto"/>
          <w:highlight w:val="none"/>
        </w:rPr>
        <w:br w:type="page"/>
      </w:r>
      <w:bookmarkStart w:id="1014" w:name="_Toc26071"/>
      <w:bookmarkStart w:id="1015" w:name="_Toc7599"/>
      <w:r>
        <w:rPr>
          <w:rFonts w:hint="eastAsia"/>
          <w:color w:val="auto"/>
          <w:highlight w:val="none"/>
        </w:rPr>
        <w:t>（一）</w:t>
      </w:r>
      <w:bookmarkEnd w:id="1007"/>
      <w:bookmarkEnd w:id="1008"/>
      <w:bookmarkEnd w:id="1009"/>
      <w:bookmarkEnd w:id="1010"/>
      <w:bookmarkEnd w:id="1011"/>
      <w:bookmarkEnd w:id="1012"/>
      <w:bookmarkEnd w:id="1013"/>
      <w:bookmarkEnd w:id="1014"/>
      <w:r>
        <w:rPr>
          <w:rFonts w:hint="eastAsia"/>
          <w:color w:val="auto"/>
          <w:highlight w:val="none"/>
          <w:lang w:eastAsia="zh-CN"/>
        </w:rPr>
        <w:t>竞选函</w:t>
      </w:r>
      <w:bookmarkEnd w:id="1015"/>
    </w:p>
    <w:p>
      <w:pPr>
        <w:tabs>
          <w:tab w:val="left" w:pos="2640"/>
        </w:tabs>
        <w:autoSpaceDE w:val="0"/>
        <w:autoSpaceDN w:val="0"/>
        <w:adjustRightInd w:val="0"/>
        <w:spacing w:line="400" w:lineRule="exact"/>
        <w:rPr>
          <w:rFonts w:ascii="宋体" w:hAnsi="宋体"/>
          <w:snapToGrid w:val="0"/>
          <w:color w:val="auto"/>
          <w:kern w:val="0"/>
          <w:szCs w:val="21"/>
          <w:highlight w:val="none"/>
        </w:rPr>
      </w:pPr>
      <w:r>
        <w:rPr>
          <w:rFonts w:ascii="宋体" w:hAnsi="宋体"/>
          <w:snapToGrid w:val="0"/>
          <w:color w:val="auto"/>
          <w:kern w:val="0"/>
          <w:szCs w:val="21"/>
          <w:highlight w:val="none"/>
          <w:u w:val="single"/>
        </w:rPr>
        <w:tab/>
      </w:r>
      <w:r>
        <w:rPr>
          <w:rFonts w:ascii="宋体" w:hAnsi="宋体"/>
          <w:snapToGrid w:val="0"/>
          <w:color w:val="auto"/>
          <w:kern w:val="0"/>
          <w:szCs w:val="21"/>
          <w:highlight w:val="none"/>
          <w:u w:val="single"/>
        </w:rPr>
        <w:t>（</w:t>
      </w:r>
      <w:r>
        <w:rPr>
          <w:rFonts w:hint="eastAsia" w:ascii="宋体" w:hAnsi="宋体"/>
          <w:snapToGrid w:val="0"/>
          <w:color w:val="auto"/>
          <w:kern w:val="0"/>
          <w:szCs w:val="21"/>
          <w:highlight w:val="none"/>
          <w:u w:val="single"/>
          <w:lang w:eastAsia="zh-CN"/>
        </w:rPr>
        <w:t>比选人</w:t>
      </w:r>
      <w:r>
        <w:rPr>
          <w:rFonts w:ascii="宋体" w:hAnsi="宋体"/>
          <w:snapToGrid w:val="0"/>
          <w:color w:val="auto"/>
          <w:kern w:val="0"/>
          <w:szCs w:val="21"/>
          <w:highlight w:val="none"/>
          <w:u w:val="single"/>
        </w:rPr>
        <w:t>名称）</w:t>
      </w:r>
      <w:r>
        <w:rPr>
          <w:rFonts w:ascii="宋体" w:hAnsi="宋体"/>
          <w:snapToGrid w:val="0"/>
          <w:color w:val="auto"/>
          <w:kern w:val="0"/>
          <w:szCs w:val="21"/>
          <w:highlight w:val="none"/>
        </w:rPr>
        <w:t>：</w:t>
      </w:r>
    </w:p>
    <w:p>
      <w:pPr>
        <w:tabs>
          <w:tab w:val="left" w:pos="2655"/>
          <w:tab w:val="left" w:pos="3520"/>
          <w:tab w:val="left" w:pos="4920"/>
          <w:tab w:val="left" w:pos="5715"/>
          <w:tab w:val="left" w:pos="6945"/>
          <w:tab w:val="left" w:pos="7980"/>
        </w:tabs>
        <w:autoSpaceDE w:val="0"/>
        <w:autoSpaceDN w:val="0"/>
        <w:adjustRightInd w:val="0"/>
        <w:spacing w:line="400" w:lineRule="exact"/>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1</w:t>
      </w:r>
      <w:r>
        <w:rPr>
          <w:rFonts w:hint="eastAsia" w:ascii="宋体" w:hAnsi="宋体"/>
          <w:snapToGrid w:val="0"/>
          <w:color w:val="auto"/>
          <w:kern w:val="0"/>
          <w:szCs w:val="21"/>
          <w:highlight w:val="none"/>
        </w:rPr>
        <w:t xml:space="preserve">. </w:t>
      </w:r>
      <w:r>
        <w:rPr>
          <w:rFonts w:ascii="宋体" w:hAnsi="宋体"/>
          <w:snapToGrid w:val="0"/>
          <w:color w:val="auto"/>
          <w:kern w:val="0"/>
          <w:szCs w:val="21"/>
          <w:highlight w:val="none"/>
        </w:rPr>
        <w:t>我方已仔细研究了</w:t>
      </w:r>
      <w:r>
        <w:rPr>
          <w:rFonts w:ascii="宋体" w:hAnsi="宋体"/>
          <w:snapToGrid w:val="0"/>
          <w:color w:val="auto"/>
          <w:kern w:val="0"/>
          <w:szCs w:val="21"/>
          <w:highlight w:val="none"/>
          <w:u w:val="single"/>
        </w:rPr>
        <w:tab/>
      </w:r>
      <w:r>
        <w:rPr>
          <w:rFonts w:ascii="宋体" w:hAnsi="宋体"/>
          <w:snapToGrid w:val="0"/>
          <w:color w:val="auto"/>
          <w:kern w:val="0"/>
          <w:szCs w:val="21"/>
          <w:highlight w:val="none"/>
          <w:u w:val="single"/>
        </w:rPr>
        <w:tab/>
      </w:r>
      <w:r>
        <w:rPr>
          <w:rFonts w:ascii="宋体" w:hAnsi="宋体"/>
          <w:snapToGrid w:val="0"/>
          <w:color w:val="auto"/>
          <w:kern w:val="0"/>
          <w:szCs w:val="21"/>
          <w:highlight w:val="none"/>
          <w:u w:val="single"/>
        </w:rPr>
        <w:t>（项目名称）</w:t>
      </w:r>
      <w:r>
        <w:rPr>
          <w:rFonts w:ascii="宋体" w:hAnsi="宋体"/>
          <w:snapToGrid w:val="0"/>
          <w:color w:val="auto"/>
          <w:kern w:val="0"/>
          <w:szCs w:val="21"/>
          <w:highlight w:val="none"/>
        </w:rPr>
        <w:t>招标文件的全部内容，愿意以人民币（大写）</w:t>
      </w:r>
      <w:r>
        <w:rPr>
          <w:rFonts w:ascii="宋体" w:hAnsi="宋体"/>
          <w:snapToGrid w:val="0"/>
          <w:color w:val="auto"/>
          <w:kern w:val="0"/>
          <w:szCs w:val="21"/>
          <w:highlight w:val="none"/>
          <w:u w:val="single"/>
        </w:rPr>
        <w:tab/>
      </w:r>
      <w:r>
        <w:rPr>
          <w:rFonts w:ascii="宋体" w:hAnsi="宋体"/>
          <w:snapToGrid w:val="0"/>
          <w:color w:val="auto"/>
          <w:kern w:val="0"/>
          <w:szCs w:val="21"/>
          <w:highlight w:val="none"/>
        </w:rPr>
        <w:t>（¥</w:t>
      </w:r>
      <w:r>
        <w:rPr>
          <w:rFonts w:ascii="宋体" w:hAnsi="宋体"/>
          <w:snapToGrid w:val="0"/>
          <w:color w:val="auto"/>
          <w:kern w:val="0"/>
          <w:szCs w:val="21"/>
          <w:highlight w:val="none"/>
          <w:u w:val="single"/>
        </w:rPr>
        <w:tab/>
      </w:r>
      <w:r>
        <w:rPr>
          <w:rFonts w:ascii="宋体" w:hAnsi="宋体"/>
          <w:snapToGrid w:val="0"/>
          <w:color w:val="auto"/>
          <w:kern w:val="0"/>
          <w:szCs w:val="21"/>
          <w:highlight w:val="none"/>
        </w:rPr>
        <w:t>）的投标总报价进行报价，其中</w:t>
      </w:r>
      <w:r>
        <w:rPr>
          <w:rFonts w:ascii="宋体" w:hAnsi="宋体"/>
          <w:snapToGrid w:val="0"/>
          <w:color w:val="auto"/>
          <w:kern w:val="0"/>
          <w:highlight w:val="none"/>
        </w:rPr>
        <w:t>安全文明施工费暂定金额为人民币</w:t>
      </w:r>
      <w:r>
        <w:rPr>
          <w:rFonts w:ascii="宋体" w:hAnsi="宋体"/>
          <w:snapToGrid w:val="0"/>
          <w:color w:val="auto"/>
          <w:kern w:val="0"/>
          <w:szCs w:val="21"/>
          <w:highlight w:val="none"/>
        </w:rPr>
        <w:t>（大写）</w:t>
      </w:r>
      <w:r>
        <w:rPr>
          <w:rFonts w:ascii="宋体" w:hAnsi="宋体"/>
          <w:snapToGrid w:val="0"/>
          <w:color w:val="auto"/>
          <w:kern w:val="0"/>
          <w:szCs w:val="21"/>
          <w:highlight w:val="none"/>
          <w:u w:val="single"/>
        </w:rPr>
        <w:tab/>
      </w:r>
      <w:r>
        <w:rPr>
          <w:rFonts w:ascii="宋体" w:hAnsi="宋体"/>
          <w:snapToGrid w:val="0"/>
          <w:color w:val="auto"/>
          <w:kern w:val="0"/>
          <w:szCs w:val="21"/>
          <w:highlight w:val="none"/>
        </w:rPr>
        <w:t>（¥</w:t>
      </w:r>
      <w:r>
        <w:rPr>
          <w:rFonts w:ascii="宋体" w:hAnsi="宋体"/>
          <w:snapToGrid w:val="0"/>
          <w:color w:val="auto"/>
          <w:kern w:val="0"/>
          <w:szCs w:val="21"/>
          <w:highlight w:val="none"/>
          <w:u w:val="single"/>
        </w:rPr>
        <w:tab/>
      </w:r>
      <w:r>
        <w:rPr>
          <w:rFonts w:ascii="宋体" w:hAnsi="宋体"/>
          <w:snapToGrid w:val="0"/>
          <w:color w:val="auto"/>
          <w:kern w:val="0"/>
          <w:szCs w:val="21"/>
          <w:highlight w:val="none"/>
        </w:rPr>
        <w:t>）</w:t>
      </w:r>
      <w:r>
        <w:rPr>
          <w:rFonts w:hint="eastAsia" w:ascii="宋体" w:hAnsi="宋体"/>
          <w:snapToGrid w:val="0"/>
          <w:color w:val="auto"/>
          <w:kern w:val="0"/>
          <w:szCs w:val="21"/>
          <w:highlight w:val="none"/>
          <w:lang w:eastAsia="zh-CN"/>
        </w:rPr>
        <w:t>；</w:t>
      </w:r>
      <w:r>
        <w:rPr>
          <w:rFonts w:ascii="宋体" w:hAnsi="宋体"/>
          <w:snapToGrid w:val="0"/>
          <w:color w:val="auto"/>
          <w:kern w:val="0"/>
          <w:szCs w:val="21"/>
          <w:highlight w:val="none"/>
        </w:rPr>
        <w:t>该工程</w:t>
      </w:r>
      <w:r>
        <w:rPr>
          <w:rFonts w:ascii="宋体" w:hAnsi="宋体"/>
          <w:snapToGrid w:val="0"/>
          <w:color w:val="auto"/>
          <w:kern w:val="0"/>
          <w:highlight w:val="none"/>
        </w:rPr>
        <w:t>项目经理为</w:t>
      </w:r>
      <w:r>
        <w:rPr>
          <w:rFonts w:hint="eastAsia" w:ascii="宋体" w:hAnsi="宋体"/>
          <w:snapToGrid w:val="0"/>
          <w:color w:val="auto"/>
          <w:kern w:val="0"/>
          <w:highlight w:val="none"/>
          <w:u w:val="single"/>
        </w:rPr>
        <w:t xml:space="preserve">        </w:t>
      </w:r>
      <w:r>
        <w:rPr>
          <w:rFonts w:hint="eastAsia" w:ascii="宋体" w:hAnsi="宋体"/>
          <w:snapToGrid w:val="0"/>
          <w:color w:val="auto"/>
          <w:kern w:val="0"/>
          <w:szCs w:val="21"/>
          <w:highlight w:val="none"/>
        </w:rPr>
        <w:t>，身份证号码为</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；委托代理人为：</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，身份证号码为</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。工期</w:t>
      </w:r>
      <w:r>
        <w:rPr>
          <w:rFonts w:hint="eastAsia" w:ascii="宋体" w:hAnsi="宋体"/>
          <w:snapToGrid w:val="0"/>
          <w:color w:val="auto"/>
          <w:kern w:val="0"/>
          <w:szCs w:val="21"/>
          <w:highlight w:val="none"/>
        </w:rPr>
        <w:t>达到招标文件的要求</w:t>
      </w:r>
      <w:r>
        <w:rPr>
          <w:rFonts w:ascii="宋体" w:hAnsi="宋体"/>
          <w:snapToGrid w:val="0"/>
          <w:color w:val="auto"/>
          <w:kern w:val="0"/>
          <w:szCs w:val="21"/>
          <w:highlight w:val="none"/>
        </w:rPr>
        <w:t xml:space="preserve">， </w:t>
      </w:r>
      <w:r>
        <w:rPr>
          <w:rFonts w:hint="eastAsia" w:ascii="宋体" w:hAnsi="宋体"/>
          <w:snapToGrid w:val="0"/>
          <w:color w:val="auto"/>
          <w:kern w:val="0"/>
          <w:szCs w:val="21"/>
          <w:highlight w:val="none"/>
        </w:rPr>
        <w:t>缺陷责任期</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lang w:val="en-US" w:eastAsia="zh-CN"/>
        </w:rPr>
        <w:t>24个月</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w:t>
      </w:r>
      <w:r>
        <w:rPr>
          <w:rFonts w:ascii="宋体" w:hAnsi="宋体"/>
          <w:snapToGrid w:val="0"/>
          <w:color w:val="auto"/>
          <w:kern w:val="0"/>
          <w:szCs w:val="21"/>
          <w:highlight w:val="none"/>
        </w:rPr>
        <w:t>按合同约定实施和完成承包工程，修补工程中的任何缺陷，工程质量达到</w:t>
      </w:r>
      <w:r>
        <w:rPr>
          <w:rFonts w:hint="eastAsia" w:ascii="宋体" w:hAnsi="宋体"/>
          <w:snapToGrid w:val="0"/>
          <w:color w:val="auto"/>
          <w:kern w:val="0"/>
          <w:szCs w:val="21"/>
          <w:highlight w:val="none"/>
        </w:rPr>
        <w:t>招标文件的要求</w:t>
      </w:r>
      <w:r>
        <w:rPr>
          <w:rFonts w:ascii="宋体" w:hAnsi="宋体"/>
          <w:snapToGrid w:val="0"/>
          <w:color w:val="auto"/>
          <w:kern w:val="0"/>
          <w:szCs w:val="21"/>
          <w:highlight w:val="none"/>
        </w:rPr>
        <w:t>。</w:t>
      </w:r>
    </w:p>
    <w:p>
      <w:pPr>
        <w:autoSpaceDE w:val="0"/>
        <w:autoSpaceDN w:val="0"/>
        <w:adjustRightInd w:val="0"/>
        <w:spacing w:line="400" w:lineRule="exact"/>
        <w:ind w:firstLine="420" w:firstLineChars="200"/>
        <w:rPr>
          <w:rFonts w:ascii="宋体" w:hAnsi="宋体"/>
          <w:snapToGrid w:val="0"/>
          <w:color w:val="auto"/>
          <w:kern w:val="0"/>
          <w:sz w:val="10"/>
          <w:szCs w:val="10"/>
          <w:highlight w:val="none"/>
        </w:rPr>
      </w:pPr>
      <w:r>
        <w:rPr>
          <w:rFonts w:ascii="宋体" w:hAnsi="宋体"/>
          <w:snapToGrid w:val="0"/>
          <w:color w:val="auto"/>
          <w:kern w:val="0"/>
          <w:szCs w:val="21"/>
          <w:highlight w:val="none"/>
        </w:rPr>
        <w:t>2</w:t>
      </w:r>
      <w:r>
        <w:rPr>
          <w:rFonts w:hint="eastAsia" w:ascii="宋体" w:hAnsi="宋体"/>
          <w:snapToGrid w:val="0"/>
          <w:color w:val="auto"/>
          <w:kern w:val="0"/>
          <w:szCs w:val="21"/>
          <w:highlight w:val="none"/>
        </w:rPr>
        <w:t xml:space="preserve">. </w:t>
      </w:r>
      <w:r>
        <w:rPr>
          <w:rFonts w:ascii="宋体" w:hAnsi="宋体"/>
          <w:snapToGrid w:val="0"/>
          <w:color w:val="auto"/>
          <w:kern w:val="0"/>
          <w:szCs w:val="21"/>
          <w:highlight w:val="none"/>
        </w:rPr>
        <w:t>我方承诺</w:t>
      </w:r>
      <w:r>
        <w:rPr>
          <w:rFonts w:hint="eastAsia" w:ascii="宋体" w:hAnsi="宋体"/>
          <w:snapToGrid w:val="0"/>
          <w:color w:val="auto"/>
          <w:kern w:val="0"/>
          <w:szCs w:val="21"/>
          <w:highlight w:val="none"/>
        </w:rPr>
        <w:t>响应招标文件规定的投标有效期，</w:t>
      </w:r>
      <w:r>
        <w:rPr>
          <w:rFonts w:ascii="宋体" w:hAnsi="宋体"/>
          <w:snapToGrid w:val="0"/>
          <w:color w:val="auto"/>
          <w:kern w:val="0"/>
          <w:szCs w:val="21"/>
          <w:highlight w:val="none"/>
        </w:rPr>
        <w:t>在投标有效期内不修改、撤销</w:t>
      </w:r>
      <w:r>
        <w:rPr>
          <w:rFonts w:hint="eastAsia" w:ascii="宋体" w:hAnsi="宋体"/>
          <w:snapToGrid w:val="0"/>
          <w:color w:val="auto"/>
          <w:kern w:val="0"/>
          <w:szCs w:val="21"/>
          <w:highlight w:val="none"/>
          <w:lang w:eastAsia="zh-CN"/>
        </w:rPr>
        <w:t>竞选文件</w:t>
      </w:r>
      <w:r>
        <w:rPr>
          <w:rFonts w:ascii="宋体" w:hAnsi="宋体"/>
          <w:snapToGrid w:val="0"/>
          <w:color w:val="auto"/>
          <w:kern w:val="0"/>
          <w:szCs w:val="21"/>
          <w:highlight w:val="none"/>
        </w:rPr>
        <w:t>。</w:t>
      </w:r>
    </w:p>
    <w:p>
      <w:pPr>
        <w:autoSpaceDE w:val="0"/>
        <w:autoSpaceDN w:val="0"/>
        <w:adjustRightInd w:val="0"/>
        <w:spacing w:line="400" w:lineRule="exact"/>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3</w:t>
      </w:r>
      <w:r>
        <w:rPr>
          <w:rFonts w:hint="eastAsia" w:ascii="宋体" w:hAnsi="宋体"/>
          <w:snapToGrid w:val="0"/>
          <w:color w:val="auto"/>
          <w:kern w:val="0"/>
          <w:szCs w:val="21"/>
          <w:highlight w:val="none"/>
        </w:rPr>
        <w:t xml:space="preserve">. </w:t>
      </w:r>
      <w:r>
        <w:rPr>
          <w:rFonts w:ascii="宋体" w:hAnsi="宋体"/>
          <w:snapToGrid w:val="0"/>
          <w:color w:val="auto"/>
          <w:kern w:val="0"/>
          <w:szCs w:val="21"/>
          <w:highlight w:val="none"/>
        </w:rPr>
        <w:t>如我方中标：</w:t>
      </w:r>
    </w:p>
    <w:p>
      <w:pPr>
        <w:autoSpaceDE w:val="0"/>
        <w:autoSpaceDN w:val="0"/>
        <w:adjustRightInd w:val="0"/>
        <w:spacing w:line="400" w:lineRule="exact"/>
        <w:ind w:firstLine="420" w:firstLineChars="200"/>
        <w:rPr>
          <w:rFonts w:ascii="宋体" w:hAnsi="宋体"/>
          <w:snapToGrid w:val="0"/>
          <w:color w:val="auto"/>
          <w:kern w:val="0"/>
          <w:sz w:val="10"/>
          <w:szCs w:val="10"/>
          <w:highlight w:val="none"/>
        </w:rPr>
      </w:pPr>
      <w:r>
        <w:rPr>
          <w:rFonts w:ascii="宋体" w:hAnsi="宋体"/>
          <w:snapToGrid w:val="0"/>
          <w:color w:val="auto"/>
          <w:kern w:val="0"/>
          <w:szCs w:val="21"/>
          <w:highlight w:val="none"/>
        </w:rPr>
        <w:t>（1）我方承诺在收到中标通知书后，在中标通知书规定的期限内与你方签订合同。</w:t>
      </w:r>
    </w:p>
    <w:p>
      <w:pPr>
        <w:autoSpaceDE w:val="0"/>
        <w:autoSpaceDN w:val="0"/>
        <w:adjustRightInd w:val="0"/>
        <w:spacing w:line="400" w:lineRule="exact"/>
        <w:ind w:firstLine="420" w:firstLineChars="200"/>
        <w:rPr>
          <w:rFonts w:ascii="宋体" w:hAnsi="宋体"/>
          <w:snapToGrid w:val="0"/>
          <w:color w:val="auto"/>
          <w:kern w:val="0"/>
          <w:sz w:val="10"/>
          <w:szCs w:val="10"/>
          <w:highlight w:val="none"/>
        </w:rPr>
      </w:pPr>
      <w:r>
        <w:rPr>
          <w:rFonts w:ascii="宋体" w:hAnsi="宋体"/>
          <w:snapToGrid w:val="0"/>
          <w:color w:val="auto"/>
          <w:kern w:val="0"/>
          <w:szCs w:val="21"/>
          <w:highlight w:val="none"/>
        </w:rPr>
        <w:t>（2）随同本</w:t>
      </w:r>
      <w:r>
        <w:rPr>
          <w:rFonts w:hint="eastAsia" w:ascii="宋体" w:hAnsi="宋体"/>
          <w:snapToGrid w:val="0"/>
          <w:color w:val="auto"/>
          <w:kern w:val="0"/>
          <w:szCs w:val="21"/>
          <w:highlight w:val="none"/>
          <w:lang w:eastAsia="zh-CN"/>
        </w:rPr>
        <w:t>竞选函</w:t>
      </w:r>
      <w:r>
        <w:rPr>
          <w:rFonts w:ascii="宋体" w:hAnsi="宋体"/>
          <w:snapToGrid w:val="0"/>
          <w:color w:val="auto"/>
          <w:kern w:val="0"/>
          <w:szCs w:val="21"/>
          <w:highlight w:val="none"/>
        </w:rPr>
        <w:t>递交的</w:t>
      </w:r>
      <w:r>
        <w:rPr>
          <w:rFonts w:hint="eastAsia" w:ascii="宋体" w:hAnsi="宋体"/>
          <w:snapToGrid w:val="0"/>
          <w:color w:val="auto"/>
          <w:kern w:val="0"/>
          <w:szCs w:val="21"/>
          <w:highlight w:val="none"/>
          <w:lang w:eastAsia="zh-CN"/>
        </w:rPr>
        <w:t>竞选函</w:t>
      </w:r>
      <w:r>
        <w:rPr>
          <w:rFonts w:ascii="宋体" w:hAnsi="宋体"/>
          <w:snapToGrid w:val="0"/>
          <w:color w:val="auto"/>
          <w:kern w:val="0"/>
          <w:szCs w:val="21"/>
          <w:highlight w:val="none"/>
        </w:rPr>
        <w:t>附录属于合同文件的组成部分。</w:t>
      </w:r>
    </w:p>
    <w:p>
      <w:pPr>
        <w:autoSpaceDE w:val="0"/>
        <w:autoSpaceDN w:val="0"/>
        <w:adjustRightInd w:val="0"/>
        <w:spacing w:line="400" w:lineRule="exact"/>
        <w:ind w:firstLine="420" w:firstLineChars="200"/>
        <w:rPr>
          <w:rFonts w:ascii="宋体" w:hAnsi="宋体"/>
          <w:snapToGrid w:val="0"/>
          <w:color w:val="auto"/>
          <w:kern w:val="0"/>
          <w:sz w:val="10"/>
          <w:szCs w:val="10"/>
          <w:highlight w:val="none"/>
        </w:rPr>
      </w:pPr>
      <w:r>
        <w:rPr>
          <w:rFonts w:ascii="宋体" w:hAnsi="宋体"/>
          <w:snapToGrid w:val="0"/>
          <w:color w:val="auto"/>
          <w:kern w:val="0"/>
          <w:szCs w:val="21"/>
          <w:highlight w:val="none"/>
        </w:rPr>
        <w:t>（3）我方承诺按照招标文件规定向你方递交履约担保。</w:t>
      </w:r>
    </w:p>
    <w:p>
      <w:pPr>
        <w:autoSpaceDE w:val="0"/>
        <w:autoSpaceDN w:val="0"/>
        <w:adjustRightInd w:val="0"/>
        <w:spacing w:line="400" w:lineRule="exact"/>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（4）我方承诺在合同约定的期限内完成并移交全部合同工程。</w:t>
      </w:r>
    </w:p>
    <w:p>
      <w:pPr>
        <w:autoSpaceDE w:val="0"/>
        <w:autoSpaceDN w:val="0"/>
        <w:adjustRightInd w:val="0"/>
        <w:spacing w:line="400" w:lineRule="exact"/>
        <w:ind w:firstLine="420" w:firstLineChars="200"/>
        <w:rPr>
          <w:rFonts w:ascii="宋体" w:hAnsi="宋体"/>
          <w:snapToGrid w:val="0"/>
          <w:color w:val="auto"/>
          <w:kern w:val="0"/>
          <w:sz w:val="10"/>
          <w:szCs w:val="10"/>
          <w:highlight w:val="none"/>
        </w:rPr>
      </w:pPr>
      <w:r>
        <w:rPr>
          <w:rFonts w:hint="eastAsia" w:ascii="宋体" w:hAnsi="宋体"/>
          <w:snapToGrid w:val="0"/>
          <w:color w:val="auto"/>
          <w:kern w:val="0"/>
          <w:szCs w:val="21"/>
          <w:highlight w:val="none"/>
        </w:rPr>
        <w:t>（5）我方承诺以不低于招标文件第七章 技术标准和要求中所列的技术指标和参数要求完成全部合同工程。</w:t>
      </w:r>
    </w:p>
    <w:p>
      <w:pPr>
        <w:tabs>
          <w:tab w:val="left" w:pos="5985"/>
        </w:tabs>
        <w:autoSpaceDE w:val="0"/>
        <w:autoSpaceDN w:val="0"/>
        <w:adjustRightInd w:val="0"/>
        <w:spacing w:line="400" w:lineRule="exact"/>
        <w:ind w:firstLine="420" w:firstLineChars="200"/>
        <w:rPr>
          <w:rFonts w:ascii="宋体" w:hAnsi="宋体"/>
          <w:snapToGrid w:val="0"/>
          <w:color w:val="auto"/>
          <w:kern w:val="0"/>
          <w:szCs w:val="21"/>
          <w:highlight w:val="none"/>
        </w:rPr>
      </w:pPr>
      <w:r>
        <w:rPr>
          <w:rFonts w:hint="eastAsia" w:ascii="宋体" w:hAnsi="宋体"/>
          <w:snapToGrid w:val="0"/>
          <w:color w:val="auto"/>
          <w:kern w:val="0"/>
          <w:szCs w:val="21"/>
          <w:highlight w:val="none"/>
          <w:lang w:val="en-US" w:eastAsia="zh-CN"/>
        </w:rPr>
        <w:t>4</w:t>
      </w:r>
      <w:r>
        <w:rPr>
          <w:rFonts w:hint="eastAsia" w:ascii="宋体" w:hAnsi="宋体"/>
          <w:snapToGrid w:val="0"/>
          <w:color w:val="auto"/>
          <w:kern w:val="0"/>
          <w:szCs w:val="21"/>
          <w:highlight w:val="none"/>
        </w:rPr>
        <w:t xml:space="preserve">. </w:t>
      </w:r>
      <w:r>
        <w:rPr>
          <w:rFonts w:ascii="宋体" w:hAnsi="宋体"/>
          <w:snapToGrid w:val="0"/>
          <w:color w:val="auto"/>
          <w:kern w:val="0"/>
          <w:szCs w:val="21"/>
          <w:highlight w:val="none"/>
        </w:rPr>
        <w:t>我方</w:t>
      </w:r>
      <w:r>
        <w:rPr>
          <w:rFonts w:ascii="宋体" w:hAnsi="宋体"/>
          <w:snapToGrid w:val="0"/>
          <w:color w:val="auto"/>
          <w:spacing w:val="-2"/>
          <w:kern w:val="0"/>
          <w:szCs w:val="21"/>
          <w:highlight w:val="none"/>
        </w:rPr>
        <w:t>在此声明，所递交的</w:t>
      </w:r>
      <w:r>
        <w:rPr>
          <w:rFonts w:hint="eastAsia" w:ascii="宋体" w:hAnsi="宋体"/>
          <w:snapToGrid w:val="0"/>
          <w:color w:val="auto"/>
          <w:spacing w:val="-2"/>
          <w:kern w:val="0"/>
          <w:szCs w:val="21"/>
          <w:highlight w:val="none"/>
          <w:lang w:eastAsia="zh-CN"/>
        </w:rPr>
        <w:t>竞选文件</w:t>
      </w:r>
      <w:r>
        <w:rPr>
          <w:rFonts w:ascii="宋体" w:hAnsi="宋体"/>
          <w:snapToGrid w:val="0"/>
          <w:color w:val="auto"/>
          <w:spacing w:val="-2"/>
          <w:kern w:val="0"/>
          <w:szCs w:val="21"/>
          <w:highlight w:val="none"/>
        </w:rPr>
        <w:t>及有关资料内容完整、真实和准确，且不存在第二章“</w:t>
      </w:r>
      <w:r>
        <w:rPr>
          <w:rFonts w:hint="eastAsia" w:ascii="宋体" w:hAnsi="宋体"/>
          <w:snapToGrid w:val="0"/>
          <w:color w:val="auto"/>
          <w:spacing w:val="-2"/>
          <w:kern w:val="0"/>
          <w:szCs w:val="21"/>
          <w:highlight w:val="none"/>
          <w:lang w:eastAsia="zh-CN"/>
        </w:rPr>
        <w:t>竞选人</w:t>
      </w:r>
      <w:r>
        <w:rPr>
          <w:rFonts w:ascii="宋体" w:hAnsi="宋体"/>
          <w:snapToGrid w:val="0"/>
          <w:color w:val="auto"/>
          <w:kern w:val="0"/>
          <w:szCs w:val="21"/>
          <w:highlight w:val="none"/>
        </w:rPr>
        <w:t>须知”第 1.4.3 项规定的任何一种情形。同时我方承诺接受招标文件及附件、澄清及</w:t>
      </w:r>
      <w:r>
        <w:rPr>
          <w:rFonts w:hint="eastAsia" w:ascii="宋体" w:hAnsi="宋体"/>
          <w:snapToGrid w:val="0"/>
          <w:color w:val="auto"/>
          <w:kern w:val="0"/>
          <w:szCs w:val="21"/>
          <w:highlight w:val="none"/>
        </w:rPr>
        <w:t>修改</w:t>
      </w:r>
      <w:r>
        <w:rPr>
          <w:rFonts w:ascii="宋体" w:hAnsi="宋体"/>
          <w:snapToGrid w:val="0"/>
          <w:color w:val="auto"/>
          <w:kern w:val="0"/>
          <w:szCs w:val="21"/>
          <w:highlight w:val="none"/>
        </w:rPr>
        <w:t>通知中所有的内容。</w:t>
      </w:r>
    </w:p>
    <w:p>
      <w:pPr>
        <w:tabs>
          <w:tab w:val="left" w:pos="5985"/>
        </w:tabs>
        <w:autoSpaceDE w:val="0"/>
        <w:autoSpaceDN w:val="0"/>
        <w:adjustRightInd w:val="0"/>
        <w:spacing w:line="400" w:lineRule="exact"/>
        <w:ind w:firstLine="420" w:firstLineChars="200"/>
        <w:rPr>
          <w:rFonts w:ascii="宋体" w:hAnsi="宋体"/>
          <w:snapToGrid w:val="0"/>
          <w:color w:val="auto"/>
          <w:kern w:val="0"/>
          <w:szCs w:val="21"/>
          <w:highlight w:val="none"/>
        </w:rPr>
      </w:pPr>
      <w:r>
        <w:rPr>
          <w:rFonts w:hint="eastAsia" w:ascii="宋体" w:hAnsi="宋体"/>
          <w:snapToGrid w:val="0"/>
          <w:color w:val="auto"/>
          <w:kern w:val="0"/>
          <w:szCs w:val="21"/>
          <w:highlight w:val="none"/>
          <w:lang w:val="en-US" w:eastAsia="zh-CN"/>
        </w:rPr>
        <w:t>5</w:t>
      </w:r>
      <w:r>
        <w:rPr>
          <w:rFonts w:hint="eastAsia" w:ascii="宋体" w:hAnsi="宋体"/>
          <w:snapToGrid w:val="0"/>
          <w:color w:val="auto"/>
          <w:kern w:val="0"/>
          <w:szCs w:val="21"/>
          <w:highlight w:val="none"/>
        </w:rPr>
        <w:t xml:space="preserve">. </w:t>
      </w:r>
      <w:r>
        <w:rPr>
          <w:rFonts w:ascii="宋体" w:hAnsi="宋体"/>
          <w:snapToGrid w:val="0"/>
          <w:color w:val="auto"/>
          <w:w w:val="200"/>
          <w:kern w:val="0"/>
          <w:szCs w:val="21"/>
          <w:highlight w:val="none"/>
          <w:u w:val="single"/>
        </w:rPr>
        <w:t xml:space="preserve"> </w:t>
      </w:r>
      <w:r>
        <w:rPr>
          <w:rFonts w:ascii="宋体" w:hAnsi="宋体"/>
          <w:snapToGrid w:val="0"/>
          <w:color w:val="auto"/>
          <w:kern w:val="0"/>
          <w:szCs w:val="21"/>
          <w:highlight w:val="none"/>
          <w:u w:val="single"/>
        </w:rPr>
        <w:tab/>
      </w:r>
      <w:r>
        <w:rPr>
          <w:rFonts w:ascii="宋体" w:hAnsi="宋体"/>
          <w:snapToGrid w:val="0"/>
          <w:color w:val="auto"/>
          <w:kern w:val="0"/>
          <w:szCs w:val="21"/>
          <w:highlight w:val="none"/>
          <w:u w:val="single"/>
        </w:rPr>
        <w:t>（其他补充说明）</w:t>
      </w:r>
      <w:r>
        <w:rPr>
          <w:rFonts w:ascii="宋体" w:hAnsi="宋体"/>
          <w:snapToGrid w:val="0"/>
          <w:color w:val="auto"/>
          <w:kern w:val="0"/>
          <w:szCs w:val="21"/>
          <w:highlight w:val="none"/>
        </w:rPr>
        <w:t>。</w:t>
      </w:r>
    </w:p>
    <w:p>
      <w:pPr>
        <w:tabs>
          <w:tab w:val="left" w:pos="7140"/>
          <w:tab w:val="left" w:pos="7560"/>
          <w:tab w:val="left" w:pos="8300"/>
        </w:tabs>
        <w:autoSpaceDE w:val="0"/>
        <w:autoSpaceDN w:val="0"/>
        <w:adjustRightInd w:val="0"/>
        <w:spacing w:line="400" w:lineRule="exact"/>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投  标  人：</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u w:val="single"/>
        </w:rPr>
        <w:t xml:space="preserve">    </w:t>
      </w:r>
      <w:r>
        <w:rPr>
          <w:rFonts w:ascii="宋体" w:hAnsi="宋体"/>
          <w:snapToGrid w:val="0"/>
          <w:color w:val="auto"/>
          <w:kern w:val="0"/>
          <w:szCs w:val="21"/>
          <w:highlight w:val="none"/>
        </w:rPr>
        <w:t xml:space="preserve">（盖单位法人章） </w:t>
      </w:r>
    </w:p>
    <w:p>
      <w:pPr>
        <w:tabs>
          <w:tab w:val="left" w:pos="7140"/>
          <w:tab w:val="left" w:pos="7560"/>
          <w:tab w:val="left" w:pos="8300"/>
        </w:tabs>
        <w:autoSpaceDE w:val="0"/>
        <w:autoSpaceDN w:val="0"/>
        <w:adjustRightInd w:val="0"/>
        <w:spacing w:line="400" w:lineRule="exact"/>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法定代表人</w:t>
      </w:r>
      <w:r>
        <w:rPr>
          <w:rFonts w:hint="eastAsia" w:ascii="宋体" w:hAnsi="宋体"/>
          <w:snapToGrid w:val="0"/>
          <w:color w:val="auto"/>
          <w:kern w:val="0"/>
          <w:szCs w:val="21"/>
          <w:highlight w:val="none"/>
        </w:rPr>
        <w:t>或其委托代理人</w:t>
      </w:r>
      <w:r>
        <w:rPr>
          <w:rFonts w:ascii="宋体" w:hAnsi="宋体"/>
          <w:snapToGrid w:val="0"/>
          <w:color w:val="auto"/>
          <w:kern w:val="0"/>
          <w:szCs w:val="21"/>
          <w:highlight w:val="none"/>
        </w:rPr>
        <w:t>：</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w:t>
      </w:r>
      <w:r>
        <w:rPr>
          <w:rFonts w:hint="eastAsia" w:ascii="宋体" w:hAnsi="宋体"/>
          <w:snapToGrid w:val="0"/>
          <w:color w:val="auto"/>
          <w:kern w:val="0"/>
          <w:szCs w:val="21"/>
          <w:highlight w:val="none"/>
        </w:rPr>
        <w:t>签名</w:t>
      </w:r>
      <w:r>
        <w:rPr>
          <w:rFonts w:ascii="宋体" w:hAnsi="宋体"/>
          <w:snapToGrid w:val="0"/>
          <w:color w:val="auto"/>
          <w:kern w:val="0"/>
          <w:szCs w:val="21"/>
          <w:highlight w:val="none"/>
        </w:rPr>
        <w:t>或盖章）</w:t>
      </w:r>
    </w:p>
    <w:p>
      <w:pPr>
        <w:tabs>
          <w:tab w:val="left" w:pos="7035"/>
          <w:tab w:val="left" w:pos="7560"/>
          <w:tab w:val="left" w:pos="8300"/>
        </w:tabs>
        <w:autoSpaceDE w:val="0"/>
        <w:autoSpaceDN w:val="0"/>
        <w:adjustRightInd w:val="0"/>
        <w:spacing w:line="400" w:lineRule="exact"/>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地</w:t>
      </w:r>
      <w:r>
        <w:rPr>
          <w:rFonts w:hint="eastAsia" w:ascii="宋体" w:hAnsi="宋体"/>
          <w:snapToGrid w:val="0"/>
          <w:color w:val="auto"/>
          <w:kern w:val="0"/>
          <w:szCs w:val="21"/>
          <w:highlight w:val="none"/>
        </w:rPr>
        <w:t xml:space="preserve">    </w:t>
      </w:r>
      <w:r>
        <w:rPr>
          <w:rFonts w:ascii="宋体" w:hAnsi="宋体"/>
          <w:snapToGrid w:val="0"/>
          <w:color w:val="auto"/>
          <w:kern w:val="0"/>
          <w:szCs w:val="21"/>
          <w:highlight w:val="none"/>
        </w:rPr>
        <w:t>址：</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u w:val="single"/>
        </w:rPr>
        <w:t xml:space="preserve">       </w:t>
      </w:r>
    </w:p>
    <w:p>
      <w:pPr>
        <w:tabs>
          <w:tab w:val="left" w:pos="8300"/>
        </w:tabs>
        <w:autoSpaceDE w:val="0"/>
        <w:autoSpaceDN w:val="0"/>
        <w:adjustRightInd w:val="0"/>
        <w:spacing w:line="400" w:lineRule="exact"/>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网</w:t>
      </w:r>
      <w:r>
        <w:rPr>
          <w:rFonts w:hint="eastAsia" w:ascii="宋体" w:hAnsi="宋体"/>
          <w:snapToGrid w:val="0"/>
          <w:color w:val="auto"/>
          <w:kern w:val="0"/>
          <w:szCs w:val="21"/>
          <w:highlight w:val="none"/>
        </w:rPr>
        <w:t xml:space="preserve">    </w:t>
      </w:r>
      <w:r>
        <w:rPr>
          <w:rFonts w:ascii="宋体" w:hAnsi="宋体"/>
          <w:snapToGrid w:val="0"/>
          <w:color w:val="auto"/>
          <w:kern w:val="0"/>
          <w:szCs w:val="21"/>
          <w:highlight w:val="none"/>
        </w:rPr>
        <w:t>址：</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u w:val="single"/>
        </w:rPr>
        <w:t xml:space="preserve">      </w:t>
      </w:r>
    </w:p>
    <w:p>
      <w:pPr>
        <w:tabs>
          <w:tab w:val="left" w:pos="8300"/>
        </w:tabs>
        <w:autoSpaceDE w:val="0"/>
        <w:autoSpaceDN w:val="0"/>
        <w:adjustRightInd w:val="0"/>
        <w:spacing w:line="400" w:lineRule="exact"/>
        <w:ind w:firstLine="420" w:firstLineChars="200"/>
        <w:rPr>
          <w:rFonts w:ascii="宋体" w:hAnsi="宋体"/>
          <w:snapToGrid w:val="0"/>
          <w:color w:val="auto"/>
          <w:kern w:val="0"/>
          <w:szCs w:val="21"/>
          <w:highlight w:val="none"/>
          <w:u w:val="single"/>
        </w:rPr>
      </w:pPr>
      <w:r>
        <w:rPr>
          <w:rFonts w:hint="eastAsia" w:ascii="宋体" w:hAnsi="宋体"/>
          <w:snapToGrid w:val="0"/>
          <w:color w:val="auto"/>
          <w:kern w:val="0"/>
          <w:szCs w:val="21"/>
          <w:highlight w:val="none"/>
        </w:rPr>
        <w:t>单位电话（座机）：</w:t>
      </w:r>
      <w:r>
        <w:rPr>
          <w:rFonts w:hint="eastAsia"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rPr>
        <w:t>委托代理人电话（手机）：</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                 </w:t>
      </w:r>
    </w:p>
    <w:p>
      <w:pPr>
        <w:tabs>
          <w:tab w:val="left" w:pos="8300"/>
        </w:tabs>
        <w:autoSpaceDE w:val="0"/>
        <w:autoSpaceDN w:val="0"/>
        <w:adjustRightInd w:val="0"/>
        <w:spacing w:line="400" w:lineRule="exact"/>
        <w:ind w:firstLine="420" w:firstLineChars="200"/>
        <w:rPr>
          <w:rFonts w:ascii="宋体" w:hAnsi="宋体"/>
          <w:snapToGrid w:val="0"/>
          <w:color w:val="auto"/>
          <w:kern w:val="0"/>
          <w:szCs w:val="21"/>
          <w:highlight w:val="none"/>
        </w:rPr>
      </w:pPr>
      <w:r>
        <w:rPr>
          <w:rFonts w:ascii="宋体" w:hAnsi="宋体"/>
          <w:snapToGrid w:val="0"/>
          <w:color w:val="auto"/>
          <w:kern w:val="0"/>
          <w:szCs w:val="21"/>
          <w:highlight w:val="none"/>
        </w:rPr>
        <w:t>传</w:t>
      </w:r>
      <w:r>
        <w:rPr>
          <w:rFonts w:hint="eastAsia" w:ascii="宋体" w:hAnsi="宋体"/>
          <w:snapToGrid w:val="0"/>
          <w:color w:val="auto"/>
          <w:kern w:val="0"/>
          <w:szCs w:val="21"/>
          <w:highlight w:val="none"/>
        </w:rPr>
        <w:t xml:space="preserve">    </w:t>
      </w:r>
      <w:r>
        <w:rPr>
          <w:rFonts w:ascii="宋体" w:hAnsi="宋体"/>
          <w:snapToGrid w:val="0"/>
          <w:color w:val="auto"/>
          <w:kern w:val="0"/>
          <w:szCs w:val="21"/>
          <w:highlight w:val="none"/>
        </w:rPr>
        <w:t>真：</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u w:val="single"/>
        </w:rPr>
        <w:t xml:space="preserve">      </w:t>
      </w:r>
    </w:p>
    <w:p>
      <w:pPr>
        <w:tabs>
          <w:tab w:val="left" w:pos="8300"/>
        </w:tabs>
        <w:autoSpaceDE w:val="0"/>
        <w:autoSpaceDN w:val="0"/>
        <w:adjustRightInd w:val="0"/>
        <w:spacing w:line="400" w:lineRule="exact"/>
        <w:ind w:firstLine="420" w:firstLineChars="200"/>
        <w:rPr>
          <w:rFonts w:ascii="宋体" w:hAnsi="宋体"/>
          <w:snapToGrid w:val="0"/>
          <w:color w:val="auto"/>
          <w:kern w:val="0"/>
          <w:szCs w:val="21"/>
          <w:highlight w:val="none"/>
          <w:u w:val="single"/>
        </w:rPr>
      </w:pPr>
      <w:r>
        <w:rPr>
          <w:rFonts w:ascii="宋体" w:hAnsi="宋体"/>
          <w:snapToGrid w:val="0"/>
          <w:color w:val="auto"/>
          <w:kern w:val="0"/>
          <w:szCs w:val="21"/>
          <w:highlight w:val="none"/>
        </w:rPr>
        <w:t>邮政编码：</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u w:val="single"/>
        </w:rPr>
        <w:t xml:space="preserve">      </w:t>
      </w:r>
    </w:p>
    <w:p>
      <w:pPr>
        <w:tabs>
          <w:tab w:val="left" w:pos="8300"/>
        </w:tabs>
        <w:autoSpaceDE w:val="0"/>
        <w:autoSpaceDN w:val="0"/>
        <w:adjustRightInd w:val="0"/>
        <w:spacing w:line="400" w:lineRule="exact"/>
        <w:ind w:firstLine="400" w:firstLineChars="200"/>
        <w:rPr>
          <w:rFonts w:ascii="宋体" w:hAnsi="宋体"/>
          <w:snapToGrid w:val="0"/>
          <w:color w:val="auto"/>
          <w:kern w:val="0"/>
          <w:sz w:val="20"/>
          <w:szCs w:val="20"/>
          <w:highlight w:val="none"/>
        </w:rPr>
      </w:pPr>
    </w:p>
    <w:p>
      <w:pPr>
        <w:tabs>
          <w:tab w:val="left" w:pos="8300"/>
        </w:tabs>
        <w:autoSpaceDE w:val="0"/>
        <w:autoSpaceDN w:val="0"/>
        <w:adjustRightInd w:val="0"/>
        <w:spacing w:line="400" w:lineRule="exact"/>
        <w:ind w:firstLine="420" w:firstLineChars="200"/>
        <w:jc w:val="right"/>
        <w:rPr>
          <w:rFonts w:ascii="宋体" w:hAnsi="宋体"/>
          <w:color w:val="auto"/>
          <w:kern w:val="0"/>
          <w:szCs w:val="21"/>
          <w:highlight w:val="none"/>
        </w:rPr>
      </w:pPr>
      <w:r>
        <w:rPr>
          <w:rFonts w:hint="eastAsia" w:ascii="宋体" w:hAnsi="宋体"/>
          <w:color w:val="auto"/>
          <w:kern w:val="0"/>
          <w:szCs w:val="21"/>
          <w:highlight w:val="none"/>
          <w:u w:val="single"/>
        </w:rPr>
        <w:t xml:space="preserve">    </w:t>
      </w:r>
      <w:r>
        <w:rPr>
          <w:rFonts w:ascii="宋体" w:hAnsi="宋体"/>
          <w:color w:val="auto"/>
          <w:kern w:val="0"/>
          <w:szCs w:val="21"/>
          <w:highlight w:val="none"/>
        </w:rPr>
        <w:t>年</w:t>
      </w:r>
      <w:r>
        <w:rPr>
          <w:rFonts w:hint="eastAsia" w:ascii="宋体" w:hAnsi="宋体"/>
          <w:color w:val="auto"/>
          <w:kern w:val="0"/>
          <w:szCs w:val="21"/>
          <w:highlight w:val="none"/>
          <w:u w:val="single"/>
        </w:rPr>
        <w:t xml:space="preserve">    </w:t>
      </w:r>
      <w:r>
        <w:rPr>
          <w:rFonts w:ascii="宋体" w:hAnsi="宋体"/>
          <w:color w:val="auto"/>
          <w:kern w:val="0"/>
          <w:szCs w:val="21"/>
          <w:highlight w:val="none"/>
        </w:rPr>
        <w:t>月</w:t>
      </w:r>
      <w:r>
        <w:rPr>
          <w:rFonts w:hint="eastAsia" w:ascii="宋体" w:hAnsi="宋体"/>
          <w:color w:val="auto"/>
          <w:kern w:val="0"/>
          <w:szCs w:val="21"/>
          <w:highlight w:val="none"/>
          <w:u w:val="single"/>
        </w:rPr>
        <w:t xml:space="preserve">    </w:t>
      </w:r>
      <w:r>
        <w:rPr>
          <w:rFonts w:ascii="宋体" w:hAnsi="宋体"/>
          <w:color w:val="auto"/>
          <w:kern w:val="0"/>
          <w:szCs w:val="21"/>
          <w:highlight w:val="none"/>
        </w:rPr>
        <w:t>日</w:t>
      </w:r>
    </w:p>
    <w:p>
      <w:pPr>
        <w:tabs>
          <w:tab w:val="left" w:pos="8300"/>
        </w:tabs>
        <w:autoSpaceDE w:val="0"/>
        <w:autoSpaceDN w:val="0"/>
        <w:adjustRightInd w:val="0"/>
        <w:spacing w:line="400" w:lineRule="exact"/>
        <w:ind w:firstLine="420" w:firstLineChars="200"/>
        <w:jc w:val="right"/>
        <w:rPr>
          <w:rFonts w:ascii="宋体" w:hAnsi="宋体"/>
          <w:color w:val="auto"/>
          <w:kern w:val="0"/>
          <w:szCs w:val="21"/>
          <w:highlight w:val="none"/>
        </w:rPr>
      </w:pPr>
    </w:p>
    <w:p>
      <w:pPr>
        <w:tabs>
          <w:tab w:val="left" w:pos="8300"/>
        </w:tabs>
        <w:autoSpaceDE w:val="0"/>
        <w:autoSpaceDN w:val="0"/>
        <w:adjustRightInd w:val="0"/>
        <w:spacing w:line="400" w:lineRule="exact"/>
        <w:ind w:firstLine="400" w:firstLineChars="200"/>
        <w:jc w:val="right"/>
        <w:rPr>
          <w:rFonts w:ascii="宋体" w:hAnsi="宋体"/>
          <w:snapToGrid w:val="0"/>
          <w:color w:val="auto"/>
          <w:kern w:val="0"/>
          <w:sz w:val="20"/>
          <w:szCs w:val="20"/>
          <w:highlight w:val="none"/>
        </w:rPr>
      </w:pPr>
    </w:p>
    <w:p>
      <w:pPr>
        <w:pStyle w:val="5"/>
        <w:jc w:val="center"/>
        <w:rPr>
          <w:rFonts w:ascii="宋体" w:hAnsi="宋体"/>
          <w:snapToGrid w:val="0"/>
          <w:color w:val="auto"/>
          <w:kern w:val="0"/>
          <w:szCs w:val="21"/>
          <w:highlight w:val="none"/>
        </w:rPr>
      </w:pPr>
      <w:bookmarkStart w:id="1016" w:name="_Toc224103496"/>
      <w:bookmarkStart w:id="1017" w:name="_Toc430530531"/>
      <w:bookmarkStart w:id="1018" w:name="_Toc287607868"/>
      <w:bookmarkStart w:id="1019" w:name="_Toc277082644"/>
      <w:bookmarkStart w:id="1020" w:name="_Toc287620815"/>
      <w:r>
        <w:rPr>
          <w:rFonts w:ascii="宋体" w:hAnsi="宋体"/>
          <w:color w:val="auto"/>
          <w:sz w:val="28"/>
          <w:highlight w:val="none"/>
        </w:rPr>
        <w:br w:type="page"/>
      </w:r>
      <w:bookmarkStart w:id="1021" w:name="_Toc534185832"/>
      <w:bookmarkStart w:id="1022" w:name="_Toc26981"/>
      <w:bookmarkStart w:id="1023" w:name="_Toc30967"/>
      <w:bookmarkStart w:id="1024" w:name="_Toc509218855"/>
      <w:r>
        <w:rPr>
          <w:color w:val="auto"/>
          <w:highlight w:val="none"/>
        </w:rPr>
        <w:t>（二）</w:t>
      </w:r>
      <w:r>
        <w:rPr>
          <w:rFonts w:hint="eastAsia"/>
          <w:color w:val="auto"/>
          <w:highlight w:val="none"/>
          <w:lang w:eastAsia="zh-CN"/>
        </w:rPr>
        <w:t>竞选函</w:t>
      </w:r>
      <w:r>
        <w:rPr>
          <w:color w:val="auto"/>
          <w:highlight w:val="none"/>
        </w:rPr>
        <w:t>附录</w:t>
      </w:r>
      <w:bookmarkEnd w:id="1016"/>
      <w:bookmarkEnd w:id="1017"/>
      <w:bookmarkEnd w:id="1018"/>
      <w:bookmarkEnd w:id="1019"/>
      <w:bookmarkEnd w:id="1020"/>
      <w:bookmarkEnd w:id="1021"/>
      <w:bookmarkEnd w:id="1022"/>
      <w:bookmarkEnd w:id="1023"/>
      <w:bookmarkEnd w:id="1024"/>
    </w:p>
    <w:tbl>
      <w:tblPr>
        <w:tblStyle w:val="45"/>
        <w:tblW w:w="9469" w:type="dxa"/>
        <w:tblInd w:w="-10" w:type="dxa"/>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0" w:type="dxa"/>
          <w:bottom w:w="0" w:type="dxa"/>
          <w:right w:w="0" w:type="dxa"/>
        </w:tblCellMar>
      </w:tblPr>
      <w:tblGrid>
        <w:gridCol w:w="720"/>
        <w:gridCol w:w="2582"/>
        <w:gridCol w:w="2388"/>
        <w:gridCol w:w="2987"/>
        <w:gridCol w:w="792"/>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0" w:hRule="exact"/>
        </w:trPr>
        <w:tc>
          <w:tcPr>
            <w:tcW w:w="720" w:type="dxa"/>
            <w:vAlign w:val="center"/>
          </w:tcPr>
          <w:p>
            <w:pPr>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序号</w:t>
            </w:r>
          </w:p>
        </w:tc>
        <w:tc>
          <w:tcPr>
            <w:tcW w:w="2582" w:type="dxa"/>
            <w:vAlign w:val="center"/>
          </w:tcPr>
          <w:p>
            <w:pPr>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条款名称</w:t>
            </w:r>
          </w:p>
        </w:tc>
        <w:tc>
          <w:tcPr>
            <w:tcW w:w="2388" w:type="dxa"/>
            <w:vAlign w:val="center"/>
          </w:tcPr>
          <w:p>
            <w:pPr>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合同条款号</w:t>
            </w:r>
          </w:p>
        </w:tc>
        <w:tc>
          <w:tcPr>
            <w:tcW w:w="2987" w:type="dxa"/>
            <w:vAlign w:val="center"/>
          </w:tcPr>
          <w:p>
            <w:pPr>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约定内容</w:t>
            </w:r>
          </w:p>
        </w:tc>
        <w:tc>
          <w:tcPr>
            <w:tcW w:w="792" w:type="dxa"/>
            <w:vAlign w:val="center"/>
          </w:tcPr>
          <w:p>
            <w:pPr>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备注</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1963" w:hRule="exact"/>
        </w:trPr>
        <w:tc>
          <w:tcPr>
            <w:tcW w:w="720" w:type="dxa"/>
            <w:vAlign w:val="center"/>
          </w:tcPr>
          <w:p>
            <w:pPr>
              <w:autoSpaceDE w:val="0"/>
              <w:autoSpaceDN w:val="0"/>
              <w:adjustRightInd w:val="0"/>
              <w:jc w:val="center"/>
              <w:rPr>
                <w:rFonts w:ascii="宋体" w:hAnsi="宋体"/>
                <w:snapToGrid w:val="0"/>
                <w:color w:val="auto"/>
                <w:kern w:val="0"/>
                <w:szCs w:val="21"/>
                <w:highlight w:val="none"/>
              </w:rPr>
            </w:pPr>
            <w:r>
              <w:rPr>
                <w:rFonts w:hint="eastAsia" w:ascii="宋体" w:hAnsi="宋体"/>
                <w:snapToGrid w:val="0"/>
                <w:color w:val="auto"/>
                <w:kern w:val="0"/>
                <w:szCs w:val="21"/>
                <w:highlight w:val="none"/>
              </w:rPr>
              <w:t>1</w:t>
            </w:r>
          </w:p>
        </w:tc>
        <w:tc>
          <w:tcPr>
            <w:tcW w:w="2582" w:type="dxa"/>
            <w:vAlign w:val="center"/>
          </w:tcPr>
          <w:p>
            <w:pPr>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工期</w:t>
            </w:r>
          </w:p>
        </w:tc>
        <w:tc>
          <w:tcPr>
            <w:tcW w:w="2388" w:type="dxa"/>
            <w:vAlign w:val="center"/>
          </w:tcPr>
          <w:p>
            <w:pPr>
              <w:tabs>
                <w:tab w:val="left" w:pos="2051"/>
              </w:tabs>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1.1.4.3</w:t>
            </w:r>
          </w:p>
        </w:tc>
        <w:tc>
          <w:tcPr>
            <w:tcW w:w="2987" w:type="dxa"/>
            <w:vAlign w:val="center"/>
          </w:tcPr>
          <w:p>
            <w:pPr>
              <w:tabs>
                <w:tab w:val="left" w:pos="1560"/>
              </w:tabs>
              <w:autoSpaceDE w:val="0"/>
              <w:autoSpaceDN w:val="0"/>
              <w:adjustRightInd w:val="0"/>
              <w:jc w:val="center"/>
              <w:rPr>
                <w:rFonts w:hint="eastAsia" w:ascii="宋体" w:hAnsi="宋体" w:eastAsia="宋体"/>
                <w:snapToGrid w:val="0"/>
                <w:color w:val="auto"/>
                <w:kern w:val="0"/>
                <w:szCs w:val="21"/>
                <w:highlight w:val="none"/>
                <w:lang w:val="en-US" w:eastAsia="zh-CN"/>
              </w:rPr>
            </w:pPr>
          </w:p>
        </w:tc>
        <w:tc>
          <w:tcPr>
            <w:tcW w:w="792" w:type="dxa"/>
            <w:vAlign w:val="center"/>
          </w:tcPr>
          <w:p>
            <w:pPr>
              <w:autoSpaceDE w:val="0"/>
              <w:autoSpaceDN w:val="0"/>
              <w:adjustRightInd w:val="0"/>
              <w:jc w:val="center"/>
              <w:rPr>
                <w:rFonts w:ascii="宋体" w:hAnsi="宋体"/>
                <w:snapToGrid w:val="0"/>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0" w:hRule="exact"/>
        </w:trPr>
        <w:tc>
          <w:tcPr>
            <w:tcW w:w="720" w:type="dxa"/>
            <w:vAlign w:val="center"/>
          </w:tcPr>
          <w:p>
            <w:pPr>
              <w:autoSpaceDE w:val="0"/>
              <w:autoSpaceDN w:val="0"/>
              <w:adjustRightInd w:val="0"/>
              <w:jc w:val="center"/>
              <w:rPr>
                <w:rFonts w:ascii="宋体" w:hAnsi="宋体"/>
                <w:snapToGrid w:val="0"/>
                <w:color w:val="auto"/>
                <w:kern w:val="0"/>
                <w:szCs w:val="21"/>
                <w:highlight w:val="none"/>
              </w:rPr>
            </w:pPr>
            <w:r>
              <w:rPr>
                <w:rFonts w:hint="eastAsia" w:ascii="宋体" w:hAnsi="宋体"/>
                <w:snapToGrid w:val="0"/>
                <w:color w:val="auto"/>
                <w:kern w:val="0"/>
                <w:szCs w:val="21"/>
                <w:highlight w:val="none"/>
              </w:rPr>
              <w:t>2</w:t>
            </w:r>
          </w:p>
        </w:tc>
        <w:tc>
          <w:tcPr>
            <w:tcW w:w="2582" w:type="dxa"/>
            <w:vAlign w:val="center"/>
          </w:tcPr>
          <w:p>
            <w:pPr>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分包</w:t>
            </w:r>
          </w:p>
        </w:tc>
        <w:tc>
          <w:tcPr>
            <w:tcW w:w="2388" w:type="dxa"/>
            <w:vAlign w:val="center"/>
          </w:tcPr>
          <w:p>
            <w:pPr>
              <w:tabs>
                <w:tab w:val="left" w:pos="2051"/>
              </w:tabs>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3.5</w:t>
            </w:r>
          </w:p>
        </w:tc>
        <w:tc>
          <w:tcPr>
            <w:tcW w:w="2987" w:type="dxa"/>
            <w:vAlign w:val="center"/>
          </w:tcPr>
          <w:p>
            <w:pPr>
              <w:autoSpaceDE w:val="0"/>
              <w:autoSpaceDN w:val="0"/>
              <w:adjustRightInd w:val="0"/>
              <w:jc w:val="center"/>
              <w:rPr>
                <w:rFonts w:hint="eastAsia" w:ascii="宋体" w:hAnsi="宋体" w:eastAsia="宋体"/>
                <w:snapToGrid w:val="0"/>
                <w:color w:val="auto"/>
                <w:kern w:val="0"/>
                <w:szCs w:val="21"/>
                <w:highlight w:val="none"/>
                <w:lang w:val="en-US" w:eastAsia="zh-CN"/>
              </w:rPr>
            </w:pPr>
            <w:r>
              <w:rPr>
                <w:rFonts w:hint="eastAsia" w:ascii="宋体" w:hAnsi="宋体"/>
                <w:snapToGrid w:val="0"/>
                <w:color w:val="auto"/>
                <w:kern w:val="0"/>
                <w:szCs w:val="21"/>
                <w:highlight w:val="none"/>
                <w:lang w:val="en-US" w:eastAsia="zh-CN"/>
              </w:rPr>
              <w:t>不允许</w:t>
            </w:r>
          </w:p>
        </w:tc>
        <w:tc>
          <w:tcPr>
            <w:tcW w:w="792" w:type="dxa"/>
            <w:vAlign w:val="center"/>
          </w:tcPr>
          <w:p>
            <w:pPr>
              <w:autoSpaceDE w:val="0"/>
              <w:autoSpaceDN w:val="0"/>
              <w:adjustRightInd w:val="0"/>
              <w:jc w:val="center"/>
              <w:rPr>
                <w:rFonts w:ascii="宋体" w:hAnsi="宋体"/>
                <w:snapToGrid w:val="0"/>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0" w:hRule="exact"/>
        </w:trPr>
        <w:tc>
          <w:tcPr>
            <w:tcW w:w="720" w:type="dxa"/>
            <w:vAlign w:val="center"/>
          </w:tcPr>
          <w:p>
            <w:pPr>
              <w:autoSpaceDE w:val="0"/>
              <w:autoSpaceDN w:val="0"/>
              <w:adjustRightInd w:val="0"/>
              <w:jc w:val="center"/>
              <w:rPr>
                <w:rFonts w:ascii="宋体" w:hAnsi="宋体"/>
                <w:snapToGrid w:val="0"/>
                <w:color w:val="auto"/>
                <w:kern w:val="0"/>
                <w:szCs w:val="21"/>
                <w:highlight w:val="none"/>
              </w:rPr>
            </w:pPr>
            <w:r>
              <w:rPr>
                <w:rFonts w:hint="eastAsia" w:ascii="宋体" w:hAnsi="宋体"/>
                <w:snapToGrid w:val="0"/>
                <w:color w:val="auto"/>
                <w:kern w:val="0"/>
                <w:szCs w:val="21"/>
                <w:highlight w:val="none"/>
              </w:rPr>
              <w:t>3</w:t>
            </w:r>
          </w:p>
        </w:tc>
        <w:tc>
          <w:tcPr>
            <w:tcW w:w="2582" w:type="dxa"/>
            <w:vAlign w:val="center"/>
          </w:tcPr>
          <w:p>
            <w:pPr>
              <w:autoSpaceDE w:val="0"/>
              <w:autoSpaceDN w:val="0"/>
              <w:adjustRightInd w:val="0"/>
              <w:jc w:val="center"/>
              <w:rPr>
                <w:rFonts w:ascii="宋体" w:hAnsi="宋体"/>
                <w:snapToGrid w:val="0"/>
                <w:color w:val="auto"/>
                <w:kern w:val="0"/>
                <w:szCs w:val="21"/>
                <w:highlight w:val="none"/>
              </w:rPr>
            </w:pPr>
            <w:r>
              <w:rPr>
                <w:rFonts w:hint="eastAsia" w:ascii="宋体" w:hAnsi="宋体"/>
                <w:snapToGrid w:val="0"/>
                <w:color w:val="auto"/>
                <w:kern w:val="0"/>
                <w:szCs w:val="21"/>
                <w:highlight w:val="none"/>
              </w:rPr>
              <w:t>工程质量</w:t>
            </w:r>
          </w:p>
        </w:tc>
        <w:tc>
          <w:tcPr>
            <w:tcW w:w="2388" w:type="dxa"/>
            <w:vAlign w:val="center"/>
          </w:tcPr>
          <w:p>
            <w:pPr>
              <w:tabs>
                <w:tab w:val="left" w:pos="2051"/>
              </w:tabs>
              <w:autoSpaceDE w:val="0"/>
              <w:autoSpaceDN w:val="0"/>
              <w:adjustRightInd w:val="0"/>
              <w:jc w:val="center"/>
              <w:rPr>
                <w:rFonts w:ascii="宋体" w:hAnsi="宋体"/>
                <w:snapToGrid w:val="0"/>
                <w:color w:val="auto"/>
                <w:kern w:val="0"/>
                <w:szCs w:val="21"/>
                <w:highlight w:val="none"/>
              </w:rPr>
            </w:pPr>
            <w:r>
              <w:rPr>
                <w:rFonts w:hint="eastAsia" w:ascii="宋体" w:hAnsi="宋体"/>
                <w:snapToGrid w:val="0"/>
                <w:color w:val="auto"/>
                <w:kern w:val="0"/>
                <w:szCs w:val="21"/>
                <w:highlight w:val="none"/>
              </w:rPr>
              <w:t>5.1</w:t>
            </w:r>
          </w:p>
        </w:tc>
        <w:tc>
          <w:tcPr>
            <w:tcW w:w="2987" w:type="dxa"/>
            <w:vAlign w:val="center"/>
          </w:tcPr>
          <w:p>
            <w:pPr>
              <w:autoSpaceDE w:val="0"/>
              <w:autoSpaceDN w:val="0"/>
              <w:adjustRightInd w:val="0"/>
              <w:jc w:val="center"/>
              <w:rPr>
                <w:rFonts w:hint="eastAsia" w:ascii="宋体" w:hAnsi="宋体" w:eastAsia="宋体"/>
                <w:snapToGrid w:val="0"/>
                <w:color w:val="auto"/>
                <w:kern w:val="0"/>
                <w:szCs w:val="21"/>
                <w:highlight w:val="none"/>
                <w:lang w:val="en-US" w:eastAsia="zh-CN"/>
              </w:rPr>
            </w:pPr>
            <w:r>
              <w:rPr>
                <w:rFonts w:hint="eastAsia" w:ascii="宋体" w:hAnsi="宋体"/>
                <w:snapToGrid w:val="0"/>
                <w:color w:val="auto"/>
                <w:kern w:val="0"/>
                <w:szCs w:val="21"/>
                <w:highlight w:val="none"/>
                <w:lang w:val="en-US" w:eastAsia="zh-CN"/>
              </w:rPr>
              <w:t>合格</w:t>
            </w:r>
          </w:p>
        </w:tc>
        <w:tc>
          <w:tcPr>
            <w:tcW w:w="792" w:type="dxa"/>
            <w:vAlign w:val="center"/>
          </w:tcPr>
          <w:p>
            <w:pPr>
              <w:autoSpaceDE w:val="0"/>
              <w:autoSpaceDN w:val="0"/>
              <w:adjustRightInd w:val="0"/>
              <w:jc w:val="center"/>
              <w:rPr>
                <w:rFonts w:ascii="宋体" w:hAnsi="宋体"/>
                <w:snapToGrid w:val="0"/>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0" w:hRule="exact"/>
        </w:trPr>
        <w:tc>
          <w:tcPr>
            <w:tcW w:w="720" w:type="dxa"/>
            <w:vAlign w:val="center"/>
          </w:tcPr>
          <w:p>
            <w:pPr>
              <w:tabs>
                <w:tab w:val="left" w:pos="2051"/>
              </w:tabs>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w:t>
            </w:r>
          </w:p>
        </w:tc>
        <w:tc>
          <w:tcPr>
            <w:tcW w:w="2582" w:type="dxa"/>
            <w:vAlign w:val="center"/>
          </w:tcPr>
          <w:p>
            <w:pPr>
              <w:tabs>
                <w:tab w:val="left" w:pos="2051"/>
              </w:tabs>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w:t>
            </w:r>
          </w:p>
        </w:tc>
        <w:tc>
          <w:tcPr>
            <w:tcW w:w="2388" w:type="dxa"/>
            <w:vAlign w:val="center"/>
          </w:tcPr>
          <w:p>
            <w:pPr>
              <w:tabs>
                <w:tab w:val="left" w:pos="2051"/>
              </w:tabs>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w:t>
            </w:r>
          </w:p>
        </w:tc>
        <w:tc>
          <w:tcPr>
            <w:tcW w:w="2987" w:type="dxa"/>
            <w:vAlign w:val="center"/>
          </w:tcPr>
          <w:p>
            <w:pPr>
              <w:tabs>
                <w:tab w:val="left" w:pos="2051"/>
              </w:tabs>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w:t>
            </w:r>
          </w:p>
        </w:tc>
        <w:tc>
          <w:tcPr>
            <w:tcW w:w="792" w:type="dxa"/>
            <w:vAlign w:val="center"/>
          </w:tcPr>
          <w:p>
            <w:pPr>
              <w:autoSpaceDE w:val="0"/>
              <w:autoSpaceDN w:val="0"/>
              <w:adjustRightInd w:val="0"/>
              <w:jc w:val="center"/>
              <w:rPr>
                <w:rFonts w:ascii="宋体" w:hAnsi="宋体"/>
                <w:snapToGrid w:val="0"/>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0" w:hRule="exact"/>
        </w:trPr>
        <w:tc>
          <w:tcPr>
            <w:tcW w:w="720" w:type="dxa"/>
            <w:vAlign w:val="center"/>
          </w:tcPr>
          <w:p>
            <w:pPr>
              <w:tabs>
                <w:tab w:val="left" w:pos="2051"/>
              </w:tabs>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w:t>
            </w:r>
          </w:p>
        </w:tc>
        <w:tc>
          <w:tcPr>
            <w:tcW w:w="2582" w:type="dxa"/>
            <w:vAlign w:val="center"/>
          </w:tcPr>
          <w:p>
            <w:pPr>
              <w:tabs>
                <w:tab w:val="left" w:pos="2051"/>
              </w:tabs>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w:t>
            </w:r>
          </w:p>
        </w:tc>
        <w:tc>
          <w:tcPr>
            <w:tcW w:w="2388" w:type="dxa"/>
            <w:vAlign w:val="center"/>
          </w:tcPr>
          <w:p>
            <w:pPr>
              <w:tabs>
                <w:tab w:val="left" w:pos="2051"/>
              </w:tabs>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w:t>
            </w:r>
          </w:p>
        </w:tc>
        <w:tc>
          <w:tcPr>
            <w:tcW w:w="2987" w:type="dxa"/>
            <w:vAlign w:val="center"/>
          </w:tcPr>
          <w:p>
            <w:pPr>
              <w:tabs>
                <w:tab w:val="left" w:pos="2051"/>
              </w:tabs>
              <w:autoSpaceDE w:val="0"/>
              <w:autoSpaceDN w:val="0"/>
              <w:adjustRightInd w:val="0"/>
              <w:jc w:val="center"/>
              <w:rPr>
                <w:rFonts w:ascii="宋体" w:hAnsi="宋体"/>
                <w:snapToGrid w:val="0"/>
                <w:color w:val="auto"/>
                <w:kern w:val="0"/>
                <w:szCs w:val="21"/>
                <w:highlight w:val="none"/>
              </w:rPr>
            </w:pPr>
            <w:r>
              <w:rPr>
                <w:rFonts w:ascii="宋体" w:hAnsi="宋体"/>
                <w:snapToGrid w:val="0"/>
                <w:color w:val="auto"/>
                <w:kern w:val="0"/>
                <w:szCs w:val="21"/>
                <w:highlight w:val="none"/>
              </w:rPr>
              <w:t>……</w:t>
            </w:r>
          </w:p>
        </w:tc>
        <w:tc>
          <w:tcPr>
            <w:tcW w:w="792" w:type="dxa"/>
            <w:vAlign w:val="center"/>
          </w:tcPr>
          <w:p>
            <w:pPr>
              <w:autoSpaceDE w:val="0"/>
              <w:autoSpaceDN w:val="0"/>
              <w:adjustRightInd w:val="0"/>
              <w:jc w:val="center"/>
              <w:rPr>
                <w:rFonts w:ascii="宋体" w:hAnsi="宋体"/>
                <w:snapToGrid w:val="0"/>
                <w:color w:val="auto"/>
                <w:kern w:val="0"/>
                <w:szCs w:val="21"/>
                <w:highlight w:val="none"/>
              </w:rPr>
            </w:pPr>
          </w:p>
        </w:tc>
      </w:tr>
    </w:tbl>
    <w:p>
      <w:pPr>
        <w:spacing w:line="360" w:lineRule="auto"/>
        <w:rPr>
          <w:rFonts w:ascii="宋体" w:hAnsi="宋体"/>
          <w:snapToGrid w:val="0"/>
          <w:color w:val="auto"/>
          <w:w w:val="99"/>
          <w:highlight w:val="none"/>
        </w:rPr>
      </w:pPr>
    </w:p>
    <w:p>
      <w:pPr>
        <w:spacing w:line="360" w:lineRule="auto"/>
        <w:rPr>
          <w:rFonts w:ascii="宋体" w:hAnsi="宋体"/>
          <w:snapToGrid w:val="0"/>
          <w:color w:val="auto"/>
          <w:highlight w:val="none"/>
        </w:rPr>
      </w:pPr>
    </w:p>
    <w:p>
      <w:pPr>
        <w:tabs>
          <w:tab w:val="left" w:pos="7140"/>
          <w:tab w:val="left" w:pos="7560"/>
          <w:tab w:val="left" w:pos="8300"/>
        </w:tabs>
        <w:autoSpaceDE w:val="0"/>
        <w:autoSpaceDN w:val="0"/>
        <w:adjustRightInd w:val="0"/>
        <w:spacing w:line="360" w:lineRule="auto"/>
        <w:ind w:right="210" w:firstLine="2396" w:firstLineChars="1141"/>
        <w:rPr>
          <w:rFonts w:ascii="宋体" w:hAnsi="宋体"/>
          <w:snapToGrid w:val="0"/>
          <w:color w:val="auto"/>
          <w:kern w:val="0"/>
          <w:szCs w:val="21"/>
          <w:highlight w:val="none"/>
        </w:rPr>
      </w:pPr>
      <w:r>
        <w:rPr>
          <w:rFonts w:ascii="宋体" w:hAnsi="宋体"/>
          <w:snapToGrid w:val="0"/>
          <w:color w:val="auto"/>
          <w:kern w:val="0"/>
          <w:szCs w:val="21"/>
          <w:highlight w:val="none"/>
        </w:rPr>
        <w:t>投  标  人：</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u w:val="single"/>
        </w:rPr>
        <w:t xml:space="preserve">  </w:t>
      </w:r>
      <w:r>
        <w:rPr>
          <w:rFonts w:ascii="宋体" w:hAnsi="宋体"/>
          <w:snapToGrid w:val="0"/>
          <w:color w:val="auto"/>
          <w:kern w:val="0"/>
          <w:szCs w:val="21"/>
          <w:highlight w:val="none"/>
        </w:rPr>
        <w:t xml:space="preserve">（盖单位法人章） </w:t>
      </w:r>
    </w:p>
    <w:p>
      <w:pPr>
        <w:tabs>
          <w:tab w:val="left" w:pos="7140"/>
          <w:tab w:val="left" w:pos="7560"/>
          <w:tab w:val="left" w:pos="8300"/>
        </w:tabs>
        <w:autoSpaceDE w:val="0"/>
        <w:autoSpaceDN w:val="0"/>
        <w:adjustRightInd w:val="0"/>
        <w:spacing w:line="360" w:lineRule="auto"/>
        <w:ind w:right="210" w:firstLine="1984" w:firstLineChars="945"/>
        <w:rPr>
          <w:rFonts w:ascii="宋体" w:hAnsi="宋体"/>
          <w:snapToGrid w:val="0"/>
          <w:color w:val="auto"/>
          <w:kern w:val="0"/>
          <w:szCs w:val="21"/>
          <w:highlight w:val="none"/>
        </w:rPr>
      </w:pPr>
      <w:r>
        <w:rPr>
          <w:rFonts w:hint="eastAsia" w:ascii="宋体" w:hAnsi="宋体"/>
          <w:snapToGrid w:val="0"/>
          <w:color w:val="auto"/>
          <w:kern w:val="0"/>
          <w:szCs w:val="21"/>
          <w:highlight w:val="none"/>
        </w:rPr>
        <w:t xml:space="preserve">   </w:t>
      </w:r>
    </w:p>
    <w:p>
      <w:pPr>
        <w:tabs>
          <w:tab w:val="left" w:pos="7140"/>
          <w:tab w:val="left" w:pos="7560"/>
          <w:tab w:val="left" w:pos="8300"/>
        </w:tabs>
        <w:autoSpaceDE w:val="0"/>
        <w:autoSpaceDN w:val="0"/>
        <w:adjustRightInd w:val="0"/>
        <w:spacing w:line="360" w:lineRule="auto"/>
        <w:ind w:right="210" w:firstLine="2415" w:firstLineChars="1150"/>
        <w:rPr>
          <w:rFonts w:ascii="宋体" w:hAnsi="宋体"/>
          <w:snapToGrid w:val="0"/>
          <w:color w:val="auto"/>
          <w:kern w:val="0"/>
          <w:szCs w:val="21"/>
          <w:highlight w:val="none"/>
        </w:rPr>
      </w:pPr>
      <w:r>
        <w:rPr>
          <w:rFonts w:ascii="宋体" w:hAnsi="宋体"/>
          <w:snapToGrid w:val="0"/>
          <w:color w:val="auto"/>
          <w:kern w:val="0"/>
          <w:szCs w:val="21"/>
          <w:highlight w:val="none"/>
        </w:rPr>
        <w:t>法定代表人或其委托代理人：</w:t>
      </w:r>
      <w:r>
        <w:rPr>
          <w:rFonts w:ascii="宋体" w:hAnsi="宋体"/>
          <w:snapToGrid w:val="0"/>
          <w:color w:val="auto"/>
          <w:kern w:val="0"/>
          <w:szCs w:val="21"/>
          <w:highlight w:val="none"/>
          <w:u w:val="single"/>
        </w:rPr>
        <w:t xml:space="preserve">         </w:t>
      </w:r>
      <w:r>
        <w:rPr>
          <w:rFonts w:hint="eastAsia" w:ascii="宋体" w:hAnsi="宋体"/>
          <w:snapToGrid w:val="0"/>
          <w:color w:val="auto"/>
          <w:kern w:val="0"/>
          <w:szCs w:val="21"/>
          <w:highlight w:val="none"/>
          <w:u w:val="single"/>
        </w:rPr>
        <w:t xml:space="preserve">      </w:t>
      </w:r>
      <w:r>
        <w:rPr>
          <w:rFonts w:ascii="宋体" w:hAnsi="宋体"/>
          <w:snapToGrid w:val="0"/>
          <w:color w:val="auto"/>
          <w:kern w:val="0"/>
          <w:szCs w:val="21"/>
          <w:highlight w:val="none"/>
        </w:rPr>
        <w:t>（</w:t>
      </w:r>
      <w:r>
        <w:rPr>
          <w:rFonts w:hint="eastAsia" w:ascii="宋体" w:hAnsi="宋体"/>
          <w:snapToGrid w:val="0"/>
          <w:color w:val="auto"/>
          <w:kern w:val="0"/>
          <w:szCs w:val="21"/>
          <w:highlight w:val="none"/>
        </w:rPr>
        <w:t>签名</w:t>
      </w:r>
      <w:r>
        <w:rPr>
          <w:rFonts w:ascii="宋体" w:hAnsi="宋体"/>
          <w:snapToGrid w:val="0"/>
          <w:color w:val="auto"/>
          <w:kern w:val="0"/>
          <w:szCs w:val="21"/>
          <w:highlight w:val="none"/>
        </w:rPr>
        <w:t xml:space="preserve">或盖章） </w:t>
      </w:r>
    </w:p>
    <w:p>
      <w:pPr>
        <w:tabs>
          <w:tab w:val="left" w:pos="7140"/>
          <w:tab w:val="left" w:pos="7560"/>
          <w:tab w:val="left" w:pos="8300"/>
        </w:tabs>
        <w:autoSpaceDE w:val="0"/>
        <w:autoSpaceDN w:val="0"/>
        <w:adjustRightInd w:val="0"/>
        <w:spacing w:line="360" w:lineRule="auto"/>
        <w:ind w:right="210" w:firstLine="1995" w:firstLineChars="950"/>
        <w:rPr>
          <w:rFonts w:ascii="宋体" w:hAnsi="宋体"/>
          <w:snapToGrid w:val="0"/>
          <w:color w:val="auto"/>
          <w:kern w:val="0"/>
          <w:szCs w:val="21"/>
          <w:highlight w:val="none"/>
        </w:rPr>
      </w:pPr>
    </w:p>
    <w:p>
      <w:pPr>
        <w:pStyle w:val="5"/>
        <w:jc w:val="center"/>
        <w:rPr>
          <w:rFonts w:ascii="宋体" w:hAnsi="宋体"/>
          <w:b w:val="0"/>
          <w:snapToGrid w:val="0"/>
          <w:color w:val="auto"/>
          <w:kern w:val="0"/>
          <w:sz w:val="30"/>
          <w:szCs w:val="30"/>
          <w:highlight w:val="none"/>
        </w:rPr>
      </w:pPr>
      <w:r>
        <w:rPr>
          <w:rFonts w:ascii="宋体" w:hAnsi="宋体"/>
          <w:snapToGrid w:val="0"/>
          <w:color w:val="auto"/>
          <w:highlight w:val="none"/>
        </w:rPr>
        <w:br w:type="page"/>
      </w:r>
      <w:bookmarkStart w:id="1025" w:name="_Toc224103497"/>
      <w:bookmarkStart w:id="1026" w:name="_Toc430530532"/>
      <w:bookmarkStart w:id="1027" w:name="_Toc8650"/>
      <w:bookmarkStart w:id="1028" w:name="_Toc16663"/>
      <w:bookmarkStart w:id="1029" w:name="_Toc287620816"/>
      <w:bookmarkStart w:id="1030" w:name="_Toc287607869"/>
      <w:bookmarkStart w:id="1031" w:name="_Toc277082645"/>
      <w:r>
        <w:rPr>
          <w:color w:val="auto"/>
          <w:sz w:val="30"/>
          <w:szCs w:val="30"/>
          <w:highlight w:val="none"/>
        </w:rPr>
        <w:t>（三）</w:t>
      </w:r>
      <w:r>
        <w:rPr>
          <w:rFonts w:hint="eastAsia"/>
          <w:color w:val="auto"/>
          <w:sz w:val="30"/>
          <w:szCs w:val="30"/>
          <w:highlight w:val="none"/>
        </w:rPr>
        <w:t>法定代表人身份证明或附有法定代表人身份证明的授权委托书</w:t>
      </w:r>
      <w:bookmarkEnd w:id="1025"/>
      <w:bookmarkEnd w:id="1026"/>
      <w:bookmarkEnd w:id="1027"/>
      <w:bookmarkEnd w:id="1028"/>
      <w:bookmarkEnd w:id="1029"/>
      <w:bookmarkEnd w:id="1030"/>
      <w:bookmarkEnd w:id="1031"/>
    </w:p>
    <w:p>
      <w:pPr>
        <w:spacing w:line="480" w:lineRule="auto"/>
        <w:jc w:val="center"/>
        <w:rPr>
          <w:rFonts w:ascii="宋体" w:hAnsi="宋体"/>
          <w:color w:val="auto"/>
          <w:sz w:val="28"/>
          <w:highlight w:val="none"/>
        </w:rPr>
      </w:pPr>
      <w:r>
        <w:rPr>
          <w:rFonts w:hint="eastAsia" w:ascii="宋体" w:hAnsi="宋体"/>
          <w:color w:val="auto"/>
          <w:sz w:val="28"/>
          <w:highlight w:val="none"/>
        </w:rPr>
        <w:t>法定代表人身份证明</w:t>
      </w:r>
    </w:p>
    <w:p>
      <w:pPr>
        <w:spacing w:line="480" w:lineRule="auto"/>
        <w:jc w:val="center"/>
        <w:rPr>
          <w:rFonts w:ascii="宋体" w:hAnsi="宋体"/>
          <w:color w:val="auto"/>
          <w:highlight w:val="none"/>
        </w:rPr>
      </w:pPr>
    </w:p>
    <w:p>
      <w:pPr>
        <w:tabs>
          <w:tab w:val="left" w:pos="5565"/>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hint="eastAsia" w:ascii="宋体" w:hAnsi="宋体"/>
          <w:color w:val="auto"/>
          <w:kern w:val="0"/>
          <w:szCs w:val="21"/>
          <w:highlight w:val="none"/>
          <w:lang w:eastAsia="zh-CN"/>
        </w:rPr>
        <w:t>竞选人</w:t>
      </w:r>
      <w:r>
        <w:rPr>
          <w:rFonts w:ascii="宋体" w:hAnsi="宋体"/>
          <w:color w:val="auto"/>
          <w:kern w:val="0"/>
          <w:szCs w:val="21"/>
          <w:highlight w:val="none"/>
        </w:rPr>
        <w:t>名称：</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p>
    <w:p>
      <w:pPr>
        <w:tabs>
          <w:tab w:val="left" w:pos="5475"/>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ascii="宋体" w:hAnsi="宋体"/>
          <w:color w:val="auto"/>
          <w:kern w:val="0"/>
          <w:szCs w:val="21"/>
          <w:highlight w:val="none"/>
        </w:rPr>
        <w:t>单位性质：</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p>
    <w:p>
      <w:pPr>
        <w:tabs>
          <w:tab w:val="left" w:pos="5475"/>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ascii="宋体" w:hAnsi="宋体"/>
          <w:color w:val="auto"/>
          <w:kern w:val="0"/>
          <w:szCs w:val="21"/>
          <w:highlight w:val="none"/>
        </w:rPr>
        <w:t>地</w:t>
      </w:r>
      <w:r>
        <w:rPr>
          <w:rFonts w:hint="eastAsia" w:ascii="宋体" w:hAnsi="宋体"/>
          <w:color w:val="auto"/>
          <w:kern w:val="0"/>
          <w:szCs w:val="21"/>
          <w:highlight w:val="none"/>
        </w:rPr>
        <w:t xml:space="preserve">    </w:t>
      </w:r>
      <w:r>
        <w:rPr>
          <w:rFonts w:ascii="宋体" w:hAnsi="宋体"/>
          <w:color w:val="auto"/>
          <w:kern w:val="0"/>
          <w:szCs w:val="21"/>
          <w:highlight w:val="none"/>
        </w:rPr>
        <w:t>址：</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p>
    <w:p>
      <w:pPr>
        <w:tabs>
          <w:tab w:val="left" w:pos="2520"/>
          <w:tab w:val="left" w:pos="3836"/>
        </w:tabs>
        <w:autoSpaceDE w:val="0"/>
        <w:autoSpaceDN w:val="0"/>
        <w:adjustRightInd w:val="0"/>
        <w:snapToGrid w:val="0"/>
        <w:spacing w:line="480" w:lineRule="auto"/>
        <w:ind w:firstLine="390" w:firstLineChars="186"/>
        <w:jc w:val="left"/>
        <w:rPr>
          <w:rFonts w:ascii="宋体" w:hAnsi="宋体"/>
          <w:color w:val="auto"/>
          <w:kern w:val="0"/>
          <w:sz w:val="10"/>
          <w:szCs w:val="10"/>
          <w:highlight w:val="none"/>
        </w:rPr>
      </w:pPr>
      <w:r>
        <w:rPr>
          <w:rFonts w:ascii="宋体" w:hAnsi="宋体"/>
          <w:color w:val="auto"/>
          <w:kern w:val="0"/>
          <w:szCs w:val="21"/>
          <w:highlight w:val="none"/>
        </w:rPr>
        <w:t>成立时间：</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年</w:t>
      </w:r>
      <w:r>
        <w:rPr>
          <w:rFonts w:ascii="宋体" w:hAnsi="宋体"/>
          <w:color w:val="auto"/>
          <w:w w:val="200"/>
          <w:kern w:val="0"/>
          <w:szCs w:val="21"/>
          <w:highlight w:val="none"/>
          <w:u w:val="single"/>
        </w:rPr>
        <w:t xml:space="preserve"> </w:t>
      </w:r>
      <w:r>
        <w:rPr>
          <w:rFonts w:hint="eastAsia" w:ascii="宋体" w:hAnsi="宋体"/>
          <w:color w:val="auto"/>
          <w:kern w:val="0"/>
          <w:szCs w:val="21"/>
          <w:highlight w:val="none"/>
          <w:u w:val="single"/>
        </w:rPr>
        <w:t xml:space="preserve">      </w:t>
      </w:r>
      <w:r>
        <w:rPr>
          <w:rFonts w:ascii="宋体" w:hAnsi="宋体"/>
          <w:color w:val="auto"/>
          <w:kern w:val="0"/>
          <w:szCs w:val="21"/>
          <w:highlight w:val="none"/>
          <w:u w:val="single"/>
        </w:rPr>
        <w:t xml:space="preserve"> </w:t>
      </w:r>
      <w:r>
        <w:rPr>
          <w:rFonts w:ascii="宋体" w:hAnsi="宋体"/>
          <w:color w:val="auto"/>
          <w:kern w:val="0"/>
          <w:szCs w:val="21"/>
          <w:highlight w:val="none"/>
        </w:rPr>
        <w:t>月</w:t>
      </w:r>
      <w:r>
        <w:rPr>
          <w:rFonts w:ascii="宋体" w:hAnsi="宋体"/>
          <w:color w:val="auto"/>
          <w:w w:val="200"/>
          <w:kern w:val="0"/>
          <w:szCs w:val="21"/>
          <w:highlight w:val="none"/>
          <w:u w:val="single"/>
        </w:rPr>
        <w:t xml:space="preserve"> </w:t>
      </w:r>
      <w:r>
        <w:rPr>
          <w:rFonts w:ascii="宋体" w:hAnsi="宋体"/>
          <w:color w:val="auto"/>
          <w:kern w:val="0"/>
          <w:szCs w:val="21"/>
          <w:highlight w:val="none"/>
          <w:u w:val="single"/>
        </w:rPr>
        <w:t xml:space="preserve">       </w:t>
      </w:r>
      <w:r>
        <w:rPr>
          <w:rFonts w:ascii="宋体" w:hAnsi="宋体"/>
          <w:color w:val="auto"/>
          <w:kern w:val="0"/>
          <w:szCs w:val="21"/>
          <w:highlight w:val="none"/>
        </w:rPr>
        <w:t>日</w:t>
      </w:r>
    </w:p>
    <w:p>
      <w:pPr>
        <w:tabs>
          <w:tab w:val="left" w:pos="5475"/>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ascii="宋体" w:hAnsi="宋体"/>
          <w:color w:val="auto"/>
          <w:kern w:val="0"/>
          <w:szCs w:val="21"/>
          <w:highlight w:val="none"/>
        </w:rPr>
        <w:t>经营期限：</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p>
    <w:p>
      <w:pPr>
        <w:tabs>
          <w:tab w:val="left" w:pos="1580"/>
          <w:tab w:val="left" w:pos="3260"/>
          <w:tab w:val="left" w:pos="4840"/>
          <w:tab w:val="left" w:pos="6300"/>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ascii="宋体" w:hAnsi="宋体"/>
          <w:color w:val="auto"/>
          <w:kern w:val="0"/>
          <w:szCs w:val="21"/>
          <w:highlight w:val="none"/>
        </w:rPr>
        <w:t>姓名：</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性别</w:t>
      </w:r>
      <w:r>
        <w:rPr>
          <w:rFonts w:ascii="宋体" w:hAnsi="宋体"/>
          <w:color w:val="auto"/>
          <w:spacing w:val="-1"/>
          <w:kern w:val="0"/>
          <w:szCs w:val="21"/>
          <w:highlight w:val="none"/>
        </w:rPr>
        <w:t>：</w:t>
      </w:r>
      <w:r>
        <w:rPr>
          <w:rFonts w:hint="eastAsia" w:ascii="宋体" w:hAnsi="宋体"/>
          <w:color w:val="auto"/>
          <w:kern w:val="0"/>
          <w:szCs w:val="21"/>
          <w:highlight w:val="none"/>
          <w:u w:val="single"/>
        </w:rPr>
        <w:t xml:space="preserve">      </w:t>
      </w:r>
      <w:r>
        <w:rPr>
          <w:rFonts w:ascii="宋体" w:hAnsi="宋体"/>
          <w:color w:val="auto"/>
          <w:kern w:val="0"/>
          <w:szCs w:val="21"/>
          <w:highlight w:val="none"/>
          <w:u w:val="single"/>
        </w:rPr>
        <w:t xml:space="preserve"> </w:t>
      </w:r>
      <w:r>
        <w:rPr>
          <w:rFonts w:ascii="宋体" w:hAnsi="宋体"/>
          <w:color w:val="auto"/>
          <w:spacing w:val="-1"/>
          <w:kern w:val="0"/>
          <w:szCs w:val="21"/>
          <w:highlight w:val="none"/>
        </w:rPr>
        <w:t>年</w:t>
      </w:r>
      <w:r>
        <w:rPr>
          <w:rFonts w:ascii="宋体" w:hAnsi="宋体"/>
          <w:color w:val="auto"/>
          <w:kern w:val="0"/>
          <w:szCs w:val="21"/>
          <w:highlight w:val="none"/>
        </w:rPr>
        <w:t>龄：</w:t>
      </w:r>
      <w:r>
        <w:rPr>
          <w:rFonts w:hint="eastAsia" w:ascii="宋体" w:hAnsi="宋体"/>
          <w:color w:val="auto"/>
          <w:kern w:val="0"/>
          <w:szCs w:val="21"/>
          <w:highlight w:val="none"/>
          <w:u w:val="single"/>
        </w:rPr>
        <w:t xml:space="preserve">      </w:t>
      </w:r>
      <w:r>
        <w:rPr>
          <w:rFonts w:ascii="宋体" w:hAnsi="宋体"/>
          <w:color w:val="auto"/>
          <w:kern w:val="0"/>
          <w:szCs w:val="21"/>
          <w:highlight w:val="none"/>
          <w:u w:val="single"/>
        </w:rPr>
        <w:t xml:space="preserve"> </w:t>
      </w:r>
      <w:r>
        <w:rPr>
          <w:rFonts w:ascii="宋体" w:hAnsi="宋体"/>
          <w:color w:val="auto"/>
          <w:kern w:val="0"/>
          <w:szCs w:val="21"/>
          <w:highlight w:val="none"/>
        </w:rPr>
        <w:t>职务：</w:t>
      </w:r>
      <w:r>
        <w:rPr>
          <w:rFonts w:hint="eastAsia" w:ascii="宋体" w:hAnsi="宋体"/>
          <w:color w:val="auto"/>
          <w:kern w:val="0"/>
          <w:szCs w:val="21"/>
          <w:highlight w:val="none"/>
          <w:u w:val="single"/>
        </w:rPr>
        <w:t xml:space="preserve">              </w:t>
      </w:r>
      <w:r>
        <w:rPr>
          <w:rFonts w:ascii="宋体" w:hAnsi="宋体"/>
          <w:color w:val="auto"/>
          <w:kern w:val="0"/>
          <w:szCs w:val="21"/>
          <w:highlight w:val="none"/>
          <w:u w:val="single"/>
        </w:rPr>
        <w:t xml:space="preserve"> </w:t>
      </w:r>
    </w:p>
    <w:p>
      <w:pPr>
        <w:tabs>
          <w:tab w:val="left" w:pos="3360"/>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ascii="宋体" w:hAnsi="宋体"/>
          <w:color w:val="auto"/>
          <w:kern w:val="0"/>
          <w:szCs w:val="21"/>
          <w:highlight w:val="none"/>
        </w:rPr>
        <w:t>系</w:t>
      </w:r>
      <w:r>
        <w:rPr>
          <w:rFonts w:hint="eastAsia" w:ascii="宋体" w:hAnsi="宋体"/>
          <w:color w:val="auto"/>
          <w:kern w:val="0"/>
          <w:szCs w:val="21"/>
          <w:highlight w:val="none"/>
          <w:u w:val="single"/>
        </w:rPr>
        <w:t xml:space="preserve">                                                        </w:t>
      </w:r>
      <w:r>
        <w:rPr>
          <w:rFonts w:ascii="宋体" w:hAnsi="宋体"/>
          <w:color w:val="auto"/>
          <w:kern w:val="0"/>
          <w:szCs w:val="21"/>
          <w:highlight w:val="none"/>
          <w:u w:val="single"/>
        </w:rPr>
        <w:t xml:space="preserve"> （</w:t>
      </w:r>
      <w:r>
        <w:rPr>
          <w:rFonts w:hint="eastAsia" w:ascii="宋体" w:hAnsi="宋体"/>
          <w:color w:val="auto"/>
          <w:kern w:val="0"/>
          <w:szCs w:val="21"/>
          <w:highlight w:val="none"/>
          <w:u w:val="single"/>
          <w:lang w:eastAsia="zh-CN"/>
        </w:rPr>
        <w:t>竞选人</w:t>
      </w:r>
      <w:r>
        <w:rPr>
          <w:rFonts w:ascii="宋体" w:hAnsi="宋体"/>
          <w:color w:val="auto"/>
          <w:kern w:val="0"/>
          <w:szCs w:val="21"/>
          <w:highlight w:val="none"/>
          <w:u w:val="single"/>
        </w:rPr>
        <w:t>名称）</w:t>
      </w:r>
      <w:r>
        <w:rPr>
          <w:rFonts w:ascii="宋体" w:hAnsi="宋体"/>
          <w:color w:val="auto"/>
          <w:kern w:val="0"/>
          <w:szCs w:val="21"/>
          <w:highlight w:val="none"/>
        </w:rPr>
        <w:t>的法定代表人。</w:t>
      </w:r>
    </w:p>
    <w:p>
      <w:pPr>
        <w:tabs>
          <w:tab w:val="left" w:pos="3360"/>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ascii="宋体" w:hAnsi="宋体"/>
          <w:color w:val="auto"/>
          <w:kern w:val="0"/>
          <w:szCs w:val="21"/>
          <w:highlight w:val="none"/>
        </w:rPr>
        <w:t>特此证明。</w:t>
      </w:r>
    </w:p>
    <w:p>
      <w:pPr>
        <w:autoSpaceDE w:val="0"/>
        <w:autoSpaceDN w:val="0"/>
        <w:adjustRightInd w:val="0"/>
        <w:snapToGrid w:val="0"/>
        <w:spacing w:line="480" w:lineRule="auto"/>
        <w:ind w:firstLine="810" w:firstLineChars="386"/>
        <w:jc w:val="left"/>
        <w:rPr>
          <w:rFonts w:ascii="宋体" w:hAnsi="宋体"/>
          <w:color w:val="auto"/>
          <w:kern w:val="0"/>
          <w:szCs w:val="21"/>
          <w:highlight w:val="none"/>
        </w:rPr>
      </w:pPr>
      <w:r>
        <w:rPr>
          <w:rFonts w:hint="eastAsia" w:ascii="宋体" w:hAnsi="宋体"/>
          <w:color w:val="auto"/>
          <w:kern w:val="0"/>
          <w:szCs w:val="21"/>
          <w:highlight w:val="none"/>
        </w:rPr>
        <w:t>附：法定代表人身份证复印件（双面）</w:t>
      </w:r>
    </w:p>
    <w:p>
      <w:pPr>
        <w:pStyle w:val="2"/>
        <w:spacing w:after="0" w:line="360" w:lineRule="auto"/>
        <w:rPr>
          <w:rFonts w:ascii="宋体" w:hAnsi="宋体"/>
          <w:color w:val="auto"/>
          <w:szCs w:val="21"/>
          <w:highlight w:val="none"/>
        </w:rPr>
      </w:pPr>
    </w:p>
    <w:p>
      <w:pPr>
        <w:pStyle w:val="2"/>
        <w:spacing w:after="0" w:line="360" w:lineRule="auto"/>
        <w:rPr>
          <w:rFonts w:ascii="宋体" w:hAnsi="宋体"/>
          <w:color w:val="auto"/>
          <w:szCs w:val="21"/>
          <w:highlight w:val="none"/>
        </w:rPr>
      </w:pPr>
    </w:p>
    <w:p>
      <w:pPr>
        <w:pStyle w:val="2"/>
        <w:spacing w:after="0" w:line="360" w:lineRule="auto"/>
        <w:rPr>
          <w:rFonts w:ascii="宋体" w:hAnsi="宋体"/>
          <w:color w:val="auto"/>
          <w:szCs w:val="21"/>
          <w:highlight w:val="none"/>
        </w:rPr>
      </w:pPr>
    </w:p>
    <w:p>
      <w:pPr>
        <w:pStyle w:val="2"/>
        <w:spacing w:after="0" w:line="360" w:lineRule="auto"/>
        <w:rPr>
          <w:rFonts w:ascii="宋体" w:hAnsi="宋体"/>
          <w:color w:val="auto"/>
          <w:szCs w:val="21"/>
          <w:highlight w:val="none"/>
        </w:rPr>
      </w:pPr>
    </w:p>
    <w:p>
      <w:pPr>
        <w:pStyle w:val="2"/>
        <w:spacing w:after="0" w:line="360" w:lineRule="auto"/>
        <w:rPr>
          <w:rFonts w:ascii="宋体" w:hAnsi="宋体"/>
          <w:color w:val="auto"/>
          <w:szCs w:val="21"/>
          <w:highlight w:val="none"/>
        </w:rPr>
      </w:pPr>
    </w:p>
    <w:p>
      <w:pPr>
        <w:pStyle w:val="2"/>
        <w:spacing w:after="0" w:line="360" w:lineRule="auto"/>
        <w:rPr>
          <w:rFonts w:ascii="宋体" w:hAnsi="宋体"/>
          <w:color w:val="auto"/>
          <w:szCs w:val="21"/>
          <w:highlight w:val="none"/>
        </w:rPr>
      </w:pPr>
    </w:p>
    <w:p>
      <w:pPr>
        <w:autoSpaceDE w:val="0"/>
        <w:autoSpaceDN w:val="0"/>
        <w:adjustRightInd w:val="0"/>
        <w:snapToGrid w:val="0"/>
        <w:spacing w:line="480" w:lineRule="auto"/>
        <w:ind w:firstLine="420" w:firstLineChars="200"/>
        <w:jc w:val="right"/>
        <w:rPr>
          <w:rFonts w:ascii="宋体" w:hAnsi="宋体"/>
          <w:color w:val="auto"/>
          <w:kern w:val="0"/>
          <w:szCs w:val="21"/>
          <w:highlight w:val="none"/>
        </w:rPr>
      </w:pPr>
      <w:r>
        <w:rPr>
          <w:rFonts w:hint="eastAsia" w:ascii="宋体" w:hAnsi="宋体"/>
          <w:color w:val="auto"/>
          <w:kern w:val="0"/>
          <w:szCs w:val="21"/>
          <w:highlight w:val="none"/>
          <w:lang w:eastAsia="zh-CN"/>
        </w:rPr>
        <w:t>竞选人</w:t>
      </w:r>
      <w:r>
        <w:rPr>
          <w:rFonts w:ascii="宋体" w:hAnsi="宋体"/>
          <w:color w:val="auto"/>
          <w:kern w:val="0"/>
          <w:szCs w:val="21"/>
          <w:highlight w:val="none"/>
        </w:rPr>
        <w:t>：</w:t>
      </w:r>
      <w:r>
        <w:rPr>
          <w:rFonts w:ascii="宋体" w:hAnsi="宋体"/>
          <w:color w:val="auto"/>
          <w:w w:val="200"/>
          <w:kern w:val="0"/>
          <w:szCs w:val="21"/>
          <w:highlight w:val="none"/>
          <w:u w:val="single"/>
        </w:rPr>
        <w:t xml:space="preserve">              </w:t>
      </w:r>
      <w:r>
        <w:rPr>
          <w:rFonts w:ascii="宋体" w:hAnsi="宋体"/>
          <w:color w:val="auto"/>
          <w:kern w:val="0"/>
          <w:szCs w:val="21"/>
          <w:highlight w:val="none"/>
          <w:u w:val="single"/>
        </w:rPr>
        <w:tab/>
      </w:r>
      <w:r>
        <w:rPr>
          <w:rFonts w:ascii="宋体" w:hAnsi="宋体"/>
          <w:color w:val="auto"/>
          <w:spacing w:val="-1"/>
          <w:kern w:val="0"/>
          <w:szCs w:val="21"/>
          <w:highlight w:val="none"/>
        </w:rPr>
        <w:t>（</w:t>
      </w:r>
      <w:r>
        <w:rPr>
          <w:rFonts w:ascii="宋体" w:hAnsi="宋体"/>
          <w:color w:val="auto"/>
          <w:kern w:val="0"/>
          <w:szCs w:val="21"/>
          <w:highlight w:val="none"/>
        </w:rPr>
        <w:t>盖单位法人章）</w:t>
      </w:r>
    </w:p>
    <w:p>
      <w:pPr>
        <w:autoSpaceDE w:val="0"/>
        <w:autoSpaceDN w:val="0"/>
        <w:adjustRightInd w:val="0"/>
        <w:snapToGrid w:val="0"/>
        <w:spacing w:line="480" w:lineRule="auto"/>
        <w:jc w:val="left"/>
        <w:rPr>
          <w:rFonts w:ascii="宋体" w:hAnsi="宋体"/>
          <w:color w:val="auto"/>
          <w:kern w:val="0"/>
          <w:sz w:val="20"/>
          <w:szCs w:val="20"/>
          <w:highlight w:val="none"/>
        </w:rPr>
      </w:pPr>
    </w:p>
    <w:p>
      <w:pPr>
        <w:tabs>
          <w:tab w:val="left" w:pos="4935"/>
          <w:tab w:val="left" w:pos="5460"/>
          <w:tab w:val="left" w:pos="6400"/>
        </w:tabs>
        <w:wordWrap w:val="0"/>
        <w:autoSpaceDE w:val="0"/>
        <w:autoSpaceDN w:val="0"/>
        <w:adjustRightInd w:val="0"/>
        <w:snapToGrid w:val="0"/>
        <w:spacing w:line="480" w:lineRule="auto"/>
        <w:ind w:firstLine="3780"/>
        <w:jc w:val="right"/>
        <w:rPr>
          <w:rFonts w:ascii="宋体" w:hAnsi="宋体"/>
          <w:color w:val="auto"/>
          <w:kern w:val="0"/>
          <w:szCs w:val="21"/>
          <w:highlight w:val="none"/>
        </w:rPr>
      </w:pP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年</w:t>
      </w:r>
      <w:r>
        <w:rPr>
          <w:rFonts w:ascii="宋体" w:hAnsi="宋体"/>
          <w:color w:val="auto"/>
          <w:w w:val="200"/>
          <w:kern w:val="0"/>
          <w:szCs w:val="21"/>
          <w:highlight w:val="none"/>
          <w:u w:val="single"/>
        </w:rPr>
        <w:t xml:space="preserve"> </w:t>
      </w:r>
      <w:r>
        <w:rPr>
          <w:rFonts w:hint="eastAsia" w:ascii="宋体" w:hAnsi="宋体"/>
          <w:color w:val="auto"/>
          <w:kern w:val="0"/>
          <w:szCs w:val="21"/>
          <w:highlight w:val="none"/>
          <w:u w:val="single"/>
        </w:rPr>
        <w:t xml:space="preserve">    </w:t>
      </w:r>
      <w:r>
        <w:rPr>
          <w:rFonts w:ascii="宋体" w:hAnsi="宋体"/>
          <w:color w:val="auto"/>
          <w:kern w:val="0"/>
          <w:szCs w:val="21"/>
          <w:highlight w:val="none"/>
          <w:u w:val="single"/>
        </w:rPr>
        <w:t xml:space="preserve"> </w:t>
      </w:r>
      <w:r>
        <w:rPr>
          <w:rFonts w:ascii="宋体" w:hAnsi="宋体"/>
          <w:color w:val="auto"/>
          <w:kern w:val="0"/>
          <w:szCs w:val="21"/>
          <w:highlight w:val="none"/>
        </w:rPr>
        <w:t>月</w:t>
      </w:r>
      <w:r>
        <w:rPr>
          <w:rFonts w:ascii="宋体" w:hAnsi="宋体"/>
          <w:color w:val="auto"/>
          <w:w w:val="200"/>
          <w:kern w:val="0"/>
          <w:szCs w:val="21"/>
          <w:highlight w:val="none"/>
          <w:u w:val="single"/>
        </w:rPr>
        <w:t xml:space="preserve"> </w:t>
      </w:r>
      <w:r>
        <w:rPr>
          <w:rFonts w:ascii="宋体" w:hAnsi="宋体"/>
          <w:color w:val="auto"/>
          <w:kern w:val="0"/>
          <w:szCs w:val="21"/>
          <w:highlight w:val="none"/>
          <w:u w:val="single"/>
        </w:rPr>
        <w:t xml:space="preserve">     </w:t>
      </w:r>
      <w:r>
        <w:rPr>
          <w:rFonts w:ascii="宋体" w:hAnsi="宋体"/>
          <w:color w:val="auto"/>
          <w:kern w:val="0"/>
          <w:szCs w:val="21"/>
          <w:highlight w:val="none"/>
        </w:rPr>
        <w:t>日</w:t>
      </w:r>
      <w:r>
        <w:rPr>
          <w:rFonts w:hint="eastAsia" w:ascii="宋体" w:hAnsi="宋体"/>
          <w:color w:val="auto"/>
          <w:kern w:val="0"/>
          <w:szCs w:val="21"/>
          <w:highlight w:val="none"/>
        </w:rPr>
        <w:t xml:space="preserve">  </w:t>
      </w:r>
    </w:p>
    <w:p>
      <w:pPr>
        <w:autoSpaceDE w:val="0"/>
        <w:autoSpaceDN w:val="0"/>
        <w:adjustRightInd w:val="0"/>
        <w:snapToGrid w:val="0"/>
        <w:spacing w:line="360" w:lineRule="auto"/>
        <w:jc w:val="left"/>
        <w:rPr>
          <w:rFonts w:ascii="宋体" w:hAnsi="宋体"/>
          <w:color w:val="auto"/>
          <w:kern w:val="0"/>
          <w:highlight w:val="none"/>
        </w:rPr>
      </w:pPr>
    </w:p>
    <w:p>
      <w:pPr>
        <w:autoSpaceDE w:val="0"/>
        <w:autoSpaceDN w:val="0"/>
        <w:adjustRightInd w:val="0"/>
        <w:snapToGrid w:val="0"/>
        <w:spacing w:line="360" w:lineRule="auto"/>
        <w:jc w:val="left"/>
        <w:rPr>
          <w:rFonts w:ascii="宋体" w:hAnsi="宋体"/>
          <w:color w:val="auto"/>
          <w:kern w:val="0"/>
          <w:highlight w:val="none"/>
        </w:rPr>
      </w:pPr>
    </w:p>
    <w:p>
      <w:pPr>
        <w:spacing w:line="360" w:lineRule="auto"/>
        <w:ind w:firstLine="420" w:firstLineChars="200"/>
        <w:rPr>
          <w:rFonts w:ascii="宋体" w:hAnsi="宋体"/>
          <w:color w:val="auto"/>
          <w:highlight w:val="none"/>
        </w:rPr>
      </w:pPr>
      <w:r>
        <w:rPr>
          <w:rFonts w:ascii="宋体" w:hAnsi="宋体"/>
          <w:color w:val="auto"/>
          <w:highlight w:val="none"/>
        </w:rPr>
        <w:t>注：法定代表人身份证明需按上述格式填写完整，不可缺少内容。在此基础上增加内容的不影响其有效性。</w:t>
      </w:r>
    </w:p>
    <w:p>
      <w:pPr>
        <w:autoSpaceDE w:val="0"/>
        <w:autoSpaceDN w:val="0"/>
        <w:adjustRightInd w:val="0"/>
        <w:snapToGrid w:val="0"/>
        <w:spacing w:line="360" w:lineRule="auto"/>
        <w:jc w:val="left"/>
        <w:rPr>
          <w:rFonts w:ascii="宋体" w:hAnsi="宋体"/>
          <w:color w:val="auto"/>
          <w:kern w:val="0"/>
          <w:highlight w:val="none"/>
        </w:rPr>
      </w:pPr>
    </w:p>
    <w:p>
      <w:pPr>
        <w:tabs>
          <w:tab w:val="left" w:pos="1680"/>
          <w:tab w:val="left" w:pos="4215"/>
          <w:tab w:val="left" w:pos="4305"/>
          <w:tab w:val="left" w:pos="8000"/>
        </w:tabs>
        <w:autoSpaceDE w:val="0"/>
        <w:autoSpaceDN w:val="0"/>
        <w:adjustRightInd w:val="0"/>
        <w:snapToGrid w:val="0"/>
        <w:spacing w:line="360" w:lineRule="auto"/>
        <w:jc w:val="center"/>
        <w:rPr>
          <w:rFonts w:ascii="宋体" w:hAnsi="宋体"/>
          <w:color w:val="auto"/>
          <w:kern w:val="0"/>
          <w:sz w:val="20"/>
          <w:szCs w:val="20"/>
          <w:highlight w:val="none"/>
        </w:rPr>
      </w:pPr>
      <w:r>
        <w:rPr>
          <w:rFonts w:ascii="宋体" w:hAnsi="宋体"/>
          <w:b/>
          <w:color w:val="auto"/>
          <w:kern w:val="0"/>
          <w:sz w:val="28"/>
          <w:szCs w:val="28"/>
          <w:highlight w:val="none"/>
        </w:rPr>
        <w:br w:type="page"/>
      </w:r>
      <w:r>
        <w:rPr>
          <w:rFonts w:ascii="宋体" w:hAnsi="宋体"/>
          <w:snapToGrid w:val="0"/>
          <w:color w:val="auto"/>
          <w:kern w:val="0"/>
          <w:sz w:val="32"/>
          <w:szCs w:val="32"/>
          <w:highlight w:val="none"/>
        </w:rPr>
        <w:t>授权委托书</w:t>
      </w:r>
    </w:p>
    <w:p>
      <w:pPr>
        <w:tabs>
          <w:tab w:val="left" w:pos="1680"/>
          <w:tab w:val="left" w:pos="4215"/>
          <w:tab w:val="left" w:pos="4305"/>
          <w:tab w:val="left" w:pos="8000"/>
        </w:tabs>
        <w:autoSpaceDE w:val="0"/>
        <w:autoSpaceDN w:val="0"/>
        <w:adjustRightInd w:val="0"/>
        <w:snapToGrid w:val="0"/>
        <w:spacing w:line="480" w:lineRule="auto"/>
        <w:ind w:firstLine="420"/>
        <w:jc w:val="left"/>
        <w:rPr>
          <w:rFonts w:ascii="宋体" w:hAnsi="宋体"/>
          <w:color w:val="auto"/>
          <w:kern w:val="0"/>
          <w:szCs w:val="21"/>
          <w:highlight w:val="none"/>
        </w:rPr>
      </w:pPr>
      <w:r>
        <w:rPr>
          <w:rFonts w:ascii="宋体" w:hAnsi="宋体"/>
          <w:color w:val="auto"/>
          <w:kern w:val="0"/>
          <w:szCs w:val="21"/>
          <w:highlight w:val="none"/>
        </w:rPr>
        <w:t>本人</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u w:val="single"/>
        </w:rPr>
        <w:t>（姓名）</w:t>
      </w:r>
      <w:r>
        <w:rPr>
          <w:rFonts w:ascii="宋体" w:hAnsi="宋体"/>
          <w:color w:val="auto"/>
          <w:kern w:val="0"/>
          <w:szCs w:val="21"/>
          <w:highlight w:val="none"/>
        </w:rPr>
        <w:t>系</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u w:val="single"/>
        </w:rPr>
        <w:t>（</w:t>
      </w:r>
      <w:r>
        <w:rPr>
          <w:rFonts w:hint="eastAsia" w:ascii="宋体" w:hAnsi="宋体"/>
          <w:color w:val="auto"/>
          <w:spacing w:val="-1"/>
          <w:kern w:val="0"/>
          <w:szCs w:val="21"/>
          <w:highlight w:val="none"/>
          <w:u w:val="single"/>
          <w:lang w:eastAsia="zh-CN"/>
        </w:rPr>
        <w:t>竞选人</w:t>
      </w:r>
      <w:r>
        <w:rPr>
          <w:rFonts w:ascii="宋体" w:hAnsi="宋体"/>
          <w:color w:val="auto"/>
          <w:kern w:val="0"/>
          <w:szCs w:val="21"/>
          <w:highlight w:val="none"/>
          <w:u w:val="single"/>
        </w:rPr>
        <w:t>名称</w:t>
      </w:r>
      <w:r>
        <w:rPr>
          <w:rFonts w:ascii="宋体" w:hAnsi="宋体"/>
          <w:color w:val="auto"/>
          <w:spacing w:val="1"/>
          <w:kern w:val="0"/>
          <w:szCs w:val="21"/>
          <w:highlight w:val="none"/>
          <w:u w:val="single"/>
        </w:rPr>
        <w:t>）</w:t>
      </w:r>
      <w:r>
        <w:rPr>
          <w:rFonts w:ascii="宋体" w:hAnsi="宋体"/>
          <w:color w:val="auto"/>
          <w:kern w:val="0"/>
          <w:szCs w:val="21"/>
          <w:highlight w:val="none"/>
        </w:rPr>
        <w:t>的法定代</w:t>
      </w:r>
      <w:r>
        <w:rPr>
          <w:rFonts w:ascii="宋体" w:hAnsi="宋体"/>
          <w:color w:val="auto"/>
          <w:spacing w:val="1"/>
          <w:kern w:val="0"/>
          <w:szCs w:val="21"/>
          <w:highlight w:val="none"/>
        </w:rPr>
        <w:t>表</w:t>
      </w:r>
      <w:r>
        <w:rPr>
          <w:rFonts w:ascii="宋体" w:hAnsi="宋体"/>
          <w:color w:val="auto"/>
          <w:kern w:val="0"/>
          <w:szCs w:val="21"/>
          <w:highlight w:val="none"/>
        </w:rPr>
        <w:t>人，现委托</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u w:val="single"/>
        </w:rPr>
        <w:t>（姓名）</w:t>
      </w:r>
      <w:r>
        <w:rPr>
          <w:rFonts w:ascii="宋体" w:hAnsi="宋体"/>
          <w:color w:val="auto"/>
          <w:kern w:val="0"/>
          <w:szCs w:val="21"/>
          <w:highlight w:val="none"/>
        </w:rPr>
        <w:t>为我方代理人。代理人根据授权，以我方名义签署、澄清、说明、补正、递交、撤回、 修改</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u w:val="single"/>
        </w:rPr>
        <w:t>（项</w:t>
      </w:r>
      <w:r>
        <w:rPr>
          <w:rFonts w:ascii="宋体" w:hAnsi="宋体"/>
          <w:color w:val="auto"/>
          <w:spacing w:val="-1"/>
          <w:kern w:val="0"/>
          <w:szCs w:val="21"/>
          <w:highlight w:val="none"/>
          <w:u w:val="single"/>
        </w:rPr>
        <w:t>目</w:t>
      </w:r>
      <w:r>
        <w:rPr>
          <w:rFonts w:ascii="宋体" w:hAnsi="宋体"/>
          <w:color w:val="auto"/>
          <w:kern w:val="0"/>
          <w:szCs w:val="21"/>
          <w:highlight w:val="none"/>
          <w:u w:val="single"/>
        </w:rPr>
        <w:t>名称）</w:t>
      </w:r>
      <w:r>
        <w:rPr>
          <w:rFonts w:hint="eastAsia" w:ascii="宋体" w:hAnsi="宋体"/>
          <w:color w:val="auto"/>
          <w:kern w:val="0"/>
          <w:szCs w:val="21"/>
          <w:highlight w:val="none"/>
          <w:lang w:eastAsia="zh-CN"/>
        </w:rPr>
        <w:t>竞选文件</w:t>
      </w:r>
      <w:r>
        <w:rPr>
          <w:rFonts w:ascii="宋体" w:hAnsi="宋体"/>
          <w:color w:val="auto"/>
          <w:kern w:val="0"/>
          <w:szCs w:val="21"/>
          <w:highlight w:val="none"/>
        </w:rPr>
        <w:t>、签订合同和处理有关事宜， 其法律后果由我方承担。</w:t>
      </w:r>
    </w:p>
    <w:p>
      <w:pPr>
        <w:tabs>
          <w:tab w:val="left" w:pos="1680"/>
          <w:tab w:val="left" w:pos="4200"/>
          <w:tab w:val="left" w:pos="4305"/>
          <w:tab w:val="left" w:pos="8000"/>
        </w:tabs>
        <w:autoSpaceDE w:val="0"/>
        <w:autoSpaceDN w:val="0"/>
        <w:adjustRightInd w:val="0"/>
        <w:snapToGrid w:val="0"/>
        <w:spacing w:line="480" w:lineRule="auto"/>
        <w:ind w:firstLine="420"/>
        <w:rPr>
          <w:rFonts w:ascii="宋体" w:hAnsi="宋体"/>
          <w:color w:val="auto"/>
          <w:kern w:val="0"/>
          <w:szCs w:val="21"/>
          <w:highlight w:val="none"/>
        </w:rPr>
      </w:pPr>
      <w:r>
        <w:rPr>
          <w:rFonts w:ascii="宋体" w:hAnsi="宋体"/>
          <w:color w:val="auto"/>
          <w:kern w:val="0"/>
          <w:szCs w:val="21"/>
          <w:highlight w:val="none"/>
        </w:rPr>
        <w:t>委托</w:t>
      </w:r>
      <w:r>
        <w:rPr>
          <w:rFonts w:ascii="宋体" w:hAnsi="宋体"/>
          <w:color w:val="auto"/>
          <w:spacing w:val="-1"/>
          <w:kern w:val="0"/>
          <w:szCs w:val="21"/>
          <w:highlight w:val="none"/>
        </w:rPr>
        <w:t>期</w:t>
      </w:r>
      <w:r>
        <w:rPr>
          <w:rFonts w:ascii="宋体" w:hAnsi="宋体"/>
          <w:color w:val="auto"/>
          <w:kern w:val="0"/>
          <w:szCs w:val="21"/>
          <w:highlight w:val="none"/>
        </w:rPr>
        <w:t>限：</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 xml:space="preserve">。 </w:t>
      </w:r>
    </w:p>
    <w:p>
      <w:pPr>
        <w:tabs>
          <w:tab w:val="left" w:pos="1680"/>
          <w:tab w:val="left" w:pos="4200"/>
          <w:tab w:val="left" w:pos="4305"/>
          <w:tab w:val="left" w:pos="8000"/>
        </w:tabs>
        <w:autoSpaceDE w:val="0"/>
        <w:autoSpaceDN w:val="0"/>
        <w:adjustRightInd w:val="0"/>
        <w:snapToGrid w:val="0"/>
        <w:spacing w:line="480" w:lineRule="auto"/>
        <w:ind w:firstLine="420"/>
        <w:rPr>
          <w:rFonts w:ascii="宋体" w:hAnsi="宋体"/>
          <w:color w:val="auto"/>
          <w:kern w:val="0"/>
          <w:szCs w:val="21"/>
          <w:highlight w:val="none"/>
        </w:rPr>
      </w:pPr>
      <w:r>
        <w:rPr>
          <w:rFonts w:ascii="宋体" w:hAnsi="宋体"/>
          <w:color w:val="auto"/>
          <w:kern w:val="0"/>
          <w:szCs w:val="21"/>
          <w:highlight w:val="none"/>
        </w:rPr>
        <w:t>代理人无转委托权。</w:t>
      </w:r>
    </w:p>
    <w:p>
      <w:pPr>
        <w:tabs>
          <w:tab w:val="left" w:pos="1680"/>
          <w:tab w:val="left" w:pos="4200"/>
          <w:tab w:val="left" w:pos="4305"/>
          <w:tab w:val="left" w:pos="8000"/>
        </w:tabs>
        <w:autoSpaceDE w:val="0"/>
        <w:autoSpaceDN w:val="0"/>
        <w:adjustRightInd w:val="0"/>
        <w:snapToGrid w:val="0"/>
        <w:spacing w:line="480" w:lineRule="auto"/>
        <w:ind w:firstLine="420"/>
        <w:rPr>
          <w:rFonts w:ascii="宋体" w:hAnsi="宋体"/>
          <w:color w:val="auto"/>
          <w:kern w:val="0"/>
          <w:szCs w:val="21"/>
          <w:highlight w:val="none"/>
        </w:rPr>
      </w:pPr>
    </w:p>
    <w:p>
      <w:pPr>
        <w:tabs>
          <w:tab w:val="left" w:pos="1680"/>
          <w:tab w:val="left" w:pos="4200"/>
          <w:tab w:val="left" w:pos="4305"/>
          <w:tab w:val="left" w:pos="8000"/>
        </w:tabs>
        <w:autoSpaceDE w:val="0"/>
        <w:autoSpaceDN w:val="0"/>
        <w:adjustRightInd w:val="0"/>
        <w:snapToGrid w:val="0"/>
        <w:spacing w:line="480" w:lineRule="auto"/>
        <w:ind w:firstLine="420"/>
        <w:rPr>
          <w:rFonts w:ascii="宋体" w:hAnsi="宋体"/>
          <w:color w:val="auto"/>
          <w:kern w:val="0"/>
          <w:szCs w:val="21"/>
          <w:highlight w:val="none"/>
        </w:rPr>
      </w:pPr>
      <w:r>
        <w:rPr>
          <w:rFonts w:ascii="宋体" w:hAnsi="宋体"/>
          <w:color w:val="auto"/>
          <w:kern w:val="0"/>
          <w:szCs w:val="21"/>
          <w:highlight w:val="none"/>
        </w:rPr>
        <w:t>投  标  人：</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ascii="宋体" w:hAnsi="宋体"/>
          <w:color w:val="auto"/>
          <w:kern w:val="0"/>
          <w:szCs w:val="21"/>
          <w:highlight w:val="none"/>
        </w:rPr>
        <w:t>（</w:t>
      </w:r>
      <w:r>
        <w:rPr>
          <w:rFonts w:ascii="宋体" w:hAnsi="宋体"/>
          <w:color w:val="auto"/>
          <w:spacing w:val="-1"/>
          <w:kern w:val="0"/>
          <w:szCs w:val="21"/>
          <w:highlight w:val="none"/>
        </w:rPr>
        <w:t>盖单位法人章</w:t>
      </w:r>
      <w:r>
        <w:rPr>
          <w:rFonts w:ascii="宋体" w:hAnsi="宋体"/>
          <w:color w:val="auto"/>
          <w:kern w:val="0"/>
          <w:szCs w:val="21"/>
          <w:highlight w:val="none"/>
        </w:rPr>
        <w:t>）</w:t>
      </w:r>
    </w:p>
    <w:p>
      <w:pPr>
        <w:tabs>
          <w:tab w:val="left" w:pos="6300"/>
        </w:tabs>
        <w:autoSpaceDE w:val="0"/>
        <w:autoSpaceDN w:val="0"/>
        <w:adjustRightInd w:val="0"/>
        <w:snapToGrid w:val="0"/>
        <w:spacing w:line="480" w:lineRule="auto"/>
        <w:ind w:firstLine="420" w:firstLineChars="200"/>
        <w:jc w:val="left"/>
        <w:rPr>
          <w:rFonts w:ascii="宋体" w:hAnsi="宋体"/>
          <w:color w:val="auto"/>
          <w:kern w:val="0"/>
          <w:szCs w:val="21"/>
          <w:highlight w:val="none"/>
        </w:rPr>
      </w:pPr>
      <w:r>
        <w:rPr>
          <w:rFonts w:ascii="宋体" w:hAnsi="宋体"/>
          <w:color w:val="auto"/>
          <w:kern w:val="0"/>
          <w:szCs w:val="21"/>
          <w:highlight w:val="none"/>
        </w:rPr>
        <w:t>法定代表人：</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w:t>
      </w:r>
      <w:r>
        <w:rPr>
          <w:rFonts w:hint="eastAsia" w:ascii="宋体" w:hAnsi="宋体"/>
          <w:color w:val="auto"/>
          <w:kern w:val="0"/>
          <w:szCs w:val="21"/>
          <w:highlight w:val="none"/>
        </w:rPr>
        <w:t>签名</w:t>
      </w:r>
      <w:r>
        <w:rPr>
          <w:rFonts w:ascii="宋体" w:hAnsi="宋体"/>
          <w:color w:val="auto"/>
          <w:kern w:val="0"/>
          <w:szCs w:val="21"/>
          <w:highlight w:val="none"/>
        </w:rPr>
        <w:t>或盖章）</w:t>
      </w:r>
    </w:p>
    <w:p>
      <w:pPr>
        <w:tabs>
          <w:tab w:val="left" w:pos="5260"/>
        </w:tabs>
        <w:autoSpaceDE w:val="0"/>
        <w:autoSpaceDN w:val="0"/>
        <w:adjustRightInd w:val="0"/>
        <w:snapToGrid w:val="0"/>
        <w:spacing w:line="480" w:lineRule="auto"/>
        <w:ind w:firstLine="420" w:firstLineChars="200"/>
        <w:jc w:val="left"/>
        <w:rPr>
          <w:rFonts w:ascii="宋体" w:hAnsi="宋体"/>
          <w:color w:val="auto"/>
          <w:kern w:val="0"/>
          <w:szCs w:val="21"/>
          <w:highlight w:val="none"/>
          <w:u w:val="single"/>
        </w:rPr>
      </w:pPr>
      <w:r>
        <w:rPr>
          <w:rFonts w:ascii="宋体" w:hAnsi="宋体"/>
          <w:color w:val="auto"/>
          <w:kern w:val="0"/>
          <w:szCs w:val="21"/>
          <w:highlight w:val="none"/>
        </w:rPr>
        <w:t>身份证号码：</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p>
    <w:p>
      <w:pPr>
        <w:tabs>
          <w:tab w:val="left" w:pos="5260"/>
        </w:tabs>
        <w:autoSpaceDE w:val="0"/>
        <w:autoSpaceDN w:val="0"/>
        <w:adjustRightInd w:val="0"/>
        <w:snapToGrid w:val="0"/>
        <w:spacing w:line="480" w:lineRule="auto"/>
        <w:ind w:firstLine="420" w:firstLineChars="200"/>
        <w:jc w:val="left"/>
        <w:rPr>
          <w:rFonts w:ascii="宋体" w:hAnsi="宋体"/>
          <w:color w:val="auto"/>
          <w:kern w:val="0"/>
          <w:szCs w:val="21"/>
          <w:highlight w:val="none"/>
        </w:rPr>
      </w:pPr>
      <w:r>
        <w:rPr>
          <w:rFonts w:ascii="宋体" w:hAnsi="宋体"/>
          <w:color w:val="auto"/>
          <w:kern w:val="0"/>
          <w:szCs w:val="21"/>
          <w:highlight w:val="none"/>
        </w:rPr>
        <w:t>委托代理人：</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ascii="宋体" w:hAnsi="宋体"/>
          <w:color w:val="auto"/>
          <w:kern w:val="0"/>
          <w:szCs w:val="21"/>
          <w:highlight w:val="none"/>
        </w:rPr>
        <w:t>（</w:t>
      </w:r>
      <w:r>
        <w:rPr>
          <w:rFonts w:hint="eastAsia" w:ascii="宋体" w:hAnsi="宋体"/>
          <w:color w:val="auto"/>
          <w:kern w:val="0"/>
          <w:szCs w:val="21"/>
          <w:highlight w:val="none"/>
        </w:rPr>
        <w:t>签名</w:t>
      </w:r>
      <w:r>
        <w:rPr>
          <w:rFonts w:ascii="宋体" w:hAnsi="宋体"/>
          <w:color w:val="auto"/>
          <w:kern w:val="0"/>
          <w:szCs w:val="21"/>
          <w:highlight w:val="none"/>
        </w:rPr>
        <w:t>）</w:t>
      </w:r>
    </w:p>
    <w:p>
      <w:pPr>
        <w:tabs>
          <w:tab w:val="left" w:pos="6825"/>
        </w:tabs>
        <w:autoSpaceDE w:val="0"/>
        <w:autoSpaceDN w:val="0"/>
        <w:adjustRightInd w:val="0"/>
        <w:snapToGrid w:val="0"/>
        <w:spacing w:line="480" w:lineRule="auto"/>
        <w:ind w:firstLine="420" w:firstLineChars="200"/>
        <w:jc w:val="left"/>
        <w:rPr>
          <w:rFonts w:ascii="宋体" w:hAnsi="宋体"/>
          <w:color w:val="auto"/>
          <w:w w:val="200"/>
          <w:kern w:val="0"/>
          <w:szCs w:val="21"/>
          <w:highlight w:val="none"/>
          <w:u w:val="single"/>
        </w:rPr>
      </w:pPr>
      <w:r>
        <w:rPr>
          <w:rFonts w:ascii="宋体" w:hAnsi="宋体"/>
          <w:color w:val="auto"/>
          <w:kern w:val="0"/>
          <w:szCs w:val="21"/>
          <w:highlight w:val="none"/>
        </w:rPr>
        <w:t>身份证号码：</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p>
    <w:p>
      <w:pPr>
        <w:tabs>
          <w:tab w:val="left" w:pos="6825"/>
        </w:tabs>
        <w:autoSpaceDE w:val="0"/>
        <w:autoSpaceDN w:val="0"/>
        <w:adjustRightInd w:val="0"/>
        <w:snapToGrid w:val="0"/>
        <w:spacing w:line="480" w:lineRule="auto"/>
        <w:ind w:firstLine="420" w:firstLineChars="200"/>
        <w:jc w:val="left"/>
        <w:rPr>
          <w:rFonts w:ascii="宋体" w:hAnsi="宋体"/>
          <w:color w:val="auto"/>
          <w:kern w:val="0"/>
          <w:szCs w:val="21"/>
          <w:highlight w:val="none"/>
          <w:u w:val="single"/>
        </w:rPr>
      </w:pPr>
      <w:r>
        <w:rPr>
          <w:rFonts w:hint="eastAsia" w:ascii="宋体" w:hAnsi="宋体"/>
          <w:color w:val="auto"/>
          <w:kern w:val="0"/>
          <w:szCs w:val="21"/>
          <w:highlight w:val="none"/>
        </w:rPr>
        <w:t>单位电话（座机）：</w:t>
      </w:r>
      <w:r>
        <w:rPr>
          <w:rFonts w:hint="eastAsia" w:ascii="宋体" w:hAnsi="宋体"/>
          <w:color w:val="auto"/>
          <w:kern w:val="0"/>
          <w:szCs w:val="21"/>
          <w:highlight w:val="none"/>
          <w:u w:val="single"/>
        </w:rPr>
        <w:t xml:space="preserve">                              </w:t>
      </w:r>
    </w:p>
    <w:p>
      <w:pPr>
        <w:autoSpaceDE w:val="0"/>
        <w:autoSpaceDN w:val="0"/>
        <w:adjustRightInd w:val="0"/>
        <w:snapToGrid w:val="0"/>
        <w:spacing w:line="48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委托代理人电话（手机）：                                          </w:t>
      </w:r>
    </w:p>
    <w:p>
      <w:pPr>
        <w:autoSpaceDE w:val="0"/>
        <w:autoSpaceDN w:val="0"/>
        <w:adjustRightInd w:val="0"/>
        <w:snapToGrid w:val="0"/>
        <w:spacing w:line="480" w:lineRule="auto"/>
        <w:ind w:firstLine="810" w:firstLineChars="386"/>
        <w:jc w:val="left"/>
        <w:rPr>
          <w:rFonts w:ascii="宋体" w:hAnsi="宋体"/>
          <w:color w:val="auto"/>
          <w:kern w:val="0"/>
          <w:szCs w:val="21"/>
          <w:highlight w:val="none"/>
        </w:rPr>
      </w:pPr>
      <w:r>
        <w:rPr>
          <w:rFonts w:hint="eastAsia" w:ascii="宋体" w:hAnsi="宋体"/>
          <w:color w:val="auto"/>
          <w:kern w:val="0"/>
          <w:szCs w:val="21"/>
          <w:highlight w:val="none"/>
        </w:rPr>
        <w:t>附：法定代表人和委托代理人身份证复印件（双面）</w:t>
      </w:r>
    </w:p>
    <w:p>
      <w:pPr>
        <w:tabs>
          <w:tab w:val="left" w:pos="4005"/>
          <w:tab w:val="left" w:pos="4100"/>
          <w:tab w:val="left" w:pos="5040"/>
        </w:tabs>
        <w:wordWrap w:val="0"/>
        <w:autoSpaceDE w:val="0"/>
        <w:autoSpaceDN w:val="0"/>
        <w:adjustRightInd w:val="0"/>
        <w:snapToGrid w:val="0"/>
        <w:spacing w:line="360" w:lineRule="auto"/>
        <w:ind w:firstLine="3780"/>
        <w:jc w:val="right"/>
        <w:rPr>
          <w:rFonts w:ascii="宋体" w:hAnsi="宋体"/>
          <w:color w:val="auto"/>
          <w:w w:val="200"/>
          <w:kern w:val="0"/>
          <w:szCs w:val="21"/>
          <w:highlight w:val="none"/>
          <w:u w:val="single"/>
        </w:rPr>
      </w:pPr>
    </w:p>
    <w:p>
      <w:pPr>
        <w:tabs>
          <w:tab w:val="left" w:pos="4005"/>
          <w:tab w:val="left" w:pos="4100"/>
          <w:tab w:val="left" w:pos="5040"/>
        </w:tabs>
        <w:autoSpaceDE w:val="0"/>
        <w:autoSpaceDN w:val="0"/>
        <w:adjustRightInd w:val="0"/>
        <w:snapToGrid w:val="0"/>
        <w:spacing w:line="360" w:lineRule="auto"/>
        <w:ind w:firstLine="3780"/>
        <w:jc w:val="right"/>
        <w:rPr>
          <w:rFonts w:ascii="宋体" w:hAnsi="宋体"/>
          <w:color w:val="auto"/>
          <w:w w:val="200"/>
          <w:kern w:val="0"/>
          <w:szCs w:val="21"/>
          <w:highlight w:val="none"/>
          <w:u w:val="single"/>
        </w:rPr>
      </w:pPr>
    </w:p>
    <w:p>
      <w:pPr>
        <w:tabs>
          <w:tab w:val="left" w:pos="4005"/>
          <w:tab w:val="left" w:pos="4100"/>
          <w:tab w:val="left" w:pos="5040"/>
        </w:tabs>
        <w:autoSpaceDE w:val="0"/>
        <w:autoSpaceDN w:val="0"/>
        <w:adjustRightInd w:val="0"/>
        <w:snapToGrid w:val="0"/>
        <w:spacing w:line="360" w:lineRule="auto"/>
        <w:ind w:firstLine="3780"/>
        <w:jc w:val="right"/>
        <w:rPr>
          <w:rFonts w:ascii="宋体" w:hAnsi="宋体"/>
          <w:color w:val="auto"/>
          <w:w w:val="200"/>
          <w:kern w:val="0"/>
          <w:szCs w:val="21"/>
          <w:highlight w:val="none"/>
          <w:u w:val="single"/>
        </w:rPr>
      </w:pPr>
    </w:p>
    <w:p>
      <w:pPr>
        <w:tabs>
          <w:tab w:val="left" w:pos="4005"/>
          <w:tab w:val="left" w:pos="4100"/>
          <w:tab w:val="left" w:pos="5040"/>
        </w:tabs>
        <w:autoSpaceDE w:val="0"/>
        <w:autoSpaceDN w:val="0"/>
        <w:adjustRightInd w:val="0"/>
        <w:snapToGrid w:val="0"/>
        <w:spacing w:line="360" w:lineRule="auto"/>
        <w:ind w:firstLine="3780"/>
        <w:jc w:val="right"/>
        <w:rPr>
          <w:rFonts w:ascii="宋体" w:hAnsi="宋体"/>
          <w:color w:val="auto"/>
          <w:w w:val="200"/>
          <w:kern w:val="0"/>
          <w:szCs w:val="21"/>
          <w:highlight w:val="none"/>
          <w:u w:val="single"/>
        </w:rPr>
      </w:pPr>
    </w:p>
    <w:p>
      <w:pPr>
        <w:tabs>
          <w:tab w:val="left" w:pos="4005"/>
          <w:tab w:val="left" w:pos="4100"/>
          <w:tab w:val="left" w:pos="5040"/>
        </w:tabs>
        <w:autoSpaceDE w:val="0"/>
        <w:autoSpaceDN w:val="0"/>
        <w:adjustRightInd w:val="0"/>
        <w:snapToGrid w:val="0"/>
        <w:spacing w:line="360" w:lineRule="auto"/>
        <w:ind w:firstLine="3780"/>
        <w:jc w:val="right"/>
        <w:rPr>
          <w:rFonts w:ascii="宋体" w:hAnsi="宋体"/>
          <w:color w:val="auto"/>
          <w:w w:val="200"/>
          <w:kern w:val="0"/>
          <w:szCs w:val="21"/>
          <w:highlight w:val="none"/>
          <w:u w:val="single"/>
        </w:rPr>
      </w:pPr>
    </w:p>
    <w:p>
      <w:pPr>
        <w:tabs>
          <w:tab w:val="left" w:pos="4005"/>
          <w:tab w:val="left" w:pos="4100"/>
          <w:tab w:val="left" w:pos="5040"/>
        </w:tabs>
        <w:autoSpaceDE w:val="0"/>
        <w:autoSpaceDN w:val="0"/>
        <w:adjustRightInd w:val="0"/>
        <w:snapToGrid w:val="0"/>
        <w:spacing w:line="360" w:lineRule="auto"/>
        <w:ind w:firstLine="3780"/>
        <w:jc w:val="right"/>
        <w:rPr>
          <w:rFonts w:ascii="宋体" w:hAnsi="宋体"/>
          <w:color w:val="auto"/>
          <w:w w:val="200"/>
          <w:kern w:val="0"/>
          <w:szCs w:val="21"/>
          <w:highlight w:val="none"/>
          <w:u w:val="single"/>
        </w:rPr>
      </w:pPr>
    </w:p>
    <w:p>
      <w:pPr>
        <w:tabs>
          <w:tab w:val="left" w:pos="4005"/>
          <w:tab w:val="left" w:pos="4100"/>
          <w:tab w:val="left" w:pos="5040"/>
        </w:tabs>
        <w:autoSpaceDE w:val="0"/>
        <w:autoSpaceDN w:val="0"/>
        <w:adjustRightInd w:val="0"/>
        <w:snapToGrid w:val="0"/>
        <w:spacing w:line="360" w:lineRule="auto"/>
        <w:ind w:firstLine="3780"/>
        <w:jc w:val="right"/>
        <w:rPr>
          <w:rFonts w:ascii="宋体" w:hAnsi="宋体"/>
          <w:color w:val="auto"/>
          <w:w w:val="200"/>
          <w:kern w:val="0"/>
          <w:szCs w:val="21"/>
          <w:highlight w:val="none"/>
          <w:u w:val="single"/>
        </w:rPr>
      </w:pPr>
    </w:p>
    <w:p>
      <w:pPr>
        <w:tabs>
          <w:tab w:val="left" w:pos="4005"/>
          <w:tab w:val="left" w:pos="4100"/>
          <w:tab w:val="left" w:pos="5040"/>
        </w:tabs>
        <w:wordWrap w:val="0"/>
        <w:autoSpaceDE w:val="0"/>
        <w:autoSpaceDN w:val="0"/>
        <w:adjustRightInd w:val="0"/>
        <w:snapToGrid w:val="0"/>
        <w:spacing w:line="360" w:lineRule="auto"/>
        <w:ind w:firstLine="3780"/>
        <w:jc w:val="right"/>
        <w:rPr>
          <w:rFonts w:ascii="宋体" w:hAnsi="宋体"/>
          <w:color w:val="auto"/>
          <w:kern w:val="0"/>
          <w:szCs w:val="21"/>
          <w:highlight w:val="none"/>
        </w:rPr>
      </w:pP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年</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月</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日</w:t>
      </w:r>
    </w:p>
    <w:p>
      <w:pPr>
        <w:tabs>
          <w:tab w:val="left" w:pos="4005"/>
          <w:tab w:val="left" w:pos="4100"/>
          <w:tab w:val="left" w:pos="5040"/>
        </w:tabs>
        <w:autoSpaceDE w:val="0"/>
        <w:autoSpaceDN w:val="0"/>
        <w:adjustRightInd w:val="0"/>
        <w:snapToGrid w:val="0"/>
        <w:spacing w:line="360" w:lineRule="auto"/>
        <w:ind w:firstLine="3780"/>
        <w:jc w:val="right"/>
        <w:rPr>
          <w:rFonts w:ascii="宋体" w:hAnsi="宋体"/>
          <w:color w:val="auto"/>
          <w:kern w:val="0"/>
          <w:szCs w:val="21"/>
          <w:highlight w:val="none"/>
        </w:rPr>
      </w:pPr>
    </w:p>
    <w:p>
      <w:pPr>
        <w:tabs>
          <w:tab w:val="left" w:pos="4005"/>
          <w:tab w:val="left" w:pos="4100"/>
          <w:tab w:val="left" w:pos="5040"/>
        </w:tabs>
        <w:autoSpaceDE w:val="0"/>
        <w:autoSpaceDN w:val="0"/>
        <w:adjustRightInd w:val="0"/>
        <w:snapToGrid w:val="0"/>
        <w:spacing w:line="360" w:lineRule="auto"/>
        <w:ind w:firstLine="420" w:firstLineChars="200"/>
        <w:jc w:val="left"/>
        <w:rPr>
          <w:rFonts w:ascii="宋体" w:hAnsi="宋体"/>
          <w:color w:val="auto"/>
          <w:kern w:val="0"/>
          <w:szCs w:val="21"/>
          <w:highlight w:val="none"/>
        </w:rPr>
      </w:pPr>
      <w:r>
        <w:rPr>
          <w:rFonts w:ascii="宋体" w:hAnsi="宋体"/>
          <w:color w:val="auto"/>
          <w:kern w:val="0"/>
          <w:szCs w:val="21"/>
          <w:highlight w:val="none"/>
        </w:rPr>
        <w:t>注：1、法定代表人参加投标活动并签署文件的不需要授权委托书，只需提供法定代表人身份证明；非法定代表人参加投标活动及签署文件的除提供法定代表人身份证明外还须提供授权委托书。</w:t>
      </w:r>
    </w:p>
    <w:p>
      <w:pPr>
        <w:tabs>
          <w:tab w:val="left" w:pos="5760"/>
        </w:tabs>
        <w:autoSpaceDE w:val="0"/>
        <w:autoSpaceDN w:val="0"/>
        <w:adjustRightInd w:val="0"/>
        <w:spacing w:line="360" w:lineRule="auto"/>
        <w:ind w:firstLine="420" w:firstLineChars="200"/>
        <w:jc w:val="left"/>
        <w:rPr>
          <w:rFonts w:ascii="宋体" w:hAnsi="宋体"/>
          <w:color w:val="auto"/>
          <w:kern w:val="0"/>
          <w:szCs w:val="21"/>
          <w:highlight w:val="none"/>
        </w:rPr>
      </w:pPr>
      <w:r>
        <w:rPr>
          <w:rFonts w:ascii="宋体" w:hAnsi="宋体"/>
          <w:color w:val="auto"/>
          <w:kern w:val="0"/>
          <w:szCs w:val="21"/>
          <w:highlight w:val="none"/>
        </w:rPr>
        <w:t>2、法定代表人身份证明及授权委托书原件装入</w:t>
      </w:r>
      <w:r>
        <w:rPr>
          <w:rFonts w:hint="eastAsia" w:ascii="宋体" w:hAnsi="宋体"/>
          <w:color w:val="auto"/>
          <w:kern w:val="0"/>
          <w:szCs w:val="21"/>
          <w:highlight w:val="none"/>
          <w:lang w:eastAsia="zh-CN"/>
        </w:rPr>
        <w:t>竞选文件</w:t>
      </w:r>
      <w:r>
        <w:rPr>
          <w:rFonts w:ascii="宋体" w:hAnsi="宋体"/>
          <w:color w:val="auto"/>
          <w:kern w:val="0"/>
          <w:szCs w:val="21"/>
          <w:highlight w:val="none"/>
        </w:rPr>
        <w:t>一并递交。另外须准备一份授权委托书原件在开标现场出具。</w:t>
      </w:r>
    </w:p>
    <w:p>
      <w:pPr>
        <w:spacing w:line="360" w:lineRule="auto"/>
        <w:ind w:firstLine="420" w:firstLineChars="200"/>
        <w:jc w:val="left"/>
        <w:rPr>
          <w:rFonts w:ascii="宋体" w:hAnsi="宋体"/>
          <w:color w:val="auto"/>
          <w:highlight w:val="none"/>
        </w:rPr>
      </w:pPr>
      <w:r>
        <w:rPr>
          <w:rFonts w:hint="eastAsia" w:ascii="宋体" w:hAnsi="宋体"/>
          <w:color w:val="auto"/>
          <w:kern w:val="0"/>
          <w:szCs w:val="21"/>
          <w:highlight w:val="none"/>
        </w:rPr>
        <w:t>3.</w:t>
      </w:r>
      <w:r>
        <w:rPr>
          <w:rFonts w:hint="eastAsia" w:ascii="宋体" w:hAnsi="宋体"/>
          <w:color w:val="auto"/>
          <w:highlight w:val="none"/>
        </w:rPr>
        <w:t>授权委托书</w:t>
      </w:r>
      <w:r>
        <w:rPr>
          <w:rFonts w:ascii="宋体" w:hAnsi="宋体"/>
          <w:color w:val="auto"/>
          <w:highlight w:val="none"/>
        </w:rPr>
        <w:t>需按上述格式填写完整，不可缺少内容。在此基础上增加内容的不影响其有效性。</w:t>
      </w:r>
    </w:p>
    <w:p>
      <w:pPr>
        <w:spacing w:line="360" w:lineRule="auto"/>
        <w:ind w:firstLine="420" w:firstLineChars="200"/>
        <w:rPr>
          <w:rFonts w:ascii="宋体" w:hAnsi="宋体"/>
          <w:color w:val="auto"/>
          <w:highlight w:val="none"/>
        </w:rPr>
      </w:pPr>
      <w:r>
        <w:rPr>
          <w:rFonts w:ascii="宋体" w:hAnsi="宋体"/>
          <w:color w:val="auto"/>
          <w:highlight w:val="none"/>
        </w:rPr>
        <w:br w:type="page"/>
      </w:r>
      <w:bookmarkStart w:id="1032" w:name="_Toc287607872"/>
      <w:bookmarkStart w:id="1033" w:name="_Toc287620819"/>
      <w:bookmarkStart w:id="1034" w:name="_Toc224103500"/>
      <w:bookmarkStart w:id="1035" w:name="_Toc430530534"/>
    </w:p>
    <w:p>
      <w:pPr>
        <w:pStyle w:val="5"/>
        <w:jc w:val="center"/>
        <w:rPr>
          <w:color w:val="auto"/>
          <w:highlight w:val="none"/>
        </w:rPr>
      </w:pPr>
      <w:bookmarkStart w:id="1036" w:name="_Toc287620817"/>
      <w:bookmarkStart w:id="1037" w:name="_Toc287607870"/>
      <w:bookmarkStart w:id="1038" w:name="_Toc277082646"/>
      <w:bookmarkStart w:id="1039" w:name="_Toc224103498"/>
      <w:bookmarkStart w:id="1040" w:name="_Toc57905922"/>
      <w:bookmarkStart w:id="1041" w:name="_Toc7538"/>
      <w:bookmarkStart w:id="1042" w:name="_Toc13933"/>
      <w:bookmarkStart w:id="1043" w:name="_Toc23891"/>
      <w:r>
        <w:rPr>
          <w:color w:val="auto"/>
          <w:highlight w:val="none"/>
        </w:rPr>
        <w:t>（四）</w:t>
      </w:r>
      <w:bookmarkEnd w:id="1036"/>
      <w:bookmarkEnd w:id="1037"/>
      <w:bookmarkEnd w:id="1038"/>
      <w:bookmarkEnd w:id="1039"/>
      <w:r>
        <w:rPr>
          <w:rFonts w:hint="eastAsia"/>
          <w:color w:val="auto"/>
          <w:highlight w:val="none"/>
        </w:rPr>
        <w:t>低价风险担保提交承诺书</w:t>
      </w:r>
      <w:bookmarkEnd w:id="1040"/>
      <w:bookmarkEnd w:id="1041"/>
      <w:bookmarkEnd w:id="1042"/>
    </w:p>
    <w:p>
      <w:pPr>
        <w:autoSpaceDE w:val="0"/>
        <w:autoSpaceDN w:val="0"/>
        <w:adjustRightInd w:val="0"/>
        <w:snapToGrid w:val="0"/>
        <w:spacing w:line="360" w:lineRule="auto"/>
        <w:jc w:val="center"/>
        <w:rPr>
          <w:rFonts w:ascii="宋体" w:hAnsi="宋体"/>
          <w:snapToGrid w:val="0"/>
          <w:color w:val="auto"/>
          <w:kern w:val="0"/>
          <w:sz w:val="32"/>
          <w:szCs w:val="32"/>
          <w:highlight w:val="none"/>
        </w:rPr>
      </w:pPr>
    </w:p>
    <w:p>
      <w:pPr>
        <w:autoSpaceDE w:val="0"/>
        <w:autoSpaceDN w:val="0"/>
        <w:adjustRightInd w:val="0"/>
        <w:snapToGrid w:val="0"/>
        <w:spacing w:line="360" w:lineRule="auto"/>
        <w:jc w:val="center"/>
        <w:rPr>
          <w:rFonts w:ascii="宋体" w:hAnsi="宋体"/>
          <w:snapToGrid w:val="0"/>
          <w:color w:val="auto"/>
          <w:kern w:val="0"/>
          <w:sz w:val="32"/>
          <w:szCs w:val="32"/>
          <w:highlight w:val="none"/>
        </w:rPr>
      </w:pPr>
      <w:r>
        <w:rPr>
          <w:rFonts w:hint="eastAsia" w:ascii="宋体" w:hAnsi="宋体"/>
          <w:snapToGrid w:val="0"/>
          <w:color w:val="auto"/>
          <w:kern w:val="0"/>
          <w:sz w:val="32"/>
          <w:szCs w:val="32"/>
          <w:highlight w:val="none"/>
        </w:rPr>
        <w:t>（投标报价低于招标项目最高限价的85%时采用）</w:t>
      </w:r>
    </w:p>
    <w:p>
      <w:pPr>
        <w:autoSpaceDE w:val="0"/>
        <w:autoSpaceDN w:val="0"/>
        <w:adjustRightInd w:val="0"/>
        <w:snapToGrid w:val="0"/>
        <w:spacing w:line="360" w:lineRule="auto"/>
        <w:jc w:val="center"/>
        <w:rPr>
          <w:rFonts w:ascii="宋体" w:hAnsi="宋体"/>
          <w:snapToGrid w:val="0"/>
          <w:color w:val="auto"/>
          <w:kern w:val="0"/>
          <w:sz w:val="32"/>
          <w:szCs w:val="32"/>
          <w:highlight w:val="none"/>
        </w:rPr>
      </w:pPr>
    </w:p>
    <w:p>
      <w:pPr>
        <w:autoSpaceDE w:val="0"/>
        <w:autoSpaceDN w:val="0"/>
        <w:adjustRightInd w:val="0"/>
        <w:snapToGrid w:val="0"/>
        <w:spacing w:line="360" w:lineRule="auto"/>
        <w:rPr>
          <w:rFonts w:ascii="宋体" w:hAnsi="宋体" w:cs="宋体"/>
          <w:snapToGrid w:val="0"/>
          <w:color w:val="auto"/>
          <w:kern w:val="0"/>
          <w:szCs w:val="21"/>
          <w:highlight w:val="none"/>
        </w:rPr>
      </w:pPr>
      <w:r>
        <w:rPr>
          <w:rFonts w:hint="eastAsia" w:ascii="宋体" w:hAnsi="宋体" w:cs="宋体"/>
          <w:snapToGrid w:val="0"/>
          <w:color w:val="auto"/>
          <w:kern w:val="0"/>
          <w:szCs w:val="21"/>
          <w:highlight w:val="none"/>
          <w:u w:val="single"/>
        </w:rPr>
        <w:t xml:space="preserve">        （</w:t>
      </w:r>
      <w:r>
        <w:rPr>
          <w:rFonts w:hint="eastAsia" w:ascii="宋体" w:hAnsi="宋体" w:cs="宋体"/>
          <w:snapToGrid w:val="0"/>
          <w:color w:val="auto"/>
          <w:kern w:val="0"/>
          <w:szCs w:val="21"/>
          <w:highlight w:val="none"/>
          <w:u w:val="single"/>
          <w:lang w:eastAsia="zh-CN"/>
        </w:rPr>
        <w:t>比选人</w:t>
      </w:r>
      <w:r>
        <w:rPr>
          <w:rFonts w:hint="eastAsia" w:ascii="宋体" w:hAnsi="宋体" w:cs="宋体"/>
          <w:snapToGrid w:val="0"/>
          <w:color w:val="auto"/>
          <w:kern w:val="0"/>
          <w:szCs w:val="21"/>
          <w:highlight w:val="none"/>
          <w:u w:val="single"/>
        </w:rPr>
        <w:t>名称）</w:t>
      </w:r>
      <w:r>
        <w:rPr>
          <w:rFonts w:hint="eastAsia" w:ascii="宋体" w:hAnsi="宋体" w:cs="宋体"/>
          <w:snapToGrid w:val="0"/>
          <w:color w:val="auto"/>
          <w:kern w:val="0"/>
          <w:szCs w:val="21"/>
          <w:highlight w:val="none"/>
        </w:rPr>
        <w:t>：</w:t>
      </w:r>
    </w:p>
    <w:p>
      <w:pPr>
        <w:autoSpaceDE w:val="0"/>
        <w:autoSpaceDN w:val="0"/>
        <w:adjustRightInd w:val="0"/>
        <w:snapToGrid w:val="0"/>
        <w:spacing w:line="360" w:lineRule="auto"/>
        <w:ind w:firstLine="420" w:firstLineChars="200"/>
        <w:rPr>
          <w:rFonts w:ascii="宋体" w:hAnsi="宋体" w:cs="宋体"/>
          <w:snapToGrid w:val="0"/>
          <w:color w:val="auto"/>
          <w:kern w:val="0"/>
          <w:szCs w:val="21"/>
          <w:highlight w:val="none"/>
        </w:rPr>
      </w:pPr>
      <w:r>
        <w:rPr>
          <w:rFonts w:hint="eastAsia" w:ascii="宋体" w:hAnsi="宋体" w:cs="宋体"/>
          <w:snapToGrid w:val="0"/>
          <w:color w:val="auto"/>
          <w:kern w:val="0"/>
          <w:szCs w:val="21"/>
          <w:highlight w:val="none"/>
        </w:rPr>
        <w:t>我公司</w:t>
      </w:r>
      <w:r>
        <w:rPr>
          <w:rFonts w:hint="eastAsia" w:ascii="宋体" w:hAnsi="宋体" w:cs="宋体"/>
          <w:snapToGrid w:val="0"/>
          <w:color w:val="auto"/>
          <w:kern w:val="0"/>
          <w:szCs w:val="21"/>
          <w:highlight w:val="none"/>
          <w:u w:val="single"/>
        </w:rPr>
        <w:t xml:space="preserve">        （</w:t>
      </w:r>
      <w:r>
        <w:rPr>
          <w:rFonts w:hint="eastAsia" w:ascii="宋体" w:hAnsi="宋体" w:cs="宋体"/>
          <w:snapToGrid w:val="0"/>
          <w:color w:val="auto"/>
          <w:kern w:val="0"/>
          <w:szCs w:val="21"/>
          <w:highlight w:val="none"/>
          <w:u w:val="single"/>
          <w:lang w:val="en-US" w:eastAsia="zh-CN"/>
        </w:rPr>
        <w:t>竞选人</w:t>
      </w:r>
      <w:r>
        <w:rPr>
          <w:rFonts w:hint="eastAsia" w:ascii="宋体" w:hAnsi="宋体" w:cs="宋体"/>
          <w:snapToGrid w:val="0"/>
          <w:color w:val="auto"/>
          <w:kern w:val="0"/>
          <w:szCs w:val="21"/>
          <w:highlight w:val="none"/>
          <w:u w:val="single"/>
        </w:rPr>
        <w:t>名称）</w:t>
      </w:r>
      <w:r>
        <w:rPr>
          <w:rFonts w:hint="eastAsia" w:ascii="宋体" w:hAnsi="宋体" w:cs="宋体"/>
          <w:snapToGrid w:val="0"/>
          <w:color w:val="auto"/>
          <w:kern w:val="0"/>
          <w:szCs w:val="21"/>
          <w:highlight w:val="none"/>
        </w:rPr>
        <w:t>参加了你</w:t>
      </w:r>
      <w:r>
        <w:rPr>
          <w:rFonts w:hint="eastAsia" w:ascii="宋体" w:hAnsi="宋体" w:cs="宋体"/>
          <w:snapToGrid w:val="0"/>
          <w:color w:val="auto"/>
          <w:kern w:val="0"/>
          <w:szCs w:val="21"/>
          <w:highlight w:val="none"/>
          <w:lang w:eastAsia="zh-CN"/>
        </w:rPr>
        <w:t>单位</w:t>
      </w:r>
      <w:r>
        <w:rPr>
          <w:rFonts w:hint="eastAsia" w:ascii="宋体" w:hAnsi="宋体" w:cs="宋体"/>
          <w:snapToGrid w:val="0"/>
          <w:color w:val="auto"/>
          <w:kern w:val="0"/>
          <w:szCs w:val="21"/>
          <w:highlight w:val="none"/>
          <w:u w:val="single"/>
        </w:rPr>
        <w:t xml:space="preserve">        （项目名称）</w:t>
      </w:r>
      <w:r>
        <w:rPr>
          <w:rFonts w:hint="eastAsia" w:ascii="宋体" w:hAnsi="宋体" w:cs="宋体"/>
          <w:snapToGrid w:val="0"/>
          <w:color w:val="auto"/>
          <w:kern w:val="0"/>
          <w:szCs w:val="21"/>
          <w:highlight w:val="none"/>
        </w:rPr>
        <w:t>的投标。我公司投标报价低于最高限价的85%，若获得中标资格，我公司承诺按照招标文件的规定递交低价风险担保。同时，我公司已落实低价风险担保的提交方案，承诺如采用保函形式提交低价风险担保，保函的格式和内容符合招标文件的要求。否则，我公司愿承担招标文件中约定的，因未按规定递交低价风险担保的相应责任。</w:t>
      </w:r>
    </w:p>
    <w:p>
      <w:pPr>
        <w:autoSpaceDE w:val="0"/>
        <w:autoSpaceDN w:val="0"/>
        <w:adjustRightInd w:val="0"/>
        <w:snapToGrid w:val="0"/>
        <w:spacing w:line="360" w:lineRule="auto"/>
        <w:ind w:firstLine="640"/>
        <w:rPr>
          <w:rFonts w:ascii="宋体" w:hAnsi="宋体" w:cs="宋体"/>
          <w:snapToGrid w:val="0"/>
          <w:color w:val="auto"/>
          <w:kern w:val="0"/>
          <w:szCs w:val="21"/>
          <w:highlight w:val="none"/>
        </w:rPr>
      </w:pPr>
    </w:p>
    <w:p>
      <w:pPr>
        <w:autoSpaceDE w:val="0"/>
        <w:autoSpaceDN w:val="0"/>
        <w:adjustRightInd w:val="0"/>
        <w:snapToGrid w:val="0"/>
        <w:spacing w:line="360" w:lineRule="auto"/>
        <w:ind w:firstLine="640"/>
        <w:rPr>
          <w:rFonts w:ascii="宋体" w:hAnsi="宋体" w:cs="宋体"/>
          <w:snapToGrid w:val="0"/>
          <w:color w:val="auto"/>
          <w:kern w:val="0"/>
          <w:szCs w:val="21"/>
          <w:highlight w:val="none"/>
        </w:rPr>
      </w:pPr>
      <w:r>
        <w:rPr>
          <w:rFonts w:hint="eastAsia" w:ascii="宋体" w:hAnsi="宋体" w:cs="宋体"/>
          <w:snapToGrid w:val="0"/>
          <w:color w:val="auto"/>
          <w:kern w:val="0"/>
          <w:szCs w:val="21"/>
          <w:highlight w:val="none"/>
        </w:rPr>
        <w:t>特此承诺。</w:t>
      </w:r>
    </w:p>
    <w:p>
      <w:pPr>
        <w:autoSpaceDE w:val="0"/>
        <w:autoSpaceDN w:val="0"/>
        <w:adjustRightInd w:val="0"/>
        <w:snapToGrid w:val="0"/>
        <w:spacing w:line="360" w:lineRule="auto"/>
        <w:ind w:firstLine="640"/>
        <w:rPr>
          <w:rFonts w:ascii="宋体" w:hAnsi="宋体" w:cs="宋体"/>
          <w:snapToGrid w:val="0"/>
          <w:color w:val="auto"/>
          <w:kern w:val="0"/>
          <w:sz w:val="32"/>
          <w:szCs w:val="32"/>
          <w:highlight w:val="none"/>
        </w:rPr>
      </w:pPr>
    </w:p>
    <w:p>
      <w:pPr>
        <w:autoSpaceDE w:val="0"/>
        <w:autoSpaceDN w:val="0"/>
        <w:adjustRightInd w:val="0"/>
        <w:snapToGrid w:val="0"/>
        <w:spacing w:line="360" w:lineRule="auto"/>
        <w:ind w:firstLine="640"/>
        <w:rPr>
          <w:rFonts w:ascii="宋体" w:hAnsi="宋体" w:cs="宋体"/>
          <w:snapToGrid w:val="0"/>
          <w:color w:val="auto"/>
          <w:kern w:val="0"/>
          <w:sz w:val="32"/>
          <w:szCs w:val="32"/>
          <w:highlight w:val="none"/>
        </w:rPr>
      </w:pPr>
    </w:p>
    <w:p>
      <w:pPr>
        <w:autoSpaceDE w:val="0"/>
        <w:autoSpaceDN w:val="0"/>
        <w:adjustRightInd w:val="0"/>
        <w:snapToGrid w:val="0"/>
        <w:spacing w:line="360" w:lineRule="auto"/>
        <w:ind w:firstLine="640"/>
        <w:rPr>
          <w:rFonts w:ascii="宋体" w:hAnsi="宋体" w:cs="宋体"/>
          <w:snapToGrid w:val="0"/>
          <w:color w:val="auto"/>
          <w:kern w:val="0"/>
          <w:sz w:val="32"/>
          <w:szCs w:val="32"/>
          <w:highlight w:val="none"/>
        </w:rPr>
      </w:pPr>
    </w:p>
    <w:p>
      <w:pPr>
        <w:autoSpaceDE w:val="0"/>
        <w:autoSpaceDN w:val="0"/>
        <w:adjustRightInd w:val="0"/>
        <w:snapToGrid w:val="0"/>
        <w:spacing w:line="360" w:lineRule="auto"/>
        <w:ind w:firstLine="640"/>
        <w:rPr>
          <w:rFonts w:ascii="宋体" w:hAnsi="宋体" w:cs="宋体"/>
          <w:snapToGrid w:val="0"/>
          <w:color w:val="auto"/>
          <w:kern w:val="0"/>
          <w:sz w:val="32"/>
          <w:szCs w:val="32"/>
          <w:highlight w:val="none"/>
        </w:rPr>
      </w:pPr>
    </w:p>
    <w:p>
      <w:pPr>
        <w:autoSpaceDE w:val="0"/>
        <w:autoSpaceDN w:val="0"/>
        <w:adjustRightInd w:val="0"/>
        <w:snapToGrid w:val="0"/>
        <w:spacing w:line="360" w:lineRule="auto"/>
        <w:ind w:firstLine="640"/>
        <w:rPr>
          <w:rFonts w:ascii="宋体" w:hAnsi="宋体" w:cs="宋体"/>
          <w:snapToGrid w:val="0"/>
          <w:color w:val="auto"/>
          <w:kern w:val="0"/>
          <w:sz w:val="32"/>
          <w:szCs w:val="32"/>
          <w:highlight w:val="none"/>
        </w:rPr>
      </w:pPr>
    </w:p>
    <w:p>
      <w:pPr>
        <w:tabs>
          <w:tab w:val="left" w:pos="4200"/>
          <w:tab w:val="left" w:pos="4620"/>
        </w:tabs>
        <w:autoSpaceDE w:val="0"/>
        <w:autoSpaceDN w:val="0"/>
        <w:adjustRightInd w:val="0"/>
        <w:snapToGrid w:val="0"/>
        <w:spacing w:line="48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lang w:eastAsia="zh-CN"/>
        </w:rPr>
        <w:t>竞选人</w:t>
      </w:r>
      <w:r>
        <w:rPr>
          <w:rFonts w:ascii="宋体" w:hAnsi="宋体"/>
          <w:color w:val="auto"/>
          <w:kern w:val="0"/>
          <w:szCs w:val="21"/>
          <w:highlight w:val="none"/>
        </w:rPr>
        <w:t>：</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ascii="宋体" w:hAnsi="宋体"/>
          <w:color w:val="auto"/>
          <w:kern w:val="0"/>
          <w:szCs w:val="21"/>
          <w:highlight w:val="none"/>
        </w:rPr>
        <w:t>（</w:t>
      </w:r>
      <w:r>
        <w:rPr>
          <w:rFonts w:ascii="宋体" w:hAnsi="宋体"/>
          <w:color w:val="auto"/>
          <w:spacing w:val="-1"/>
          <w:kern w:val="0"/>
          <w:szCs w:val="21"/>
          <w:highlight w:val="none"/>
        </w:rPr>
        <w:t>盖单位法人章</w:t>
      </w:r>
      <w:r>
        <w:rPr>
          <w:rFonts w:ascii="宋体" w:hAnsi="宋体"/>
          <w:color w:val="auto"/>
          <w:kern w:val="0"/>
          <w:szCs w:val="21"/>
          <w:highlight w:val="none"/>
        </w:rPr>
        <w:t>）</w:t>
      </w:r>
    </w:p>
    <w:p>
      <w:pPr>
        <w:tabs>
          <w:tab w:val="left" w:pos="6300"/>
        </w:tabs>
        <w:autoSpaceDE w:val="0"/>
        <w:autoSpaceDN w:val="0"/>
        <w:adjustRightInd w:val="0"/>
        <w:snapToGrid w:val="0"/>
        <w:spacing w:line="480" w:lineRule="auto"/>
        <w:ind w:firstLine="420" w:firstLineChars="200"/>
        <w:jc w:val="left"/>
        <w:rPr>
          <w:rFonts w:ascii="宋体" w:hAnsi="宋体"/>
          <w:color w:val="auto"/>
          <w:kern w:val="0"/>
          <w:szCs w:val="21"/>
          <w:highlight w:val="none"/>
        </w:rPr>
      </w:pPr>
      <w:r>
        <w:rPr>
          <w:rFonts w:ascii="宋体" w:hAnsi="宋体"/>
          <w:color w:val="auto"/>
          <w:kern w:val="0"/>
          <w:szCs w:val="21"/>
          <w:highlight w:val="none"/>
        </w:rPr>
        <w:t>法定代表人：</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w:t>
      </w:r>
      <w:r>
        <w:rPr>
          <w:rFonts w:hint="eastAsia" w:ascii="宋体" w:hAnsi="宋体"/>
          <w:color w:val="auto"/>
          <w:kern w:val="0"/>
          <w:szCs w:val="21"/>
          <w:highlight w:val="none"/>
        </w:rPr>
        <w:t>签名</w:t>
      </w:r>
      <w:r>
        <w:rPr>
          <w:rFonts w:ascii="宋体" w:hAnsi="宋体"/>
          <w:color w:val="auto"/>
          <w:kern w:val="0"/>
          <w:szCs w:val="21"/>
          <w:highlight w:val="none"/>
        </w:rPr>
        <w:t>或盖章）</w:t>
      </w:r>
    </w:p>
    <w:p>
      <w:pPr>
        <w:tabs>
          <w:tab w:val="left" w:pos="7140"/>
          <w:tab w:val="left" w:pos="7560"/>
          <w:tab w:val="left" w:pos="8300"/>
        </w:tabs>
        <w:autoSpaceDE w:val="0"/>
        <w:autoSpaceDN w:val="0"/>
        <w:adjustRightInd w:val="0"/>
        <w:ind w:firstLine="420" w:firstLineChars="200"/>
        <w:rPr>
          <w:rFonts w:ascii="宋体" w:hAnsi="宋体"/>
          <w:snapToGrid w:val="0"/>
          <w:color w:val="auto"/>
          <w:kern w:val="0"/>
          <w:szCs w:val="21"/>
          <w:highlight w:val="none"/>
        </w:rPr>
      </w:pPr>
    </w:p>
    <w:p>
      <w:pPr>
        <w:tabs>
          <w:tab w:val="left" w:pos="3840"/>
          <w:tab w:val="left" w:pos="4780"/>
          <w:tab w:val="left" w:pos="5720"/>
        </w:tabs>
        <w:autoSpaceDE w:val="0"/>
        <w:autoSpaceDN w:val="0"/>
        <w:adjustRightInd w:val="0"/>
        <w:snapToGrid w:val="0"/>
        <w:spacing w:before="156" w:beforeLines="50" w:line="500" w:lineRule="exact"/>
        <w:ind w:right="420" w:firstLine="5565" w:firstLineChars="2650"/>
        <w:jc w:val="right"/>
        <w:rPr>
          <w:rFonts w:ascii="宋体" w:hAnsi="宋体"/>
          <w:snapToGrid w:val="0"/>
          <w:color w:val="auto"/>
          <w:kern w:val="0"/>
          <w:szCs w:val="21"/>
          <w:highlight w:val="none"/>
        </w:rPr>
      </w:pPr>
      <w:r>
        <w:rPr>
          <w:rFonts w:hint="eastAsia" w:ascii="宋体" w:hAnsi="宋体"/>
          <w:color w:val="auto"/>
          <w:kern w:val="0"/>
          <w:szCs w:val="21"/>
          <w:highlight w:val="none"/>
          <w:u w:val="single"/>
        </w:rPr>
        <w:t xml:space="preserve">    </w:t>
      </w:r>
      <w:r>
        <w:rPr>
          <w:rFonts w:ascii="宋体" w:hAnsi="宋体"/>
          <w:color w:val="auto"/>
          <w:kern w:val="0"/>
          <w:szCs w:val="21"/>
          <w:highlight w:val="none"/>
        </w:rPr>
        <w:t>年</w:t>
      </w:r>
      <w:r>
        <w:rPr>
          <w:rFonts w:hint="eastAsia" w:ascii="宋体" w:hAnsi="宋体"/>
          <w:color w:val="auto"/>
          <w:kern w:val="0"/>
          <w:szCs w:val="21"/>
          <w:highlight w:val="none"/>
          <w:u w:val="single"/>
        </w:rPr>
        <w:t xml:space="preserve">    </w:t>
      </w:r>
      <w:r>
        <w:rPr>
          <w:rFonts w:ascii="宋体" w:hAnsi="宋体"/>
          <w:color w:val="auto"/>
          <w:kern w:val="0"/>
          <w:szCs w:val="21"/>
          <w:highlight w:val="none"/>
        </w:rPr>
        <w:t>月</w:t>
      </w:r>
      <w:r>
        <w:rPr>
          <w:rFonts w:hint="eastAsia" w:ascii="宋体" w:hAnsi="宋体"/>
          <w:color w:val="auto"/>
          <w:kern w:val="0"/>
          <w:szCs w:val="21"/>
          <w:highlight w:val="none"/>
          <w:u w:val="single"/>
        </w:rPr>
        <w:t xml:space="preserve">    </w:t>
      </w:r>
      <w:r>
        <w:rPr>
          <w:rFonts w:ascii="宋体" w:hAnsi="宋体"/>
          <w:color w:val="auto"/>
          <w:kern w:val="0"/>
          <w:szCs w:val="21"/>
          <w:highlight w:val="none"/>
        </w:rPr>
        <w:t>日</w:t>
      </w:r>
    </w:p>
    <w:p>
      <w:pPr>
        <w:autoSpaceDE w:val="0"/>
        <w:autoSpaceDN w:val="0"/>
        <w:adjustRightInd w:val="0"/>
        <w:snapToGrid w:val="0"/>
        <w:spacing w:line="360" w:lineRule="auto"/>
        <w:ind w:firstLine="640"/>
        <w:rPr>
          <w:rFonts w:ascii="宋体" w:hAnsi="宋体" w:cs="宋体"/>
          <w:snapToGrid w:val="0"/>
          <w:color w:val="auto"/>
          <w:kern w:val="0"/>
          <w:sz w:val="32"/>
          <w:szCs w:val="32"/>
          <w:highlight w:val="none"/>
        </w:rPr>
      </w:pPr>
    </w:p>
    <w:p>
      <w:pPr>
        <w:pStyle w:val="4"/>
        <w:spacing w:line="360" w:lineRule="auto"/>
        <w:jc w:val="center"/>
        <w:rPr>
          <w:rFonts w:hint="eastAsia" w:ascii="宋体" w:hAnsi="宋体"/>
          <w:b w:val="0"/>
          <w:bCs w:val="0"/>
          <w:color w:val="auto"/>
          <w:sz w:val="44"/>
          <w:szCs w:val="44"/>
          <w:highlight w:val="none"/>
          <w:lang w:val="en-US" w:eastAsia="zh-CN"/>
        </w:rPr>
      </w:pPr>
    </w:p>
    <w:p>
      <w:pPr>
        <w:pStyle w:val="4"/>
        <w:spacing w:line="360" w:lineRule="auto"/>
        <w:jc w:val="center"/>
        <w:rPr>
          <w:rFonts w:hint="eastAsia" w:ascii="宋体" w:hAnsi="宋体"/>
          <w:b w:val="0"/>
          <w:bCs w:val="0"/>
          <w:color w:val="auto"/>
          <w:sz w:val="44"/>
          <w:szCs w:val="44"/>
          <w:highlight w:val="none"/>
          <w:lang w:val="en-US" w:eastAsia="zh-CN"/>
        </w:rPr>
      </w:pPr>
    </w:p>
    <w:p>
      <w:pPr>
        <w:pStyle w:val="4"/>
        <w:spacing w:line="360" w:lineRule="auto"/>
        <w:jc w:val="center"/>
        <w:rPr>
          <w:rFonts w:ascii="宋体" w:hAnsi="宋体"/>
          <w:b w:val="0"/>
          <w:bCs w:val="0"/>
          <w:color w:val="auto"/>
          <w:sz w:val="44"/>
          <w:szCs w:val="44"/>
          <w:highlight w:val="none"/>
        </w:rPr>
      </w:pPr>
      <w:bookmarkStart w:id="1044" w:name="_Toc25144"/>
      <w:r>
        <w:rPr>
          <w:rFonts w:hint="eastAsia" w:ascii="宋体" w:hAnsi="宋体"/>
          <w:b w:val="0"/>
          <w:bCs w:val="0"/>
          <w:color w:val="auto"/>
          <w:sz w:val="44"/>
          <w:szCs w:val="44"/>
          <w:highlight w:val="none"/>
          <w:lang w:val="en-US" w:eastAsia="zh-CN"/>
        </w:rPr>
        <w:t>三</w:t>
      </w:r>
      <w:r>
        <w:rPr>
          <w:rFonts w:hint="eastAsia" w:ascii="宋体" w:hAnsi="宋体"/>
          <w:b w:val="0"/>
          <w:bCs w:val="0"/>
          <w:color w:val="auto"/>
          <w:sz w:val="44"/>
          <w:szCs w:val="44"/>
          <w:highlight w:val="none"/>
        </w:rPr>
        <w:t>、经济部分</w:t>
      </w:r>
      <w:bookmarkEnd w:id="1032"/>
      <w:bookmarkEnd w:id="1033"/>
      <w:bookmarkEnd w:id="1034"/>
      <w:bookmarkEnd w:id="1035"/>
      <w:bookmarkEnd w:id="1043"/>
      <w:bookmarkEnd w:id="1044"/>
    </w:p>
    <w:p>
      <w:pPr>
        <w:tabs>
          <w:tab w:val="left" w:pos="2580"/>
          <w:tab w:val="left" w:pos="5940"/>
        </w:tabs>
        <w:autoSpaceDE w:val="0"/>
        <w:autoSpaceDN w:val="0"/>
        <w:adjustRightInd w:val="0"/>
        <w:snapToGrid w:val="0"/>
        <w:spacing w:line="360" w:lineRule="auto"/>
        <w:ind w:firstLine="2940"/>
        <w:jc w:val="left"/>
        <w:rPr>
          <w:rFonts w:ascii="宋体" w:hAnsi="宋体"/>
          <w:color w:val="auto"/>
          <w:kern w:val="0"/>
          <w:sz w:val="28"/>
          <w:szCs w:val="28"/>
          <w:highlight w:val="none"/>
        </w:rPr>
      </w:pPr>
    </w:p>
    <w:p>
      <w:pPr>
        <w:tabs>
          <w:tab w:val="left" w:pos="2580"/>
          <w:tab w:val="left" w:pos="5940"/>
        </w:tabs>
        <w:autoSpaceDE w:val="0"/>
        <w:autoSpaceDN w:val="0"/>
        <w:adjustRightInd w:val="0"/>
        <w:snapToGrid w:val="0"/>
        <w:spacing w:line="360" w:lineRule="auto"/>
        <w:jc w:val="left"/>
        <w:rPr>
          <w:rFonts w:ascii="宋体" w:hAnsi="宋体"/>
          <w:color w:val="auto"/>
          <w:kern w:val="0"/>
          <w:sz w:val="28"/>
          <w:szCs w:val="28"/>
          <w:highlight w:val="none"/>
          <w:u w:val="single"/>
        </w:rPr>
      </w:pPr>
      <w:r>
        <w:rPr>
          <w:rFonts w:ascii="宋体" w:hAnsi="宋体"/>
          <w:color w:val="auto"/>
          <w:kern w:val="0"/>
          <w:sz w:val="28"/>
          <w:szCs w:val="28"/>
          <w:highlight w:val="none"/>
          <w:u w:val="single"/>
        </w:rPr>
        <w:br w:type="page"/>
      </w:r>
    </w:p>
    <w:p>
      <w:pPr>
        <w:spacing w:line="360" w:lineRule="auto"/>
        <w:jc w:val="center"/>
        <w:rPr>
          <w:rFonts w:ascii="宋体" w:hAnsi="宋体"/>
          <w:color w:val="auto"/>
          <w:kern w:val="0"/>
          <w:sz w:val="32"/>
          <w:szCs w:val="32"/>
          <w:highlight w:val="none"/>
        </w:rPr>
      </w:pPr>
      <w:r>
        <w:rPr>
          <w:rFonts w:hint="eastAsia" w:ascii="宋体" w:hAnsi="宋体"/>
          <w:color w:val="auto"/>
          <w:kern w:val="0"/>
          <w:sz w:val="32"/>
          <w:szCs w:val="32"/>
          <w:highlight w:val="none"/>
          <w:u w:val="single"/>
        </w:rPr>
        <w:t xml:space="preserve">                   （项目名称）</w:t>
      </w:r>
    </w:p>
    <w:p>
      <w:pPr>
        <w:tabs>
          <w:tab w:val="left" w:pos="3600"/>
          <w:tab w:val="left" w:pos="4480"/>
          <w:tab w:val="left" w:pos="5360"/>
        </w:tabs>
        <w:autoSpaceDE w:val="0"/>
        <w:autoSpaceDN w:val="0"/>
        <w:adjustRightInd w:val="0"/>
        <w:snapToGrid w:val="0"/>
        <w:spacing w:line="360" w:lineRule="auto"/>
        <w:jc w:val="left"/>
        <w:rPr>
          <w:rFonts w:ascii="宋体" w:hAnsi="宋体"/>
          <w:color w:val="auto"/>
          <w:kern w:val="0"/>
          <w:sz w:val="44"/>
          <w:szCs w:val="44"/>
          <w:highlight w:val="none"/>
        </w:rPr>
      </w:pPr>
    </w:p>
    <w:p>
      <w:pPr>
        <w:tabs>
          <w:tab w:val="left" w:pos="3600"/>
          <w:tab w:val="left" w:pos="4480"/>
          <w:tab w:val="left" w:pos="5360"/>
        </w:tabs>
        <w:autoSpaceDE w:val="0"/>
        <w:autoSpaceDN w:val="0"/>
        <w:adjustRightInd w:val="0"/>
        <w:snapToGrid w:val="0"/>
        <w:spacing w:line="360" w:lineRule="auto"/>
        <w:jc w:val="left"/>
        <w:rPr>
          <w:rFonts w:ascii="宋体" w:hAnsi="宋体"/>
          <w:color w:val="auto"/>
          <w:kern w:val="0"/>
          <w:sz w:val="44"/>
          <w:szCs w:val="44"/>
          <w:highlight w:val="none"/>
        </w:rPr>
      </w:pPr>
    </w:p>
    <w:p>
      <w:pPr>
        <w:tabs>
          <w:tab w:val="left" w:pos="3600"/>
          <w:tab w:val="left" w:pos="4480"/>
          <w:tab w:val="left" w:pos="5360"/>
        </w:tabs>
        <w:autoSpaceDE w:val="0"/>
        <w:autoSpaceDN w:val="0"/>
        <w:adjustRightInd w:val="0"/>
        <w:snapToGrid w:val="0"/>
        <w:spacing w:line="360" w:lineRule="auto"/>
        <w:jc w:val="left"/>
        <w:rPr>
          <w:rFonts w:ascii="宋体" w:hAnsi="宋体"/>
          <w:color w:val="auto"/>
          <w:kern w:val="0"/>
          <w:sz w:val="44"/>
          <w:szCs w:val="44"/>
          <w:highlight w:val="none"/>
        </w:rPr>
      </w:pPr>
    </w:p>
    <w:p>
      <w:pPr>
        <w:tabs>
          <w:tab w:val="left" w:pos="3600"/>
          <w:tab w:val="left" w:pos="4480"/>
          <w:tab w:val="left" w:pos="5360"/>
        </w:tabs>
        <w:autoSpaceDE w:val="0"/>
        <w:autoSpaceDN w:val="0"/>
        <w:adjustRightInd w:val="0"/>
        <w:snapToGrid w:val="0"/>
        <w:spacing w:line="360" w:lineRule="auto"/>
        <w:jc w:val="left"/>
        <w:rPr>
          <w:rFonts w:ascii="宋体" w:hAnsi="宋体"/>
          <w:color w:val="auto"/>
          <w:kern w:val="0"/>
          <w:sz w:val="44"/>
          <w:szCs w:val="44"/>
          <w:highlight w:val="none"/>
        </w:rPr>
      </w:pPr>
    </w:p>
    <w:p>
      <w:pPr>
        <w:tabs>
          <w:tab w:val="left" w:pos="3600"/>
          <w:tab w:val="left" w:pos="4480"/>
          <w:tab w:val="left" w:pos="5360"/>
        </w:tabs>
        <w:autoSpaceDE w:val="0"/>
        <w:autoSpaceDN w:val="0"/>
        <w:adjustRightInd w:val="0"/>
        <w:snapToGrid w:val="0"/>
        <w:spacing w:line="360" w:lineRule="auto"/>
        <w:jc w:val="center"/>
        <w:rPr>
          <w:rFonts w:ascii="宋体" w:hAnsi="宋体"/>
          <w:color w:val="auto"/>
          <w:kern w:val="0"/>
          <w:sz w:val="72"/>
          <w:szCs w:val="72"/>
          <w:highlight w:val="none"/>
        </w:rPr>
      </w:pPr>
      <w:r>
        <w:rPr>
          <w:rFonts w:hint="eastAsia" w:ascii="宋体" w:hAnsi="宋体"/>
          <w:color w:val="auto"/>
          <w:kern w:val="0"/>
          <w:sz w:val="72"/>
          <w:szCs w:val="72"/>
          <w:highlight w:val="none"/>
        </w:rPr>
        <w:t>投 标 文 件</w:t>
      </w:r>
    </w:p>
    <w:p>
      <w:pPr>
        <w:autoSpaceDE w:val="0"/>
        <w:autoSpaceDN w:val="0"/>
        <w:adjustRightInd w:val="0"/>
        <w:snapToGrid w:val="0"/>
        <w:spacing w:line="360" w:lineRule="auto"/>
        <w:jc w:val="left"/>
        <w:rPr>
          <w:rFonts w:ascii="宋体" w:hAnsi="宋体"/>
          <w:color w:val="auto"/>
          <w:kern w:val="0"/>
          <w:sz w:val="16"/>
          <w:szCs w:val="16"/>
          <w:highlight w:val="none"/>
        </w:rPr>
      </w:pPr>
    </w:p>
    <w:p>
      <w:pPr>
        <w:autoSpaceDE w:val="0"/>
        <w:autoSpaceDN w:val="0"/>
        <w:adjustRightInd w:val="0"/>
        <w:snapToGrid w:val="0"/>
        <w:spacing w:line="360" w:lineRule="auto"/>
        <w:jc w:val="center"/>
        <w:rPr>
          <w:rFonts w:ascii="宋体" w:hAnsi="宋体"/>
          <w:color w:val="auto"/>
          <w:kern w:val="0"/>
          <w:sz w:val="36"/>
          <w:szCs w:val="36"/>
          <w:highlight w:val="none"/>
        </w:rPr>
      </w:pPr>
      <w:r>
        <w:rPr>
          <w:rFonts w:hint="eastAsia" w:ascii="宋体" w:hAnsi="宋体"/>
          <w:color w:val="auto"/>
          <w:kern w:val="0"/>
          <w:sz w:val="36"/>
          <w:szCs w:val="36"/>
          <w:highlight w:val="none"/>
        </w:rPr>
        <w:t>经济部分</w:t>
      </w: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autoSpaceDE w:val="0"/>
        <w:autoSpaceDN w:val="0"/>
        <w:adjustRightInd w:val="0"/>
        <w:snapToGrid w:val="0"/>
        <w:spacing w:line="360" w:lineRule="auto"/>
        <w:jc w:val="left"/>
        <w:rPr>
          <w:rFonts w:ascii="宋体" w:hAnsi="宋体"/>
          <w:b/>
          <w:color w:val="auto"/>
          <w:kern w:val="0"/>
          <w:sz w:val="20"/>
          <w:szCs w:val="20"/>
          <w:highlight w:val="none"/>
        </w:rPr>
      </w:pPr>
    </w:p>
    <w:p>
      <w:pPr>
        <w:tabs>
          <w:tab w:val="left" w:pos="6080"/>
          <w:tab w:val="left" w:pos="6640"/>
        </w:tabs>
        <w:autoSpaceDE w:val="0"/>
        <w:autoSpaceDN w:val="0"/>
        <w:adjustRightInd w:val="0"/>
        <w:snapToGrid w:val="0"/>
        <w:spacing w:after="156" w:afterLines="50" w:line="360" w:lineRule="auto"/>
        <w:jc w:val="center"/>
        <w:rPr>
          <w:rFonts w:ascii="宋体" w:hAnsi="宋体"/>
          <w:color w:val="auto"/>
          <w:w w:val="99"/>
          <w:kern w:val="0"/>
          <w:sz w:val="28"/>
          <w:szCs w:val="28"/>
          <w:highlight w:val="none"/>
        </w:rPr>
      </w:pPr>
      <w:r>
        <w:rPr>
          <w:rFonts w:hint="eastAsia" w:ascii="宋体" w:hAnsi="宋体"/>
          <w:color w:val="auto"/>
          <w:w w:val="99"/>
          <w:kern w:val="0"/>
          <w:sz w:val="28"/>
          <w:szCs w:val="28"/>
          <w:highlight w:val="none"/>
          <w:lang w:eastAsia="zh-CN"/>
        </w:rPr>
        <w:t>竞选人</w:t>
      </w:r>
      <w:r>
        <w:rPr>
          <w:rFonts w:ascii="宋体" w:hAnsi="宋体"/>
          <w:color w:val="auto"/>
          <w:spacing w:val="1"/>
          <w:w w:val="99"/>
          <w:kern w:val="0"/>
          <w:sz w:val="28"/>
          <w:szCs w:val="28"/>
          <w:highlight w:val="none"/>
        </w:rPr>
        <w:t>：</w:t>
      </w:r>
      <w:r>
        <w:rPr>
          <w:rFonts w:ascii="宋体" w:hAnsi="宋体"/>
          <w:color w:val="auto"/>
          <w:w w:val="198"/>
          <w:kern w:val="0"/>
          <w:sz w:val="28"/>
          <w:szCs w:val="28"/>
          <w:highlight w:val="none"/>
          <w:u w:val="single"/>
        </w:rPr>
        <w:t xml:space="preserve"> 　　　　 　　</w:t>
      </w:r>
      <w:r>
        <w:rPr>
          <w:rFonts w:ascii="宋体" w:hAnsi="宋体"/>
          <w:color w:val="auto"/>
          <w:w w:val="99"/>
          <w:kern w:val="0"/>
          <w:sz w:val="28"/>
          <w:szCs w:val="28"/>
          <w:highlight w:val="none"/>
        </w:rPr>
        <w:t>（盖单位法人章）</w:t>
      </w:r>
    </w:p>
    <w:p>
      <w:pPr>
        <w:tabs>
          <w:tab w:val="left" w:pos="6080"/>
          <w:tab w:val="left" w:pos="6640"/>
        </w:tabs>
        <w:autoSpaceDE w:val="0"/>
        <w:autoSpaceDN w:val="0"/>
        <w:adjustRightInd w:val="0"/>
        <w:snapToGrid w:val="0"/>
        <w:spacing w:after="156" w:afterLines="50" w:line="360" w:lineRule="auto"/>
        <w:jc w:val="center"/>
        <w:rPr>
          <w:rFonts w:ascii="宋体" w:hAnsi="宋体"/>
          <w:b/>
          <w:color w:val="auto"/>
          <w:kern w:val="0"/>
          <w:sz w:val="28"/>
          <w:szCs w:val="28"/>
          <w:highlight w:val="none"/>
        </w:rPr>
      </w:pPr>
      <w:r>
        <w:rPr>
          <w:rFonts w:ascii="宋体" w:hAnsi="宋体"/>
          <w:color w:val="auto"/>
          <w:w w:val="99"/>
          <w:kern w:val="0"/>
          <w:sz w:val="28"/>
          <w:szCs w:val="28"/>
          <w:highlight w:val="none"/>
        </w:rPr>
        <w:t>法定代表人或其委托代理人：</w:t>
      </w:r>
      <w:r>
        <w:rPr>
          <w:rFonts w:ascii="宋体" w:hAnsi="宋体"/>
          <w:color w:val="auto"/>
          <w:w w:val="198"/>
          <w:kern w:val="0"/>
          <w:sz w:val="28"/>
          <w:szCs w:val="28"/>
          <w:highlight w:val="none"/>
          <w:u w:val="single"/>
        </w:rPr>
        <w:t xml:space="preserve">  　　</w:t>
      </w:r>
      <w:r>
        <w:rPr>
          <w:rFonts w:ascii="宋体" w:hAnsi="宋体"/>
          <w:color w:val="auto"/>
          <w:w w:val="99"/>
          <w:kern w:val="0"/>
          <w:sz w:val="28"/>
          <w:szCs w:val="28"/>
          <w:highlight w:val="none"/>
        </w:rPr>
        <w:t>（</w:t>
      </w:r>
      <w:r>
        <w:rPr>
          <w:rFonts w:hint="eastAsia" w:ascii="宋体" w:hAnsi="宋体"/>
          <w:color w:val="auto"/>
          <w:w w:val="99"/>
          <w:kern w:val="0"/>
          <w:sz w:val="28"/>
          <w:szCs w:val="28"/>
          <w:highlight w:val="none"/>
        </w:rPr>
        <w:t>签名</w:t>
      </w:r>
      <w:r>
        <w:rPr>
          <w:rFonts w:ascii="宋体" w:hAnsi="宋体"/>
          <w:color w:val="auto"/>
          <w:w w:val="99"/>
          <w:kern w:val="0"/>
          <w:sz w:val="28"/>
          <w:szCs w:val="28"/>
          <w:highlight w:val="none"/>
        </w:rPr>
        <w:t>或盖章）</w:t>
      </w:r>
    </w:p>
    <w:p>
      <w:pPr>
        <w:tabs>
          <w:tab w:val="left" w:pos="3280"/>
          <w:tab w:val="left" w:pos="4680"/>
          <w:tab w:val="left" w:pos="6080"/>
        </w:tabs>
        <w:autoSpaceDE w:val="0"/>
        <w:autoSpaceDN w:val="0"/>
        <w:adjustRightInd w:val="0"/>
        <w:snapToGrid w:val="0"/>
        <w:spacing w:after="156" w:afterLines="50" w:line="360" w:lineRule="auto"/>
        <w:jc w:val="center"/>
        <w:rPr>
          <w:rFonts w:ascii="宋体" w:hAnsi="宋体"/>
          <w:color w:val="auto"/>
          <w:kern w:val="0"/>
          <w:sz w:val="28"/>
          <w:szCs w:val="28"/>
          <w:highlight w:val="none"/>
        </w:rPr>
      </w:pPr>
      <w:r>
        <w:rPr>
          <w:rFonts w:ascii="宋体" w:hAnsi="宋体"/>
          <w:color w:val="auto"/>
          <w:w w:val="198"/>
          <w:kern w:val="0"/>
          <w:sz w:val="28"/>
          <w:szCs w:val="28"/>
          <w:highlight w:val="none"/>
          <w:u w:val="single"/>
        </w:rPr>
        <w:t xml:space="preserve"> </w:t>
      </w:r>
      <w:r>
        <w:rPr>
          <w:rFonts w:hint="eastAsia" w:ascii="宋体" w:hAnsi="宋体"/>
          <w:color w:val="auto"/>
          <w:w w:val="198"/>
          <w:kern w:val="0"/>
          <w:sz w:val="28"/>
          <w:szCs w:val="28"/>
          <w:highlight w:val="none"/>
          <w:u w:val="single"/>
        </w:rPr>
        <w:t xml:space="preserve">  </w:t>
      </w:r>
      <w:r>
        <w:rPr>
          <w:rFonts w:ascii="宋体" w:hAnsi="宋体"/>
          <w:color w:val="auto"/>
          <w:w w:val="198"/>
          <w:kern w:val="0"/>
          <w:sz w:val="28"/>
          <w:szCs w:val="28"/>
          <w:highlight w:val="none"/>
          <w:u w:val="single"/>
        </w:rPr>
        <w:t xml:space="preserve"> </w:t>
      </w:r>
      <w:r>
        <w:rPr>
          <w:rFonts w:ascii="宋体" w:hAnsi="宋体"/>
          <w:color w:val="auto"/>
          <w:w w:val="99"/>
          <w:kern w:val="0"/>
          <w:sz w:val="28"/>
          <w:szCs w:val="28"/>
          <w:highlight w:val="none"/>
        </w:rPr>
        <w:t>年</w:t>
      </w:r>
      <w:r>
        <w:rPr>
          <w:rFonts w:ascii="宋体" w:hAnsi="宋体"/>
          <w:color w:val="auto"/>
          <w:w w:val="198"/>
          <w:kern w:val="0"/>
          <w:sz w:val="28"/>
          <w:szCs w:val="28"/>
          <w:highlight w:val="none"/>
          <w:u w:val="single"/>
        </w:rPr>
        <w:t xml:space="preserve"> </w:t>
      </w:r>
      <w:r>
        <w:rPr>
          <w:rFonts w:hint="eastAsia" w:ascii="宋体" w:hAnsi="宋体"/>
          <w:color w:val="auto"/>
          <w:w w:val="198"/>
          <w:kern w:val="0"/>
          <w:sz w:val="28"/>
          <w:szCs w:val="28"/>
          <w:highlight w:val="none"/>
          <w:u w:val="single"/>
        </w:rPr>
        <w:t xml:space="preserve">  </w:t>
      </w:r>
      <w:r>
        <w:rPr>
          <w:rFonts w:ascii="宋体" w:hAnsi="宋体"/>
          <w:color w:val="auto"/>
          <w:w w:val="198"/>
          <w:kern w:val="0"/>
          <w:sz w:val="28"/>
          <w:szCs w:val="28"/>
          <w:highlight w:val="none"/>
          <w:u w:val="single"/>
        </w:rPr>
        <w:t xml:space="preserve"> </w:t>
      </w:r>
      <w:r>
        <w:rPr>
          <w:rFonts w:ascii="宋体" w:hAnsi="宋体"/>
          <w:color w:val="auto"/>
          <w:w w:val="99"/>
          <w:kern w:val="0"/>
          <w:sz w:val="28"/>
          <w:szCs w:val="28"/>
          <w:highlight w:val="none"/>
        </w:rPr>
        <w:t>月</w:t>
      </w:r>
      <w:r>
        <w:rPr>
          <w:rFonts w:ascii="宋体" w:hAnsi="宋体"/>
          <w:color w:val="auto"/>
          <w:w w:val="198"/>
          <w:kern w:val="0"/>
          <w:sz w:val="28"/>
          <w:szCs w:val="28"/>
          <w:highlight w:val="none"/>
          <w:u w:val="single"/>
        </w:rPr>
        <w:t xml:space="preserve"> </w:t>
      </w:r>
      <w:r>
        <w:rPr>
          <w:rFonts w:hint="eastAsia" w:ascii="宋体" w:hAnsi="宋体"/>
          <w:color w:val="auto"/>
          <w:w w:val="198"/>
          <w:kern w:val="0"/>
          <w:sz w:val="28"/>
          <w:szCs w:val="28"/>
          <w:highlight w:val="none"/>
          <w:u w:val="single"/>
        </w:rPr>
        <w:t xml:space="preserve">  </w:t>
      </w:r>
      <w:r>
        <w:rPr>
          <w:rFonts w:ascii="宋体" w:hAnsi="宋体"/>
          <w:color w:val="auto"/>
          <w:w w:val="198"/>
          <w:kern w:val="0"/>
          <w:sz w:val="28"/>
          <w:szCs w:val="28"/>
          <w:highlight w:val="none"/>
          <w:u w:val="single"/>
        </w:rPr>
        <w:t xml:space="preserve"> </w:t>
      </w:r>
      <w:r>
        <w:rPr>
          <w:rFonts w:ascii="宋体" w:hAnsi="宋体"/>
          <w:color w:val="auto"/>
          <w:w w:val="99"/>
          <w:kern w:val="0"/>
          <w:sz w:val="28"/>
          <w:szCs w:val="28"/>
          <w:highlight w:val="none"/>
        </w:rPr>
        <w:t>日</w:t>
      </w:r>
    </w:p>
    <w:p>
      <w:pPr>
        <w:autoSpaceDE w:val="0"/>
        <w:autoSpaceDN w:val="0"/>
        <w:adjustRightInd w:val="0"/>
        <w:snapToGrid w:val="0"/>
        <w:spacing w:line="360" w:lineRule="auto"/>
        <w:jc w:val="left"/>
        <w:rPr>
          <w:rFonts w:ascii="宋体" w:hAnsi="宋体"/>
          <w:color w:val="auto"/>
          <w:kern w:val="0"/>
          <w:sz w:val="24"/>
          <w:szCs w:val="21"/>
          <w:highlight w:val="none"/>
        </w:rPr>
      </w:pPr>
      <w:r>
        <w:rPr>
          <w:rFonts w:ascii="宋体" w:hAnsi="宋体"/>
          <w:color w:val="auto"/>
          <w:kern w:val="0"/>
          <w:sz w:val="24"/>
          <w:szCs w:val="21"/>
          <w:highlight w:val="none"/>
        </w:rPr>
        <w:br w:type="page"/>
      </w:r>
    </w:p>
    <w:p>
      <w:pPr>
        <w:autoSpaceDE w:val="0"/>
        <w:autoSpaceDN w:val="0"/>
        <w:adjustRightInd w:val="0"/>
        <w:snapToGrid w:val="0"/>
        <w:spacing w:line="360" w:lineRule="auto"/>
        <w:jc w:val="center"/>
        <w:rPr>
          <w:rFonts w:ascii="宋体" w:hAnsi="宋体"/>
          <w:color w:val="auto"/>
          <w:kern w:val="0"/>
          <w:szCs w:val="21"/>
          <w:highlight w:val="none"/>
        </w:rPr>
      </w:pPr>
      <w:r>
        <w:rPr>
          <w:rFonts w:hint="eastAsia" w:ascii="宋体" w:hAnsi="宋体"/>
          <w:color w:val="auto"/>
          <w:kern w:val="0"/>
          <w:sz w:val="36"/>
          <w:szCs w:val="36"/>
          <w:highlight w:val="none"/>
        </w:rPr>
        <w:t>目  录</w:t>
      </w:r>
    </w:p>
    <w:p>
      <w:pPr>
        <w:autoSpaceDE w:val="0"/>
        <w:autoSpaceDN w:val="0"/>
        <w:adjustRightInd w:val="0"/>
        <w:snapToGrid w:val="0"/>
        <w:spacing w:line="360" w:lineRule="auto"/>
        <w:jc w:val="left"/>
        <w:rPr>
          <w:rFonts w:ascii="宋体" w:hAnsi="宋体"/>
          <w:color w:val="auto"/>
          <w:kern w:val="0"/>
          <w:szCs w:val="21"/>
          <w:highlight w:val="none"/>
        </w:rPr>
      </w:pPr>
    </w:p>
    <w:p>
      <w:pPr>
        <w:autoSpaceDE w:val="0"/>
        <w:autoSpaceDN w:val="0"/>
        <w:adjustRightInd w:val="0"/>
        <w:snapToGrid w:val="0"/>
        <w:spacing w:line="360" w:lineRule="auto"/>
        <w:jc w:val="center"/>
        <w:rPr>
          <w:rFonts w:ascii="宋体" w:hAnsi="宋体"/>
          <w:i/>
          <w:iCs/>
          <w:color w:val="auto"/>
          <w:kern w:val="0"/>
          <w:szCs w:val="21"/>
          <w:highlight w:val="none"/>
        </w:rPr>
      </w:pPr>
      <w:r>
        <w:rPr>
          <w:rFonts w:ascii="宋体" w:hAnsi="宋体"/>
          <w:i/>
          <w:iCs/>
          <w:color w:val="auto"/>
          <w:kern w:val="0"/>
          <w:szCs w:val="21"/>
          <w:highlight w:val="none"/>
        </w:rPr>
        <w:t>[</w:t>
      </w:r>
      <w:r>
        <w:rPr>
          <w:rFonts w:hint="eastAsia" w:ascii="宋体" w:hAnsi="宋体"/>
          <w:i/>
          <w:iCs/>
          <w:color w:val="auto"/>
          <w:kern w:val="0"/>
          <w:szCs w:val="21"/>
          <w:highlight w:val="none"/>
        </w:rPr>
        <w:t>提示：</w:t>
      </w:r>
      <w:r>
        <w:rPr>
          <w:rFonts w:ascii="宋体" w:hAnsi="宋体"/>
          <w:i/>
          <w:iCs/>
          <w:color w:val="auto"/>
          <w:kern w:val="0"/>
          <w:szCs w:val="21"/>
          <w:highlight w:val="none"/>
        </w:rPr>
        <w:t>目录由</w:t>
      </w:r>
      <w:r>
        <w:rPr>
          <w:rFonts w:hint="eastAsia" w:ascii="宋体" w:hAnsi="宋体"/>
          <w:i/>
          <w:iCs/>
          <w:color w:val="auto"/>
          <w:kern w:val="0"/>
          <w:szCs w:val="21"/>
          <w:highlight w:val="none"/>
          <w:lang w:eastAsia="zh-CN"/>
        </w:rPr>
        <w:t>竞选人</w:t>
      </w:r>
      <w:r>
        <w:rPr>
          <w:rFonts w:ascii="宋体" w:hAnsi="宋体"/>
          <w:i/>
          <w:iCs/>
          <w:color w:val="auto"/>
          <w:kern w:val="0"/>
          <w:szCs w:val="21"/>
          <w:highlight w:val="none"/>
        </w:rPr>
        <w:t>自行编制]</w:t>
      </w:r>
    </w:p>
    <w:p>
      <w:pPr>
        <w:autoSpaceDE w:val="0"/>
        <w:autoSpaceDN w:val="0"/>
        <w:adjustRightInd w:val="0"/>
        <w:snapToGrid w:val="0"/>
        <w:spacing w:line="360" w:lineRule="auto"/>
        <w:jc w:val="left"/>
        <w:rPr>
          <w:rFonts w:ascii="宋体" w:hAnsi="宋体"/>
          <w:color w:val="auto"/>
          <w:w w:val="99"/>
          <w:kern w:val="0"/>
          <w:sz w:val="28"/>
          <w:szCs w:val="28"/>
          <w:highlight w:val="none"/>
        </w:rPr>
      </w:pPr>
    </w:p>
    <w:p>
      <w:pPr>
        <w:autoSpaceDE w:val="0"/>
        <w:autoSpaceDN w:val="0"/>
        <w:adjustRightInd w:val="0"/>
        <w:snapToGrid w:val="0"/>
        <w:spacing w:line="360" w:lineRule="auto"/>
        <w:jc w:val="left"/>
        <w:rPr>
          <w:rFonts w:hint="default" w:ascii="宋体" w:hAnsi="宋体" w:cs="Times New Roman"/>
          <w:color w:val="auto"/>
          <w:kern w:val="0"/>
          <w:sz w:val="32"/>
          <w:szCs w:val="32"/>
          <w:highlight w:val="none"/>
          <w:u w:val="single"/>
          <w:lang w:val="en-US" w:eastAsia="zh-CN"/>
        </w:rPr>
      </w:pPr>
      <w:r>
        <w:rPr>
          <w:rFonts w:ascii="宋体" w:hAnsi="宋体"/>
          <w:color w:val="auto"/>
          <w:highlight w:val="none"/>
        </w:rPr>
        <w:br w:type="page"/>
      </w:r>
      <w:bookmarkStart w:id="1045" w:name="_Toc224103501"/>
      <w:bookmarkStart w:id="1046" w:name="_Toc277082648"/>
      <w:bookmarkStart w:id="1047" w:name="_Toc287607873"/>
      <w:bookmarkStart w:id="1048" w:name="_Toc287620820"/>
      <w:bookmarkStart w:id="1049" w:name="_Toc430530535"/>
      <w:r>
        <w:rPr>
          <w:rFonts w:hint="eastAsia" w:ascii="宋体" w:hAnsi="宋体" w:cs="Times New Roman"/>
          <w:color w:val="auto"/>
          <w:kern w:val="0"/>
          <w:sz w:val="32"/>
          <w:szCs w:val="32"/>
          <w:highlight w:val="none"/>
          <w:u w:val="single"/>
          <w:lang w:val="en-US" w:eastAsia="zh-CN"/>
        </w:rPr>
        <w:t>注：请投标人分别标注每部分的投标清单</w:t>
      </w:r>
    </w:p>
    <w:p>
      <w:pPr>
        <w:autoSpaceDE w:val="0"/>
        <w:autoSpaceDN w:val="0"/>
        <w:adjustRightInd w:val="0"/>
        <w:snapToGrid w:val="0"/>
        <w:spacing w:line="360" w:lineRule="auto"/>
        <w:jc w:val="left"/>
        <w:rPr>
          <w:rFonts w:hint="default" w:ascii="宋体" w:hAnsi="宋体" w:cs="Times New Roman"/>
          <w:color w:val="auto"/>
          <w:kern w:val="0"/>
          <w:sz w:val="32"/>
          <w:szCs w:val="32"/>
          <w:highlight w:val="none"/>
          <w:u w:val="single"/>
          <w:lang w:val="en-US" w:eastAsia="zh-CN"/>
        </w:rPr>
      </w:pPr>
      <w:r>
        <w:rPr>
          <w:rFonts w:hint="eastAsia" w:ascii="宋体" w:hAnsi="宋体" w:cs="Times New Roman"/>
          <w:color w:val="auto"/>
          <w:kern w:val="0"/>
          <w:sz w:val="32"/>
          <w:szCs w:val="32"/>
          <w:highlight w:val="none"/>
          <w:u w:val="single"/>
          <w:lang w:eastAsia="zh-CN"/>
        </w:rPr>
        <w:t>江南春城-阳光水岸</w:t>
      </w:r>
      <w:r>
        <w:rPr>
          <w:rFonts w:hint="eastAsia" w:ascii="宋体" w:hAnsi="宋体" w:cs="Times New Roman"/>
          <w:color w:val="auto"/>
          <w:kern w:val="0"/>
          <w:sz w:val="32"/>
          <w:szCs w:val="32"/>
          <w:highlight w:val="none"/>
          <w:u w:val="single"/>
          <w:lang w:val="en-US" w:eastAsia="zh-CN"/>
        </w:rPr>
        <w:t>部分</w:t>
      </w:r>
      <w:r>
        <w:rPr>
          <w:rFonts w:hint="eastAsia" w:ascii="宋体" w:hAnsi="宋体" w:cs="Times New Roman"/>
          <w:color w:val="auto"/>
          <w:kern w:val="0"/>
          <w:sz w:val="32"/>
          <w:szCs w:val="32"/>
          <w:highlight w:val="none"/>
          <w:u w:val="single"/>
          <w:lang w:eastAsia="zh-CN"/>
        </w:rPr>
        <w:t>；江南春城-水木兰亭</w:t>
      </w:r>
      <w:r>
        <w:rPr>
          <w:rFonts w:hint="eastAsia" w:ascii="宋体" w:hAnsi="宋体" w:cs="Times New Roman"/>
          <w:color w:val="auto"/>
          <w:kern w:val="0"/>
          <w:sz w:val="32"/>
          <w:szCs w:val="32"/>
          <w:highlight w:val="none"/>
          <w:u w:val="single"/>
          <w:lang w:val="en-US" w:eastAsia="zh-CN"/>
        </w:rPr>
        <w:t>部分</w:t>
      </w:r>
      <w:r>
        <w:rPr>
          <w:rFonts w:hint="eastAsia" w:ascii="宋体" w:hAnsi="宋体" w:cs="Times New Roman"/>
          <w:color w:val="auto"/>
          <w:kern w:val="0"/>
          <w:sz w:val="32"/>
          <w:szCs w:val="32"/>
          <w:highlight w:val="none"/>
          <w:u w:val="single"/>
          <w:lang w:eastAsia="zh-CN"/>
        </w:rPr>
        <w:t>；广滨壹号-江枫苑</w:t>
      </w:r>
      <w:r>
        <w:rPr>
          <w:rFonts w:hint="eastAsia" w:ascii="宋体" w:hAnsi="宋体" w:cs="Times New Roman"/>
          <w:color w:val="auto"/>
          <w:kern w:val="0"/>
          <w:sz w:val="32"/>
          <w:szCs w:val="32"/>
          <w:highlight w:val="none"/>
          <w:u w:val="single"/>
          <w:lang w:val="en-US" w:eastAsia="zh-CN"/>
        </w:rPr>
        <w:t>部分，</w:t>
      </w:r>
    </w:p>
    <w:p>
      <w:pPr>
        <w:pStyle w:val="5"/>
        <w:jc w:val="center"/>
        <w:rPr>
          <w:color w:val="auto"/>
          <w:highlight w:val="none"/>
        </w:rPr>
      </w:pPr>
      <w:bookmarkStart w:id="1050" w:name="_Toc14805"/>
      <w:bookmarkStart w:id="1051" w:name="_Toc28475"/>
      <w:r>
        <w:rPr>
          <w:rFonts w:hint="eastAsia"/>
          <w:color w:val="auto"/>
          <w:highlight w:val="none"/>
        </w:rPr>
        <w:t>（一）已标价工程量清单</w:t>
      </w:r>
      <w:bookmarkEnd w:id="1045"/>
      <w:bookmarkEnd w:id="1046"/>
      <w:bookmarkEnd w:id="1047"/>
      <w:bookmarkEnd w:id="1048"/>
      <w:bookmarkEnd w:id="1049"/>
      <w:bookmarkEnd w:id="1050"/>
      <w:bookmarkEnd w:id="1051"/>
    </w:p>
    <w:p>
      <w:pPr>
        <w:tabs>
          <w:tab w:val="left" w:pos="2580"/>
          <w:tab w:val="left" w:pos="5940"/>
        </w:tabs>
        <w:autoSpaceDE w:val="0"/>
        <w:autoSpaceDN w:val="0"/>
        <w:adjustRightInd w:val="0"/>
        <w:snapToGrid w:val="0"/>
        <w:spacing w:line="360" w:lineRule="auto"/>
        <w:ind w:firstLine="2940"/>
        <w:jc w:val="left"/>
        <w:rPr>
          <w:rFonts w:ascii="宋体" w:hAnsi="宋体"/>
          <w:color w:val="auto"/>
          <w:kern w:val="0"/>
          <w:sz w:val="28"/>
          <w:szCs w:val="28"/>
          <w:highlight w:val="none"/>
        </w:rPr>
      </w:pPr>
    </w:p>
    <w:p>
      <w:pPr>
        <w:autoSpaceDE w:val="0"/>
        <w:autoSpaceDN w:val="0"/>
        <w:adjustRightInd w:val="0"/>
        <w:snapToGrid w:val="0"/>
        <w:spacing w:line="360" w:lineRule="auto"/>
        <w:jc w:val="left"/>
        <w:rPr>
          <w:rFonts w:ascii="宋体" w:hAnsi="宋体"/>
          <w:color w:val="auto"/>
          <w:kern w:val="0"/>
          <w:sz w:val="24"/>
          <w:szCs w:val="21"/>
          <w:highlight w:val="none"/>
        </w:rPr>
      </w:pPr>
      <w:bookmarkStart w:id="1052" w:name="_Toc430530536"/>
      <w:bookmarkStart w:id="1053" w:name="_Toc224103502"/>
      <w:bookmarkStart w:id="1054" w:name="_Toc287620821"/>
      <w:bookmarkStart w:id="1055" w:name="_Toc287607874"/>
      <w:r>
        <w:rPr>
          <w:rFonts w:ascii="宋体" w:hAnsi="宋体"/>
          <w:color w:val="auto"/>
          <w:highlight w:val="none"/>
        </w:rPr>
        <w:br w:type="page"/>
      </w:r>
    </w:p>
    <w:p>
      <w:pPr>
        <w:pStyle w:val="4"/>
        <w:spacing w:line="360" w:lineRule="auto"/>
        <w:jc w:val="center"/>
        <w:rPr>
          <w:rFonts w:ascii="宋体" w:hAnsi="宋体"/>
          <w:b w:val="0"/>
          <w:bCs w:val="0"/>
          <w:color w:val="auto"/>
          <w:sz w:val="44"/>
          <w:szCs w:val="44"/>
          <w:highlight w:val="none"/>
        </w:rPr>
      </w:pPr>
      <w:bookmarkStart w:id="1056" w:name="_Toc26340"/>
      <w:bookmarkStart w:id="1057" w:name="_Toc29644"/>
      <w:r>
        <w:rPr>
          <w:rFonts w:hint="eastAsia" w:ascii="宋体" w:hAnsi="宋体"/>
          <w:b w:val="0"/>
          <w:bCs w:val="0"/>
          <w:color w:val="auto"/>
          <w:sz w:val="44"/>
          <w:szCs w:val="44"/>
          <w:highlight w:val="none"/>
          <w:lang w:val="en-US" w:eastAsia="zh-CN"/>
        </w:rPr>
        <w:t>四</w:t>
      </w:r>
      <w:r>
        <w:rPr>
          <w:rFonts w:hint="eastAsia" w:ascii="宋体" w:hAnsi="宋体"/>
          <w:b w:val="0"/>
          <w:bCs w:val="0"/>
          <w:color w:val="auto"/>
          <w:sz w:val="44"/>
          <w:szCs w:val="44"/>
          <w:highlight w:val="none"/>
        </w:rPr>
        <w:t>、技术部分</w:t>
      </w:r>
      <w:bookmarkEnd w:id="1052"/>
      <w:bookmarkEnd w:id="1053"/>
      <w:bookmarkEnd w:id="1056"/>
      <w:bookmarkEnd w:id="1057"/>
    </w:p>
    <w:p>
      <w:pPr>
        <w:jc w:val="center"/>
        <w:rPr>
          <w:i/>
          <w:iCs/>
          <w:color w:val="auto"/>
          <w:highlight w:val="none"/>
        </w:rPr>
      </w:pPr>
      <w:bookmarkStart w:id="1058" w:name="_Toc509218856"/>
      <w:bookmarkStart w:id="1059" w:name="_Toc430530537"/>
      <w:bookmarkStart w:id="1060" w:name="_Toc534185833"/>
      <w:bookmarkStart w:id="1061" w:name="_Toc536628352"/>
      <w:r>
        <w:rPr>
          <w:rFonts w:ascii="宋体" w:hAnsi="宋体"/>
          <w:i/>
          <w:iCs/>
          <w:color w:val="auto"/>
          <w:kern w:val="0"/>
          <w:szCs w:val="21"/>
          <w:highlight w:val="none"/>
        </w:rPr>
        <w:t>[</w:t>
      </w:r>
      <w:r>
        <w:rPr>
          <w:rFonts w:hint="eastAsia"/>
          <w:i/>
          <w:iCs/>
          <w:color w:val="auto"/>
          <w:highlight w:val="none"/>
        </w:rPr>
        <w:t>提示：</w:t>
      </w:r>
      <w:r>
        <w:rPr>
          <w:i/>
          <w:iCs/>
          <w:color w:val="auto"/>
          <w:highlight w:val="none"/>
        </w:rPr>
        <w:t>不设置技术方案评审的不设此部分</w:t>
      </w:r>
      <w:r>
        <w:rPr>
          <w:rFonts w:hint="eastAsia"/>
          <w:i/>
          <w:iCs/>
          <w:color w:val="auto"/>
          <w:highlight w:val="none"/>
        </w:rPr>
        <w:t>，技术部分面页详见最后一页。</w:t>
      </w:r>
      <w:r>
        <w:rPr>
          <w:rFonts w:ascii="宋体" w:hAnsi="宋体"/>
          <w:i/>
          <w:iCs/>
          <w:color w:val="auto"/>
          <w:kern w:val="0"/>
          <w:szCs w:val="21"/>
          <w:highlight w:val="none"/>
        </w:rPr>
        <w:t>]</w:t>
      </w:r>
    </w:p>
    <w:bookmarkEnd w:id="1054"/>
    <w:bookmarkEnd w:id="1055"/>
    <w:bookmarkEnd w:id="1058"/>
    <w:bookmarkEnd w:id="1059"/>
    <w:bookmarkEnd w:id="1060"/>
    <w:bookmarkEnd w:id="1061"/>
    <w:p>
      <w:pPr>
        <w:autoSpaceDE w:val="0"/>
        <w:autoSpaceDN w:val="0"/>
        <w:adjustRightInd w:val="0"/>
        <w:snapToGrid w:val="0"/>
        <w:spacing w:line="360" w:lineRule="auto"/>
        <w:jc w:val="center"/>
        <w:rPr>
          <w:rFonts w:ascii="宋体" w:hAnsi="宋体"/>
          <w:color w:val="auto"/>
          <w:kern w:val="0"/>
          <w:sz w:val="36"/>
          <w:szCs w:val="36"/>
          <w:highlight w:val="none"/>
        </w:rPr>
      </w:pPr>
      <w:r>
        <w:rPr>
          <w:color w:val="auto"/>
          <w:highlight w:val="none"/>
        </w:rPr>
        <w:br w:type="page"/>
      </w:r>
    </w:p>
    <w:p>
      <w:pPr>
        <w:autoSpaceDE w:val="0"/>
        <w:autoSpaceDN w:val="0"/>
        <w:adjustRightInd w:val="0"/>
        <w:snapToGrid w:val="0"/>
        <w:spacing w:line="360" w:lineRule="auto"/>
        <w:jc w:val="center"/>
        <w:rPr>
          <w:rFonts w:ascii="宋体" w:hAnsi="宋体"/>
          <w:color w:val="auto"/>
          <w:kern w:val="0"/>
          <w:sz w:val="32"/>
          <w:szCs w:val="32"/>
          <w:highlight w:val="none"/>
        </w:rPr>
      </w:pPr>
      <w:r>
        <w:rPr>
          <w:rFonts w:hint="eastAsia" w:ascii="宋体" w:hAnsi="宋体"/>
          <w:color w:val="auto"/>
          <w:kern w:val="0"/>
          <w:sz w:val="36"/>
          <w:szCs w:val="36"/>
          <w:highlight w:val="none"/>
        </w:rPr>
        <w:t>目  录</w:t>
      </w:r>
    </w:p>
    <w:p>
      <w:pPr>
        <w:autoSpaceDE w:val="0"/>
        <w:autoSpaceDN w:val="0"/>
        <w:adjustRightInd w:val="0"/>
        <w:snapToGrid w:val="0"/>
        <w:spacing w:line="360" w:lineRule="auto"/>
        <w:jc w:val="left"/>
        <w:rPr>
          <w:rFonts w:ascii="宋体" w:hAnsi="宋体"/>
          <w:color w:val="auto"/>
          <w:kern w:val="0"/>
          <w:sz w:val="32"/>
          <w:szCs w:val="32"/>
          <w:highlight w:val="none"/>
        </w:rPr>
      </w:pPr>
    </w:p>
    <w:p>
      <w:pPr>
        <w:autoSpaceDE w:val="0"/>
        <w:autoSpaceDN w:val="0"/>
        <w:adjustRightInd w:val="0"/>
        <w:snapToGrid w:val="0"/>
        <w:spacing w:line="360" w:lineRule="auto"/>
        <w:jc w:val="center"/>
        <w:rPr>
          <w:rFonts w:ascii="宋体" w:hAnsi="宋体"/>
          <w:i/>
          <w:iCs/>
          <w:color w:val="auto"/>
          <w:kern w:val="0"/>
          <w:szCs w:val="21"/>
          <w:highlight w:val="none"/>
        </w:rPr>
      </w:pPr>
      <w:r>
        <w:rPr>
          <w:rFonts w:ascii="宋体" w:hAnsi="宋体"/>
          <w:i/>
          <w:iCs/>
          <w:color w:val="auto"/>
          <w:kern w:val="0"/>
          <w:szCs w:val="21"/>
          <w:highlight w:val="none"/>
        </w:rPr>
        <w:t>[</w:t>
      </w:r>
      <w:r>
        <w:rPr>
          <w:rFonts w:hint="eastAsia" w:ascii="宋体" w:hAnsi="宋体"/>
          <w:i/>
          <w:iCs/>
          <w:color w:val="auto"/>
          <w:kern w:val="0"/>
          <w:szCs w:val="21"/>
          <w:highlight w:val="none"/>
        </w:rPr>
        <w:t>提示：</w:t>
      </w:r>
      <w:r>
        <w:rPr>
          <w:rFonts w:ascii="宋体" w:hAnsi="宋体"/>
          <w:i/>
          <w:iCs/>
          <w:color w:val="auto"/>
          <w:kern w:val="0"/>
          <w:szCs w:val="21"/>
          <w:highlight w:val="none"/>
        </w:rPr>
        <w:t>目录由</w:t>
      </w:r>
      <w:r>
        <w:rPr>
          <w:rFonts w:hint="eastAsia" w:ascii="宋体" w:hAnsi="宋体"/>
          <w:i/>
          <w:iCs/>
          <w:color w:val="auto"/>
          <w:kern w:val="0"/>
          <w:szCs w:val="21"/>
          <w:highlight w:val="none"/>
          <w:lang w:eastAsia="zh-CN"/>
        </w:rPr>
        <w:t>竞选人</w:t>
      </w:r>
      <w:r>
        <w:rPr>
          <w:rFonts w:ascii="宋体" w:hAnsi="宋体"/>
          <w:i/>
          <w:iCs/>
          <w:color w:val="auto"/>
          <w:kern w:val="0"/>
          <w:szCs w:val="21"/>
          <w:highlight w:val="none"/>
        </w:rPr>
        <w:t>自行编制]</w:t>
      </w:r>
    </w:p>
    <w:p>
      <w:pPr>
        <w:autoSpaceDE w:val="0"/>
        <w:autoSpaceDN w:val="0"/>
        <w:adjustRightInd w:val="0"/>
        <w:snapToGrid w:val="0"/>
        <w:spacing w:line="360" w:lineRule="auto"/>
        <w:jc w:val="left"/>
        <w:rPr>
          <w:rFonts w:ascii="宋体" w:hAnsi="宋体"/>
          <w:color w:val="auto"/>
          <w:w w:val="99"/>
          <w:kern w:val="0"/>
          <w:sz w:val="28"/>
          <w:szCs w:val="28"/>
          <w:highlight w:val="none"/>
        </w:rPr>
      </w:pPr>
    </w:p>
    <w:p>
      <w:pPr>
        <w:autoSpaceDE w:val="0"/>
        <w:autoSpaceDN w:val="0"/>
        <w:adjustRightInd w:val="0"/>
        <w:snapToGrid w:val="0"/>
        <w:spacing w:line="360" w:lineRule="auto"/>
        <w:jc w:val="center"/>
        <w:rPr>
          <w:rFonts w:ascii="宋体" w:hAnsi="宋体"/>
          <w:color w:val="auto"/>
          <w:sz w:val="36"/>
          <w:szCs w:val="36"/>
          <w:highlight w:val="none"/>
        </w:rPr>
      </w:pPr>
      <w:r>
        <w:rPr>
          <w:rFonts w:ascii="宋体" w:hAnsi="宋体"/>
          <w:color w:val="auto"/>
          <w:highlight w:val="none"/>
        </w:rPr>
        <w:br w:type="page"/>
      </w:r>
      <w:bookmarkStart w:id="1062" w:name="_Toc4851"/>
      <w:bookmarkStart w:id="1063" w:name="_Toc299"/>
      <w:r>
        <w:rPr>
          <w:rStyle w:val="193"/>
          <w:rFonts w:hint="eastAsia"/>
          <w:color w:val="auto"/>
          <w:highlight w:val="none"/>
        </w:rPr>
        <w:t>（一）技术方案</w:t>
      </w:r>
      <w:bookmarkEnd w:id="1062"/>
      <w:bookmarkEnd w:id="1063"/>
    </w:p>
    <w:p>
      <w:pPr>
        <w:autoSpaceDE w:val="0"/>
        <w:autoSpaceDN w:val="0"/>
        <w:adjustRightInd w:val="0"/>
        <w:snapToGrid w:val="0"/>
        <w:spacing w:line="360" w:lineRule="auto"/>
        <w:jc w:val="left"/>
        <w:rPr>
          <w:rFonts w:ascii="宋体" w:hAnsi="宋体"/>
          <w:color w:val="auto"/>
          <w:kern w:val="0"/>
          <w:sz w:val="12"/>
          <w:szCs w:val="12"/>
          <w:highlight w:val="none"/>
        </w:rPr>
      </w:pPr>
    </w:p>
    <w:p>
      <w:pPr>
        <w:pStyle w:val="2"/>
        <w:spacing w:line="360" w:lineRule="auto"/>
        <w:ind w:firstLine="420" w:firstLineChars="200"/>
        <w:jc w:val="center"/>
        <w:rPr>
          <w:rFonts w:ascii="宋体" w:hAnsi="宋体"/>
          <w:i/>
          <w:color w:val="auto"/>
          <w:kern w:val="0"/>
          <w:szCs w:val="21"/>
          <w:highlight w:val="none"/>
        </w:rPr>
      </w:pPr>
      <w:r>
        <w:rPr>
          <w:rFonts w:hint="eastAsia" w:ascii="宋体" w:hAnsi="宋体"/>
          <w:i/>
          <w:color w:val="auto"/>
          <w:kern w:val="0"/>
          <w:szCs w:val="21"/>
          <w:highlight w:val="none"/>
        </w:rPr>
        <w:t>[提示：</w:t>
      </w:r>
      <w:r>
        <w:rPr>
          <w:rFonts w:hint="eastAsia" w:ascii="宋体" w:hAnsi="宋体"/>
          <w:i/>
          <w:color w:val="auto"/>
          <w:kern w:val="0"/>
          <w:szCs w:val="21"/>
          <w:highlight w:val="none"/>
          <w:lang w:eastAsia="zh-CN"/>
        </w:rPr>
        <w:t>竞选人</w:t>
      </w:r>
      <w:r>
        <w:rPr>
          <w:rFonts w:hint="eastAsia" w:ascii="宋体" w:hAnsi="宋体"/>
          <w:i/>
          <w:color w:val="auto"/>
          <w:kern w:val="0"/>
          <w:szCs w:val="21"/>
          <w:highlight w:val="none"/>
        </w:rPr>
        <w:t>应根据招标文件的要求编制技术方案]</w:t>
      </w:r>
    </w:p>
    <w:p>
      <w:pPr>
        <w:autoSpaceDE w:val="0"/>
        <w:autoSpaceDN w:val="0"/>
        <w:adjustRightInd w:val="0"/>
        <w:snapToGrid w:val="0"/>
        <w:spacing w:line="360" w:lineRule="auto"/>
        <w:ind w:firstLine="420"/>
        <w:rPr>
          <w:rFonts w:ascii="宋体" w:hAnsi="宋体"/>
          <w:color w:val="auto"/>
          <w:kern w:val="0"/>
          <w:szCs w:val="21"/>
          <w:highlight w:val="none"/>
        </w:rPr>
      </w:pPr>
      <w:r>
        <w:rPr>
          <w:rFonts w:ascii="宋体" w:hAnsi="宋体"/>
          <w:color w:val="auto"/>
          <w:kern w:val="0"/>
          <w:szCs w:val="21"/>
          <w:highlight w:val="none"/>
        </w:rPr>
        <w:t>1.</w:t>
      </w:r>
      <w:r>
        <w:rPr>
          <w:rFonts w:hint="eastAsia"/>
          <w:color w:val="auto"/>
          <w:highlight w:val="none"/>
          <w:lang w:eastAsia="zh-CN"/>
        </w:rPr>
        <w:t>竞选人</w:t>
      </w:r>
      <w:r>
        <w:rPr>
          <w:color w:val="auto"/>
          <w:highlight w:val="none"/>
        </w:rPr>
        <w:t>编制技术方案的要求：编制时应采用文字并结合图表形式说明施工方法； 拟投入本标段的主要施工设备情况、拟配备本标段的试验和检测仪器设备情况、劳动力计划等；结合工程特点提出切实可行的工程质量、安全生产、文明施工、工程进度、技术组织措施，同时应对关键工序、复杂环节重点提出相应技术措施，如冬雨季施工技术、减少噪音、降低环境污染、地下管线及其他地上地下设施的保护加固措施</w:t>
      </w:r>
      <w:r>
        <w:rPr>
          <w:rFonts w:hint="eastAsia"/>
          <w:color w:val="auto"/>
          <w:highlight w:val="none"/>
        </w:rPr>
        <w:t>；BIM、CIM、智慧工地建设管理方案及措施（如有）；</w:t>
      </w:r>
      <w:r>
        <w:rPr>
          <w:rFonts w:hint="eastAsia" w:ascii="宋体" w:hAnsi="宋体" w:cs="宋体"/>
          <w:color w:val="auto"/>
          <w:kern w:val="0"/>
          <w:highlight w:val="none"/>
        </w:rPr>
        <w:t>危大工程清单安全管理措施</w:t>
      </w:r>
      <w:r>
        <w:rPr>
          <w:rFonts w:hint="eastAsia"/>
          <w:color w:val="auto"/>
          <w:highlight w:val="none"/>
        </w:rPr>
        <w:t>（如有）</w:t>
      </w:r>
      <w:r>
        <w:rPr>
          <w:color w:val="auto"/>
          <w:highlight w:val="none"/>
        </w:rPr>
        <w:t>等</w:t>
      </w:r>
      <w:r>
        <w:rPr>
          <w:rFonts w:ascii="宋体" w:hAnsi="宋体"/>
          <w:color w:val="auto"/>
          <w:kern w:val="0"/>
          <w:szCs w:val="21"/>
          <w:highlight w:val="none"/>
        </w:rPr>
        <w:t>。</w:t>
      </w:r>
    </w:p>
    <w:p>
      <w:pPr>
        <w:tabs>
          <w:tab w:val="left" w:pos="735"/>
          <w:tab w:val="left" w:pos="840"/>
          <w:tab w:val="left" w:pos="1050"/>
          <w:tab w:val="left" w:pos="1700"/>
        </w:tabs>
        <w:autoSpaceDE w:val="0"/>
        <w:autoSpaceDN w:val="0"/>
        <w:adjustRightInd w:val="0"/>
        <w:snapToGrid w:val="0"/>
        <w:spacing w:line="360" w:lineRule="auto"/>
        <w:ind w:left="-2" w:leftChars="-1" w:firstLine="424" w:firstLineChars="202"/>
        <w:jc w:val="left"/>
        <w:rPr>
          <w:rFonts w:ascii="宋体" w:hAnsi="宋体"/>
          <w:color w:val="auto"/>
          <w:kern w:val="0"/>
          <w:szCs w:val="21"/>
          <w:highlight w:val="none"/>
        </w:rPr>
      </w:pPr>
      <w:r>
        <w:rPr>
          <w:rFonts w:ascii="宋体" w:hAnsi="宋体"/>
          <w:color w:val="auto"/>
          <w:kern w:val="0"/>
          <w:szCs w:val="21"/>
          <w:highlight w:val="none"/>
        </w:rPr>
        <w:t xml:space="preserve">2.技术方案除采用文字表述外可附下列图表，图表及格式要求附后。 </w:t>
      </w:r>
    </w:p>
    <w:p>
      <w:pPr>
        <w:tabs>
          <w:tab w:val="left" w:pos="1700"/>
        </w:tabs>
        <w:autoSpaceDE w:val="0"/>
        <w:autoSpaceDN w:val="0"/>
        <w:adjustRightInd w:val="0"/>
        <w:snapToGrid w:val="0"/>
        <w:spacing w:line="360" w:lineRule="auto"/>
        <w:ind w:firstLine="424" w:firstLineChars="202"/>
        <w:jc w:val="left"/>
        <w:rPr>
          <w:rFonts w:ascii="宋体" w:hAnsi="宋体"/>
          <w:color w:val="auto"/>
          <w:kern w:val="0"/>
          <w:szCs w:val="21"/>
          <w:highlight w:val="none"/>
        </w:rPr>
      </w:pPr>
    </w:p>
    <w:p>
      <w:pPr>
        <w:tabs>
          <w:tab w:val="left" w:pos="1700"/>
        </w:tabs>
        <w:autoSpaceDE w:val="0"/>
        <w:autoSpaceDN w:val="0"/>
        <w:adjustRightInd w:val="0"/>
        <w:snapToGrid w:val="0"/>
        <w:spacing w:line="360" w:lineRule="auto"/>
        <w:ind w:firstLine="424" w:firstLineChars="202"/>
        <w:jc w:val="left"/>
        <w:rPr>
          <w:rFonts w:ascii="宋体" w:hAnsi="宋体"/>
          <w:color w:val="auto"/>
          <w:kern w:val="0"/>
          <w:szCs w:val="21"/>
          <w:highlight w:val="none"/>
        </w:rPr>
      </w:pPr>
      <w:r>
        <w:rPr>
          <w:rFonts w:ascii="宋体" w:hAnsi="宋体"/>
          <w:color w:val="auto"/>
          <w:kern w:val="0"/>
          <w:szCs w:val="21"/>
          <w:highlight w:val="none"/>
        </w:rPr>
        <w:t>附表一</w:t>
      </w:r>
      <w:r>
        <w:rPr>
          <w:rFonts w:hint="eastAsia" w:ascii="宋体" w:hAnsi="宋体"/>
          <w:color w:val="auto"/>
          <w:kern w:val="0"/>
          <w:szCs w:val="21"/>
          <w:highlight w:val="none"/>
        </w:rPr>
        <w:t xml:space="preserve">  </w:t>
      </w:r>
      <w:r>
        <w:rPr>
          <w:rFonts w:ascii="宋体" w:hAnsi="宋体"/>
          <w:color w:val="auto"/>
          <w:kern w:val="0"/>
          <w:szCs w:val="21"/>
          <w:highlight w:val="none"/>
        </w:rPr>
        <w:t>拟投入本标段的主要施工设备表</w:t>
      </w:r>
    </w:p>
    <w:p>
      <w:pPr>
        <w:tabs>
          <w:tab w:val="left" w:pos="1700"/>
        </w:tabs>
        <w:autoSpaceDE w:val="0"/>
        <w:autoSpaceDN w:val="0"/>
        <w:adjustRightInd w:val="0"/>
        <w:snapToGrid w:val="0"/>
        <w:spacing w:line="360" w:lineRule="auto"/>
        <w:ind w:firstLine="424" w:firstLineChars="202"/>
        <w:jc w:val="left"/>
        <w:rPr>
          <w:rFonts w:ascii="宋体" w:hAnsi="宋体"/>
          <w:color w:val="auto"/>
          <w:kern w:val="0"/>
          <w:szCs w:val="21"/>
          <w:highlight w:val="none"/>
        </w:rPr>
      </w:pPr>
      <w:r>
        <w:rPr>
          <w:rFonts w:ascii="宋体" w:hAnsi="宋体"/>
          <w:color w:val="auto"/>
          <w:kern w:val="0"/>
          <w:szCs w:val="21"/>
          <w:highlight w:val="none"/>
        </w:rPr>
        <w:t>附表二</w:t>
      </w:r>
      <w:r>
        <w:rPr>
          <w:rFonts w:hint="eastAsia" w:ascii="宋体" w:hAnsi="宋体"/>
          <w:color w:val="auto"/>
          <w:kern w:val="0"/>
          <w:szCs w:val="21"/>
          <w:highlight w:val="none"/>
        </w:rPr>
        <w:t xml:space="preserve">  </w:t>
      </w:r>
      <w:r>
        <w:rPr>
          <w:rFonts w:ascii="宋体" w:hAnsi="宋体"/>
          <w:color w:val="auto"/>
          <w:kern w:val="0"/>
          <w:szCs w:val="21"/>
          <w:highlight w:val="none"/>
        </w:rPr>
        <w:t>拟配备本标段的试验和检测仪器设备表</w:t>
      </w:r>
    </w:p>
    <w:p>
      <w:pPr>
        <w:tabs>
          <w:tab w:val="left" w:pos="1700"/>
        </w:tabs>
        <w:autoSpaceDE w:val="0"/>
        <w:autoSpaceDN w:val="0"/>
        <w:adjustRightInd w:val="0"/>
        <w:snapToGrid w:val="0"/>
        <w:spacing w:line="360" w:lineRule="auto"/>
        <w:ind w:firstLine="424" w:firstLineChars="202"/>
        <w:jc w:val="left"/>
        <w:rPr>
          <w:rFonts w:ascii="宋体" w:hAnsi="宋体"/>
          <w:color w:val="auto"/>
          <w:kern w:val="0"/>
          <w:szCs w:val="21"/>
          <w:highlight w:val="none"/>
        </w:rPr>
      </w:pPr>
      <w:r>
        <w:rPr>
          <w:rFonts w:ascii="宋体" w:hAnsi="宋体"/>
          <w:color w:val="auto"/>
          <w:kern w:val="0"/>
          <w:szCs w:val="21"/>
          <w:highlight w:val="none"/>
        </w:rPr>
        <w:t>附表三</w:t>
      </w:r>
      <w:r>
        <w:rPr>
          <w:rFonts w:hint="eastAsia" w:ascii="宋体" w:hAnsi="宋体"/>
          <w:color w:val="auto"/>
          <w:kern w:val="0"/>
          <w:szCs w:val="21"/>
          <w:highlight w:val="none"/>
        </w:rPr>
        <w:t xml:space="preserve">  </w:t>
      </w:r>
      <w:r>
        <w:rPr>
          <w:rFonts w:ascii="宋体" w:hAnsi="宋体"/>
          <w:color w:val="auto"/>
          <w:kern w:val="0"/>
          <w:szCs w:val="21"/>
          <w:highlight w:val="none"/>
        </w:rPr>
        <w:t>劳动力计划表</w:t>
      </w:r>
    </w:p>
    <w:p>
      <w:pPr>
        <w:tabs>
          <w:tab w:val="left" w:pos="1700"/>
        </w:tabs>
        <w:autoSpaceDE w:val="0"/>
        <w:autoSpaceDN w:val="0"/>
        <w:adjustRightInd w:val="0"/>
        <w:snapToGrid w:val="0"/>
        <w:spacing w:line="360" w:lineRule="auto"/>
        <w:ind w:firstLine="424" w:firstLineChars="202"/>
        <w:jc w:val="left"/>
        <w:rPr>
          <w:rFonts w:ascii="宋体" w:hAnsi="宋体"/>
          <w:color w:val="auto"/>
          <w:kern w:val="0"/>
          <w:szCs w:val="21"/>
          <w:highlight w:val="none"/>
        </w:rPr>
      </w:pPr>
      <w:r>
        <w:rPr>
          <w:rFonts w:ascii="宋体" w:hAnsi="宋体"/>
          <w:color w:val="auto"/>
          <w:kern w:val="0"/>
          <w:szCs w:val="21"/>
          <w:highlight w:val="none"/>
        </w:rPr>
        <w:t>附表四</w:t>
      </w:r>
      <w:r>
        <w:rPr>
          <w:rFonts w:hint="eastAsia" w:ascii="宋体" w:hAnsi="宋体"/>
          <w:color w:val="auto"/>
          <w:kern w:val="0"/>
          <w:szCs w:val="21"/>
          <w:highlight w:val="none"/>
        </w:rPr>
        <w:t xml:space="preserve">  </w:t>
      </w:r>
      <w:r>
        <w:rPr>
          <w:rFonts w:ascii="宋体" w:hAnsi="宋体"/>
          <w:color w:val="auto"/>
          <w:kern w:val="0"/>
          <w:szCs w:val="21"/>
          <w:highlight w:val="none"/>
        </w:rPr>
        <w:t>计划开、竣工日期和施工进度网络图</w:t>
      </w:r>
    </w:p>
    <w:p>
      <w:pPr>
        <w:tabs>
          <w:tab w:val="left" w:pos="1700"/>
        </w:tabs>
        <w:autoSpaceDE w:val="0"/>
        <w:autoSpaceDN w:val="0"/>
        <w:adjustRightInd w:val="0"/>
        <w:snapToGrid w:val="0"/>
        <w:spacing w:line="360" w:lineRule="auto"/>
        <w:ind w:firstLine="424" w:firstLineChars="202"/>
        <w:jc w:val="left"/>
        <w:rPr>
          <w:rFonts w:ascii="宋体" w:hAnsi="宋体"/>
          <w:color w:val="auto"/>
          <w:kern w:val="0"/>
          <w:szCs w:val="21"/>
          <w:highlight w:val="none"/>
        </w:rPr>
      </w:pPr>
      <w:r>
        <w:rPr>
          <w:rFonts w:ascii="宋体" w:hAnsi="宋体"/>
          <w:color w:val="auto"/>
          <w:kern w:val="0"/>
          <w:szCs w:val="21"/>
          <w:highlight w:val="none"/>
        </w:rPr>
        <w:t>附表五</w:t>
      </w:r>
      <w:r>
        <w:rPr>
          <w:rFonts w:hint="eastAsia" w:ascii="宋体" w:hAnsi="宋体"/>
          <w:color w:val="auto"/>
          <w:kern w:val="0"/>
          <w:szCs w:val="21"/>
          <w:highlight w:val="none"/>
        </w:rPr>
        <w:t xml:space="preserve">  </w:t>
      </w:r>
      <w:r>
        <w:rPr>
          <w:rFonts w:ascii="宋体" w:hAnsi="宋体"/>
          <w:color w:val="auto"/>
          <w:kern w:val="0"/>
          <w:szCs w:val="21"/>
          <w:highlight w:val="none"/>
        </w:rPr>
        <w:t>施工总平面图</w:t>
      </w:r>
    </w:p>
    <w:p>
      <w:pPr>
        <w:tabs>
          <w:tab w:val="left" w:pos="1700"/>
        </w:tabs>
        <w:autoSpaceDE w:val="0"/>
        <w:autoSpaceDN w:val="0"/>
        <w:adjustRightInd w:val="0"/>
        <w:snapToGrid w:val="0"/>
        <w:spacing w:line="360" w:lineRule="auto"/>
        <w:ind w:firstLine="424" w:firstLineChars="202"/>
        <w:jc w:val="left"/>
        <w:rPr>
          <w:rFonts w:ascii="宋体" w:hAnsi="宋体"/>
          <w:color w:val="auto"/>
          <w:kern w:val="0"/>
          <w:szCs w:val="21"/>
          <w:highlight w:val="none"/>
        </w:rPr>
      </w:pPr>
      <w:r>
        <w:rPr>
          <w:rFonts w:ascii="宋体" w:hAnsi="宋体"/>
          <w:color w:val="auto"/>
          <w:kern w:val="0"/>
          <w:szCs w:val="21"/>
          <w:highlight w:val="none"/>
        </w:rPr>
        <w:t>附表六</w:t>
      </w:r>
      <w:r>
        <w:rPr>
          <w:rFonts w:hint="eastAsia" w:ascii="宋体" w:hAnsi="宋体"/>
          <w:color w:val="auto"/>
          <w:kern w:val="0"/>
          <w:szCs w:val="21"/>
          <w:highlight w:val="none"/>
        </w:rPr>
        <w:t xml:space="preserve">  </w:t>
      </w:r>
      <w:r>
        <w:rPr>
          <w:rFonts w:ascii="宋体" w:hAnsi="宋体"/>
          <w:color w:val="auto"/>
          <w:kern w:val="0"/>
          <w:szCs w:val="21"/>
          <w:highlight w:val="none"/>
        </w:rPr>
        <w:t>临时用地表</w:t>
      </w:r>
    </w:p>
    <w:p>
      <w:pPr>
        <w:autoSpaceDE w:val="0"/>
        <w:autoSpaceDN w:val="0"/>
        <w:adjustRightInd w:val="0"/>
        <w:snapToGrid w:val="0"/>
        <w:spacing w:line="360" w:lineRule="auto"/>
        <w:jc w:val="left"/>
        <w:rPr>
          <w:rFonts w:ascii="宋体" w:hAnsi="宋体"/>
          <w:color w:val="auto"/>
          <w:kern w:val="0"/>
          <w:sz w:val="24"/>
          <w:highlight w:val="none"/>
        </w:rPr>
      </w:pPr>
    </w:p>
    <w:p>
      <w:pPr>
        <w:jc w:val="center"/>
        <w:rPr>
          <w:color w:val="auto"/>
          <w:sz w:val="32"/>
          <w:szCs w:val="32"/>
          <w:highlight w:val="none"/>
        </w:rPr>
      </w:pPr>
      <w:bookmarkStart w:id="1064" w:name="_Toc430530539"/>
      <w:bookmarkStart w:id="1065" w:name="_Toc287620823"/>
      <w:bookmarkStart w:id="1066" w:name="_Toc287607876"/>
      <w:bookmarkStart w:id="1067" w:name="_Toc224103504"/>
      <w:bookmarkStart w:id="1068" w:name="_Toc277082650"/>
      <w:bookmarkStart w:id="1069" w:name="_Toc224103507"/>
      <w:bookmarkStart w:id="1070" w:name="_Toc287620826"/>
      <w:bookmarkStart w:id="1071" w:name="_Toc277082653"/>
      <w:bookmarkStart w:id="1072" w:name="_Toc287607879"/>
      <w:r>
        <w:rPr>
          <w:color w:val="auto"/>
          <w:highlight w:val="none"/>
        </w:rPr>
        <w:br w:type="page"/>
      </w:r>
      <w:bookmarkStart w:id="1073" w:name="_Toc534185834"/>
      <w:bookmarkStart w:id="1074" w:name="_Toc509218857"/>
      <w:r>
        <w:rPr>
          <w:rFonts w:hint="eastAsia"/>
          <w:color w:val="auto"/>
          <w:sz w:val="32"/>
          <w:szCs w:val="32"/>
          <w:highlight w:val="none"/>
        </w:rPr>
        <w:t>附表一：拟投入本标段的主要施工设备表</w:t>
      </w:r>
      <w:bookmarkEnd w:id="1064"/>
      <w:bookmarkEnd w:id="1065"/>
      <w:bookmarkEnd w:id="1066"/>
      <w:bookmarkEnd w:id="1067"/>
      <w:bookmarkEnd w:id="1068"/>
      <w:bookmarkEnd w:id="1073"/>
      <w:bookmarkEnd w:id="1074"/>
    </w:p>
    <w:tbl>
      <w:tblPr>
        <w:tblStyle w:val="45"/>
        <w:tblW w:w="9469" w:type="dxa"/>
        <w:tblInd w:w="-5" w:type="dxa"/>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0" w:type="dxa"/>
          <w:bottom w:w="0" w:type="dxa"/>
          <w:right w:w="0" w:type="dxa"/>
        </w:tblCellMar>
      </w:tblPr>
      <w:tblGrid>
        <w:gridCol w:w="721"/>
        <w:gridCol w:w="1176"/>
        <w:gridCol w:w="824"/>
        <w:gridCol w:w="1072"/>
        <w:gridCol w:w="728"/>
        <w:gridCol w:w="799"/>
        <w:gridCol w:w="1312"/>
        <w:gridCol w:w="947"/>
        <w:gridCol w:w="1141"/>
        <w:gridCol w:w="749"/>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1017"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序号</w:t>
            </w:r>
          </w:p>
        </w:tc>
        <w:tc>
          <w:tcPr>
            <w:tcW w:w="1176" w:type="dxa"/>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设备名称</w:t>
            </w:r>
          </w:p>
        </w:tc>
        <w:tc>
          <w:tcPr>
            <w:tcW w:w="824" w:type="dxa"/>
            <w:vAlign w:val="center"/>
          </w:tcPr>
          <w:p>
            <w:pPr>
              <w:autoSpaceDE w:val="0"/>
              <w:autoSpaceDN w:val="0"/>
              <w:adjustRightInd w:val="0"/>
              <w:snapToGrid w:val="0"/>
              <w:jc w:val="center"/>
              <w:rPr>
                <w:rFonts w:ascii="宋体" w:hAnsi="宋体"/>
                <w:color w:val="auto"/>
                <w:kern w:val="0"/>
                <w:szCs w:val="21"/>
                <w:highlight w:val="none"/>
              </w:rPr>
            </w:pPr>
            <w:r>
              <w:rPr>
                <w:rFonts w:ascii="宋体" w:hAnsi="宋体"/>
                <w:color w:val="auto"/>
                <w:kern w:val="0"/>
                <w:szCs w:val="21"/>
                <w:highlight w:val="none"/>
              </w:rPr>
              <w:t>型号</w:t>
            </w:r>
          </w:p>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规格</w:t>
            </w:r>
          </w:p>
        </w:tc>
        <w:tc>
          <w:tcPr>
            <w:tcW w:w="1072" w:type="dxa"/>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数量</w:t>
            </w:r>
          </w:p>
        </w:tc>
        <w:tc>
          <w:tcPr>
            <w:tcW w:w="728" w:type="dxa"/>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国别 产地</w:t>
            </w:r>
          </w:p>
        </w:tc>
        <w:tc>
          <w:tcPr>
            <w:tcW w:w="799" w:type="dxa"/>
            <w:vAlign w:val="center"/>
          </w:tcPr>
          <w:p>
            <w:pPr>
              <w:autoSpaceDE w:val="0"/>
              <w:autoSpaceDN w:val="0"/>
              <w:adjustRightInd w:val="0"/>
              <w:snapToGrid w:val="0"/>
              <w:jc w:val="center"/>
              <w:rPr>
                <w:rFonts w:ascii="宋体" w:hAnsi="宋体"/>
                <w:color w:val="auto"/>
                <w:kern w:val="0"/>
                <w:szCs w:val="21"/>
                <w:highlight w:val="none"/>
              </w:rPr>
            </w:pPr>
            <w:r>
              <w:rPr>
                <w:rFonts w:ascii="宋体" w:hAnsi="宋体"/>
                <w:color w:val="auto"/>
                <w:kern w:val="0"/>
                <w:szCs w:val="21"/>
                <w:highlight w:val="none"/>
              </w:rPr>
              <w:t>制造</w:t>
            </w:r>
          </w:p>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年份</w:t>
            </w:r>
          </w:p>
        </w:tc>
        <w:tc>
          <w:tcPr>
            <w:tcW w:w="1312" w:type="dxa"/>
            <w:vAlign w:val="center"/>
          </w:tcPr>
          <w:p>
            <w:pPr>
              <w:autoSpaceDE w:val="0"/>
              <w:autoSpaceDN w:val="0"/>
              <w:adjustRightInd w:val="0"/>
              <w:snapToGrid w:val="0"/>
              <w:jc w:val="center"/>
              <w:rPr>
                <w:rFonts w:ascii="宋体" w:hAnsi="宋体"/>
                <w:color w:val="auto"/>
                <w:kern w:val="0"/>
                <w:szCs w:val="21"/>
                <w:highlight w:val="none"/>
              </w:rPr>
            </w:pPr>
            <w:r>
              <w:rPr>
                <w:rFonts w:ascii="宋体" w:hAnsi="宋体"/>
                <w:color w:val="auto"/>
                <w:kern w:val="0"/>
                <w:szCs w:val="21"/>
                <w:highlight w:val="none"/>
              </w:rPr>
              <w:t>额定功率</w:t>
            </w:r>
          </w:p>
          <w:p>
            <w:pPr>
              <w:autoSpaceDE w:val="0"/>
              <w:autoSpaceDN w:val="0"/>
              <w:adjustRightInd w:val="0"/>
              <w:snapToGrid w:val="0"/>
              <w:jc w:val="center"/>
              <w:rPr>
                <w:rFonts w:ascii="宋体" w:hAnsi="宋体"/>
                <w:color w:val="auto"/>
                <w:kern w:val="0"/>
                <w:sz w:val="10"/>
                <w:szCs w:val="10"/>
                <w:highlight w:val="none"/>
              </w:rPr>
            </w:pPr>
          </w:p>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（KW）</w:t>
            </w:r>
          </w:p>
        </w:tc>
        <w:tc>
          <w:tcPr>
            <w:tcW w:w="947" w:type="dxa"/>
            <w:vAlign w:val="center"/>
          </w:tcPr>
          <w:p>
            <w:pPr>
              <w:autoSpaceDE w:val="0"/>
              <w:autoSpaceDN w:val="0"/>
              <w:adjustRightInd w:val="0"/>
              <w:snapToGrid w:val="0"/>
              <w:jc w:val="center"/>
              <w:rPr>
                <w:rFonts w:ascii="宋体" w:hAnsi="宋体"/>
                <w:color w:val="auto"/>
                <w:kern w:val="0"/>
                <w:szCs w:val="21"/>
                <w:highlight w:val="none"/>
              </w:rPr>
            </w:pPr>
            <w:r>
              <w:rPr>
                <w:rFonts w:ascii="宋体" w:hAnsi="宋体"/>
                <w:color w:val="auto"/>
                <w:kern w:val="0"/>
                <w:szCs w:val="21"/>
                <w:highlight w:val="none"/>
              </w:rPr>
              <w:t>生产</w:t>
            </w:r>
          </w:p>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能力</w:t>
            </w:r>
          </w:p>
        </w:tc>
        <w:tc>
          <w:tcPr>
            <w:tcW w:w="1141" w:type="dxa"/>
            <w:vAlign w:val="center"/>
          </w:tcPr>
          <w:p>
            <w:pPr>
              <w:autoSpaceDE w:val="0"/>
              <w:autoSpaceDN w:val="0"/>
              <w:adjustRightInd w:val="0"/>
              <w:snapToGrid w:val="0"/>
              <w:jc w:val="center"/>
              <w:rPr>
                <w:rFonts w:ascii="宋体" w:hAnsi="宋体"/>
                <w:color w:val="auto"/>
                <w:kern w:val="0"/>
                <w:szCs w:val="21"/>
                <w:highlight w:val="none"/>
              </w:rPr>
            </w:pPr>
            <w:r>
              <w:rPr>
                <w:rFonts w:ascii="宋体" w:hAnsi="宋体"/>
                <w:color w:val="auto"/>
                <w:kern w:val="0"/>
                <w:szCs w:val="21"/>
                <w:highlight w:val="none"/>
              </w:rPr>
              <w:t>用于施</w:t>
            </w:r>
          </w:p>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工部位</w:t>
            </w:r>
          </w:p>
        </w:tc>
        <w:tc>
          <w:tcPr>
            <w:tcW w:w="749" w:type="dxa"/>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备注</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5" w:hRule="exact"/>
        </w:trPr>
        <w:tc>
          <w:tcPr>
            <w:tcW w:w="721" w:type="dxa"/>
            <w:vAlign w:val="center"/>
          </w:tcPr>
          <w:p>
            <w:pPr>
              <w:autoSpaceDE w:val="0"/>
              <w:autoSpaceDN w:val="0"/>
              <w:adjustRightInd w:val="0"/>
              <w:snapToGrid w:val="0"/>
              <w:jc w:val="center"/>
              <w:rPr>
                <w:rFonts w:ascii="宋体" w:hAnsi="宋体"/>
                <w:color w:val="auto"/>
                <w:kern w:val="0"/>
                <w:sz w:val="24"/>
                <w:highlight w:val="none"/>
              </w:rPr>
            </w:pPr>
          </w:p>
        </w:tc>
        <w:tc>
          <w:tcPr>
            <w:tcW w:w="1176" w:type="dxa"/>
            <w:vAlign w:val="center"/>
          </w:tcPr>
          <w:p>
            <w:pPr>
              <w:autoSpaceDE w:val="0"/>
              <w:autoSpaceDN w:val="0"/>
              <w:adjustRightInd w:val="0"/>
              <w:snapToGrid w:val="0"/>
              <w:jc w:val="center"/>
              <w:rPr>
                <w:rFonts w:ascii="宋体" w:hAnsi="宋体"/>
                <w:color w:val="auto"/>
                <w:kern w:val="0"/>
                <w:sz w:val="24"/>
                <w:highlight w:val="none"/>
              </w:rPr>
            </w:pPr>
          </w:p>
        </w:tc>
        <w:tc>
          <w:tcPr>
            <w:tcW w:w="824" w:type="dxa"/>
            <w:vAlign w:val="center"/>
          </w:tcPr>
          <w:p>
            <w:pPr>
              <w:autoSpaceDE w:val="0"/>
              <w:autoSpaceDN w:val="0"/>
              <w:adjustRightInd w:val="0"/>
              <w:snapToGrid w:val="0"/>
              <w:jc w:val="center"/>
              <w:rPr>
                <w:rFonts w:ascii="宋体" w:hAnsi="宋体"/>
                <w:color w:val="auto"/>
                <w:kern w:val="0"/>
                <w:sz w:val="24"/>
                <w:highlight w:val="none"/>
              </w:rPr>
            </w:pPr>
          </w:p>
        </w:tc>
        <w:tc>
          <w:tcPr>
            <w:tcW w:w="1072" w:type="dxa"/>
            <w:vAlign w:val="center"/>
          </w:tcPr>
          <w:p>
            <w:pPr>
              <w:autoSpaceDE w:val="0"/>
              <w:autoSpaceDN w:val="0"/>
              <w:adjustRightInd w:val="0"/>
              <w:snapToGrid w:val="0"/>
              <w:jc w:val="center"/>
              <w:rPr>
                <w:rFonts w:ascii="宋体" w:hAnsi="宋体"/>
                <w:color w:val="auto"/>
                <w:kern w:val="0"/>
                <w:sz w:val="24"/>
                <w:highlight w:val="none"/>
              </w:rPr>
            </w:pPr>
          </w:p>
        </w:tc>
        <w:tc>
          <w:tcPr>
            <w:tcW w:w="728" w:type="dxa"/>
            <w:vAlign w:val="center"/>
          </w:tcPr>
          <w:p>
            <w:pPr>
              <w:autoSpaceDE w:val="0"/>
              <w:autoSpaceDN w:val="0"/>
              <w:adjustRightInd w:val="0"/>
              <w:snapToGrid w:val="0"/>
              <w:jc w:val="center"/>
              <w:rPr>
                <w:rFonts w:ascii="宋体" w:hAnsi="宋体"/>
                <w:color w:val="auto"/>
                <w:kern w:val="0"/>
                <w:sz w:val="24"/>
                <w:highlight w:val="none"/>
              </w:rPr>
            </w:pPr>
          </w:p>
        </w:tc>
        <w:tc>
          <w:tcPr>
            <w:tcW w:w="799" w:type="dxa"/>
            <w:vAlign w:val="center"/>
          </w:tcPr>
          <w:p>
            <w:pPr>
              <w:autoSpaceDE w:val="0"/>
              <w:autoSpaceDN w:val="0"/>
              <w:adjustRightInd w:val="0"/>
              <w:snapToGrid w:val="0"/>
              <w:jc w:val="center"/>
              <w:rPr>
                <w:rFonts w:ascii="宋体" w:hAnsi="宋体"/>
                <w:color w:val="auto"/>
                <w:kern w:val="0"/>
                <w:sz w:val="24"/>
                <w:highlight w:val="none"/>
              </w:rPr>
            </w:pPr>
          </w:p>
        </w:tc>
        <w:tc>
          <w:tcPr>
            <w:tcW w:w="1312" w:type="dxa"/>
            <w:vAlign w:val="center"/>
          </w:tcPr>
          <w:p>
            <w:pPr>
              <w:autoSpaceDE w:val="0"/>
              <w:autoSpaceDN w:val="0"/>
              <w:adjustRightInd w:val="0"/>
              <w:snapToGrid w:val="0"/>
              <w:jc w:val="center"/>
              <w:rPr>
                <w:rFonts w:ascii="宋体" w:hAnsi="宋体"/>
                <w:color w:val="auto"/>
                <w:kern w:val="0"/>
                <w:sz w:val="24"/>
                <w:highlight w:val="none"/>
              </w:rPr>
            </w:pPr>
          </w:p>
        </w:tc>
        <w:tc>
          <w:tcPr>
            <w:tcW w:w="947" w:type="dxa"/>
            <w:vAlign w:val="center"/>
          </w:tcPr>
          <w:p>
            <w:pPr>
              <w:autoSpaceDE w:val="0"/>
              <w:autoSpaceDN w:val="0"/>
              <w:adjustRightInd w:val="0"/>
              <w:snapToGrid w:val="0"/>
              <w:jc w:val="center"/>
              <w:rPr>
                <w:rFonts w:ascii="宋体" w:hAnsi="宋体"/>
                <w:color w:val="auto"/>
                <w:kern w:val="0"/>
                <w:sz w:val="24"/>
                <w:highlight w:val="none"/>
              </w:rPr>
            </w:pPr>
          </w:p>
        </w:tc>
        <w:tc>
          <w:tcPr>
            <w:tcW w:w="1141" w:type="dxa"/>
            <w:vAlign w:val="center"/>
          </w:tcPr>
          <w:p>
            <w:pPr>
              <w:autoSpaceDE w:val="0"/>
              <w:autoSpaceDN w:val="0"/>
              <w:adjustRightInd w:val="0"/>
              <w:snapToGrid w:val="0"/>
              <w:jc w:val="center"/>
              <w:rPr>
                <w:rFonts w:ascii="宋体" w:hAnsi="宋体"/>
                <w:color w:val="auto"/>
                <w:kern w:val="0"/>
                <w:sz w:val="24"/>
                <w:highlight w:val="none"/>
              </w:rPr>
            </w:pPr>
          </w:p>
        </w:tc>
        <w:tc>
          <w:tcPr>
            <w:tcW w:w="749" w:type="dxa"/>
            <w:vAlign w:val="center"/>
          </w:tcPr>
          <w:p>
            <w:pPr>
              <w:autoSpaceDE w:val="0"/>
              <w:autoSpaceDN w:val="0"/>
              <w:adjustRightInd w:val="0"/>
              <w:snapToGrid w:val="0"/>
              <w:jc w:val="center"/>
              <w:rPr>
                <w:rFonts w:ascii="宋体" w:hAnsi="宋体"/>
                <w:color w:val="auto"/>
                <w:kern w:val="0"/>
                <w:sz w:val="24"/>
                <w:highlight w:val="none"/>
              </w:rPr>
            </w:pPr>
          </w:p>
        </w:tc>
      </w:tr>
    </w:tbl>
    <w:p>
      <w:pPr>
        <w:autoSpaceDE w:val="0"/>
        <w:autoSpaceDN w:val="0"/>
        <w:adjustRightInd w:val="0"/>
        <w:snapToGrid w:val="0"/>
        <w:spacing w:line="20" w:lineRule="exact"/>
        <w:jc w:val="left"/>
        <w:rPr>
          <w:rFonts w:ascii="宋体" w:hAnsi="宋体"/>
          <w:color w:val="auto"/>
          <w:kern w:val="0"/>
          <w:highlight w:val="none"/>
        </w:rPr>
      </w:pPr>
    </w:p>
    <w:p>
      <w:pPr>
        <w:jc w:val="center"/>
        <w:rPr>
          <w:rFonts w:ascii="宋体" w:hAnsi="宋体"/>
          <w:color w:val="auto"/>
          <w:kern w:val="0"/>
          <w:sz w:val="20"/>
          <w:szCs w:val="20"/>
          <w:highlight w:val="none"/>
        </w:rPr>
      </w:pPr>
      <w:bookmarkStart w:id="1075" w:name="_Toc277082651"/>
      <w:bookmarkStart w:id="1076" w:name="_Toc287620824"/>
      <w:bookmarkStart w:id="1077" w:name="_Toc287607877"/>
      <w:bookmarkStart w:id="1078" w:name="_Toc224103505"/>
      <w:bookmarkStart w:id="1079" w:name="_Toc430530540"/>
      <w:r>
        <w:rPr>
          <w:rFonts w:ascii="宋体" w:hAnsi="宋体"/>
          <w:color w:val="auto"/>
          <w:sz w:val="28"/>
          <w:highlight w:val="none"/>
        </w:rPr>
        <w:br w:type="page"/>
      </w:r>
      <w:bookmarkStart w:id="1080" w:name="_Toc534185835"/>
      <w:bookmarkStart w:id="1081" w:name="_Toc509218858"/>
      <w:r>
        <w:rPr>
          <w:color w:val="auto"/>
          <w:sz w:val="32"/>
          <w:szCs w:val="32"/>
          <w:highlight w:val="none"/>
        </w:rPr>
        <w:t>附表二：拟配备本标段的试验和检测仪器设备表</w:t>
      </w:r>
      <w:bookmarkEnd w:id="1075"/>
      <w:bookmarkEnd w:id="1076"/>
      <w:bookmarkEnd w:id="1077"/>
      <w:bookmarkEnd w:id="1078"/>
      <w:bookmarkEnd w:id="1079"/>
      <w:bookmarkEnd w:id="1080"/>
      <w:bookmarkEnd w:id="1081"/>
    </w:p>
    <w:tbl>
      <w:tblPr>
        <w:tblStyle w:val="45"/>
        <w:tblW w:w="9494" w:type="dxa"/>
        <w:tblInd w:w="-10" w:type="dxa"/>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0" w:type="dxa"/>
          <w:bottom w:w="0" w:type="dxa"/>
          <w:right w:w="0" w:type="dxa"/>
        </w:tblCellMar>
      </w:tblPr>
      <w:tblGrid>
        <w:gridCol w:w="747"/>
        <w:gridCol w:w="1219"/>
        <w:gridCol w:w="852"/>
        <w:gridCol w:w="1111"/>
        <w:gridCol w:w="754"/>
        <w:gridCol w:w="827"/>
        <w:gridCol w:w="1359"/>
        <w:gridCol w:w="1855"/>
        <w:gridCol w:w="770"/>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1014" w:hRule="exact"/>
        </w:trPr>
        <w:tc>
          <w:tcPr>
            <w:tcW w:w="747" w:type="dxa"/>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序号</w:t>
            </w:r>
          </w:p>
        </w:tc>
        <w:tc>
          <w:tcPr>
            <w:tcW w:w="1219" w:type="dxa"/>
            <w:vAlign w:val="center"/>
          </w:tcPr>
          <w:p>
            <w:pPr>
              <w:autoSpaceDE w:val="0"/>
              <w:autoSpaceDN w:val="0"/>
              <w:adjustRightInd w:val="0"/>
              <w:snapToGrid w:val="0"/>
              <w:jc w:val="center"/>
              <w:rPr>
                <w:rFonts w:ascii="宋体" w:hAnsi="宋体"/>
                <w:color w:val="auto"/>
                <w:kern w:val="0"/>
                <w:szCs w:val="21"/>
                <w:highlight w:val="none"/>
              </w:rPr>
            </w:pPr>
            <w:r>
              <w:rPr>
                <w:rFonts w:ascii="宋体" w:hAnsi="宋体"/>
                <w:color w:val="auto"/>
                <w:kern w:val="0"/>
                <w:szCs w:val="21"/>
                <w:highlight w:val="none"/>
              </w:rPr>
              <w:t>仪器设备</w:t>
            </w:r>
          </w:p>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名　　称</w:t>
            </w:r>
          </w:p>
        </w:tc>
        <w:tc>
          <w:tcPr>
            <w:tcW w:w="852" w:type="dxa"/>
            <w:vAlign w:val="center"/>
          </w:tcPr>
          <w:p>
            <w:pPr>
              <w:autoSpaceDE w:val="0"/>
              <w:autoSpaceDN w:val="0"/>
              <w:adjustRightInd w:val="0"/>
              <w:snapToGrid w:val="0"/>
              <w:jc w:val="center"/>
              <w:rPr>
                <w:rFonts w:ascii="宋体" w:hAnsi="宋体"/>
                <w:color w:val="auto"/>
                <w:kern w:val="0"/>
                <w:szCs w:val="21"/>
                <w:highlight w:val="none"/>
              </w:rPr>
            </w:pPr>
            <w:r>
              <w:rPr>
                <w:rFonts w:ascii="宋体" w:hAnsi="宋体"/>
                <w:color w:val="auto"/>
                <w:kern w:val="0"/>
                <w:szCs w:val="21"/>
                <w:highlight w:val="none"/>
              </w:rPr>
              <w:t>型号</w:t>
            </w:r>
          </w:p>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规格</w:t>
            </w:r>
          </w:p>
        </w:tc>
        <w:tc>
          <w:tcPr>
            <w:tcW w:w="1111" w:type="dxa"/>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数量</w:t>
            </w:r>
          </w:p>
        </w:tc>
        <w:tc>
          <w:tcPr>
            <w:tcW w:w="754" w:type="dxa"/>
            <w:vAlign w:val="center"/>
          </w:tcPr>
          <w:p>
            <w:pPr>
              <w:autoSpaceDE w:val="0"/>
              <w:autoSpaceDN w:val="0"/>
              <w:adjustRightInd w:val="0"/>
              <w:snapToGrid w:val="0"/>
              <w:jc w:val="center"/>
              <w:rPr>
                <w:rFonts w:ascii="宋体" w:hAnsi="宋体"/>
                <w:color w:val="auto"/>
                <w:kern w:val="0"/>
                <w:szCs w:val="21"/>
                <w:highlight w:val="none"/>
              </w:rPr>
            </w:pPr>
            <w:r>
              <w:rPr>
                <w:rFonts w:ascii="宋体" w:hAnsi="宋体"/>
                <w:color w:val="auto"/>
                <w:kern w:val="0"/>
                <w:szCs w:val="21"/>
                <w:highlight w:val="none"/>
              </w:rPr>
              <w:t>国别</w:t>
            </w:r>
          </w:p>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产地</w:t>
            </w:r>
          </w:p>
        </w:tc>
        <w:tc>
          <w:tcPr>
            <w:tcW w:w="827" w:type="dxa"/>
            <w:vAlign w:val="center"/>
          </w:tcPr>
          <w:p>
            <w:pPr>
              <w:autoSpaceDE w:val="0"/>
              <w:autoSpaceDN w:val="0"/>
              <w:adjustRightInd w:val="0"/>
              <w:snapToGrid w:val="0"/>
              <w:jc w:val="center"/>
              <w:rPr>
                <w:rFonts w:ascii="宋体" w:hAnsi="宋体"/>
                <w:color w:val="auto"/>
                <w:kern w:val="0"/>
                <w:szCs w:val="21"/>
                <w:highlight w:val="none"/>
              </w:rPr>
            </w:pPr>
            <w:r>
              <w:rPr>
                <w:rFonts w:ascii="宋体" w:hAnsi="宋体"/>
                <w:color w:val="auto"/>
                <w:kern w:val="0"/>
                <w:szCs w:val="21"/>
                <w:highlight w:val="none"/>
              </w:rPr>
              <w:t>制造</w:t>
            </w:r>
          </w:p>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年份</w:t>
            </w:r>
          </w:p>
        </w:tc>
        <w:tc>
          <w:tcPr>
            <w:tcW w:w="1359" w:type="dxa"/>
            <w:vAlign w:val="center"/>
          </w:tcPr>
          <w:p>
            <w:pPr>
              <w:autoSpaceDE w:val="0"/>
              <w:autoSpaceDN w:val="0"/>
              <w:adjustRightInd w:val="0"/>
              <w:snapToGrid w:val="0"/>
              <w:jc w:val="center"/>
              <w:rPr>
                <w:rFonts w:ascii="宋体" w:hAnsi="宋体"/>
                <w:color w:val="auto"/>
                <w:kern w:val="0"/>
                <w:szCs w:val="21"/>
                <w:highlight w:val="none"/>
              </w:rPr>
            </w:pPr>
            <w:r>
              <w:rPr>
                <w:rFonts w:ascii="宋体" w:hAnsi="宋体"/>
                <w:color w:val="auto"/>
                <w:kern w:val="0"/>
                <w:szCs w:val="21"/>
                <w:highlight w:val="none"/>
              </w:rPr>
              <w:t>已使用</w:t>
            </w:r>
          </w:p>
          <w:p>
            <w:pPr>
              <w:autoSpaceDE w:val="0"/>
              <w:autoSpaceDN w:val="0"/>
              <w:adjustRightInd w:val="0"/>
              <w:snapToGrid w:val="0"/>
              <w:jc w:val="center"/>
              <w:rPr>
                <w:rFonts w:ascii="宋体" w:hAnsi="宋体"/>
                <w:color w:val="auto"/>
                <w:kern w:val="0"/>
                <w:szCs w:val="21"/>
                <w:highlight w:val="none"/>
              </w:rPr>
            </w:pPr>
            <w:r>
              <w:rPr>
                <w:rFonts w:ascii="宋体" w:hAnsi="宋体"/>
                <w:color w:val="auto"/>
                <w:kern w:val="0"/>
                <w:szCs w:val="21"/>
                <w:highlight w:val="none"/>
              </w:rPr>
              <w:t>台时数</w:t>
            </w:r>
          </w:p>
        </w:tc>
        <w:tc>
          <w:tcPr>
            <w:tcW w:w="1855" w:type="dxa"/>
            <w:vAlign w:val="center"/>
          </w:tcPr>
          <w:p>
            <w:pPr>
              <w:autoSpaceDE w:val="0"/>
              <w:autoSpaceDN w:val="0"/>
              <w:adjustRightInd w:val="0"/>
              <w:snapToGrid w:val="0"/>
              <w:jc w:val="center"/>
              <w:rPr>
                <w:rFonts w:ascii="宋体" w:hAnsi="宋体"/>
                <w:color w:val="auto"/>
                <w:kern w:val="0"/>
                <w:szCs w:val="21"/>
                <w:highlight w:val="none"/>
              </w:rPr>
            </w:pPr>
            <w:r>
              <w:rPr>
                <w:rFonts w:ascii="宋体" w:hAnsi="宋体"/>
                <w:color w:val="auto"/>
                <w:kern w:val="0"/>
                <w:szCs w:val="21"/>
                <w:highlight w:val="none"/>
              </w:rPr>
              <w:t>用途</w:t>
            </w:r>
          </w:p>
        </w:tc>
        <w:tc>
          <w:tcPr>
            <w:tcW w:w="770" w:type="dxa"/>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备注</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3" w:hRule="exact"/>
        </w:trPr>
        <w:tc>
          <w:tcPr>
            <w:tcW w:w="747" w:type="dxa"/>
          </w:tcPr>
          <w:p>
            <w:pPr>
              <w:autoSpaceDE w:val="0"/>
              <w:autoSpaceDN w:val="0"/>
              <w:adjustRightInd w:val="0"/>
              <w:snapToGrid w:val="0"/>
              <w:jc w:val="left"/>
              <w:rPr>
                <w:rFonts w:ascii="宋体" w:hAnsi="宋体"/>
                <w:color w:val="auto"/>
                <w:kern w:val="0"/>
                <w:sz w:val="24"/>
                <w:highlight w:val="none"/>
              </w:rPr>
            </w:pPr>
          </w:p>
        </w:tc>
        <w:tc>
          <w:tcPr>
            <w:tcW w:w="1219" w:type="dxa"/>
          </w:tcPr>
          <w:p>
            <w:pPr>
              <w:autoSpaceDE w:val="0"/>
              <w:autoSpaceDN w:val="0"/>
              <w:adjustRightInd w:val="0"/>
              <w:snapToGrid w:val="0"/>
              <w:jc w:val="left"/>
              <w:rPr>
                <w:rFonts w:ascii="宋体" w:hAnsi="宋体"/>
                <w:color w:val="auto"/>
                <w:kern w:val="0"/>
                <w:sz w:val="24"/>
                <w:highlight w:val="none"/>
              </w:rPr>
            </w:pPr>
          </w:p>
        </w:tc>
        <w:tc>
          <w:tcPr>
            <w:tcW w:w="852" w:type="dxa"/>
          </w:tcPr>
          <w:p>
            <w:pPr>
              <w:autoSpaceDE w:val="0"/>
              <w:autoSpaceDN w:val="0"/>
              <w:adjustRightInd w:val="0"/>
              <w:snapToGrid w:val="0"/>
              <w:jc w:val="left"/>
              <w:rPr>
                <w:rFonts w:ascii="宋体" w:hAnsi="宋体"/>
                <w:color w:val="auto"/>
                <w:kern w:val="0"/>
                <w:sz w:val="24"/>
                <w:highlight w:val="none"/>
              </w:rPr>
            </w:pPr>
          </w:p>
        </w:tc>
        <w:tc>
          <w:tcPr>
            <w:tcW w:w="1111" w:type="dxa"/>
          </w:tcPr>
          <w:p>
            <w:pPr>
              <w:autoSpaceDE w:val="0"/>
              <w:autoSpaceDN w:val="0"/>
              <w:adjustRightInd w:val="0"/>
              <w:snapToGrid w:val="0"/>
              <w:jc w:val="left"/>
              <w:rPr>
                <w:rFonts w:ascii="宋体" w:hAnsi="宋体"/>
                <w:color w:val="auto"/>
                <w:kern w:val="0"/>
                <w:sz w:val="24"/>
                <w:highlight w:val="none"/>
              </w:rPr>
            </w:pPr>
          </w:p>
        </w:tc>
        <w:tc>
          <w:tcPr>
            <w:tcW w:w="754" w:type="dxa"/>
          </w:tcPr>
          <w:p>
            <w:pPr>
              <w:autoSpaceDE w:val="0"/>
              <w:autoSpaceDN w:val="0"/>
              <w:adjustRightInd w:val="0"/>
              <w:snapToGrid w:val="0"/>
              <w:jc w:val="left"/>
              <w:rPr>
                <w:rFonts w:ascii="宋体" w:hAnsi="宋体"/>
                <w:color w:val="auto"/>
                <w:kern w:val="0"/>
                <w:sz w:val="24"/>
                <w:highlight w:val="none"/>
              </w:rPr>
            </w:pPr>
          </w:p>
        </w:tc>
        <w:tc>
          <w:tcPr>
            <w:tcW w:w="827" w:type="dxa"/>
          </w:tcPr>
          <w:p>
            <w:pPr>
              <w:autoSpaceDE w:val="0"/>
              <w:autoSpaceDN w:val="0"/>
              <w:adjustRightInd w:val="0"/>
              <w:snapToGrid w:val="0"/>
              <w:jc w:val="left"/>
              <w:rPr>
                <w:rFonts w:ascii="宋体" w:hAnsi="宋体"/>
                <w:color w:val="auto"/>
                <w:kern w:val="0"/>
                <w:sz w:val="24"/>
                <w:highlight w:val="none"/>
              </w:rPr>
            </w:pPr>
          </w:p>
        </w:tc>
        <w:tc>
          <w:tcPr>
            <w:tcW w:w="1359" w:type="dxa"/>
          </w:tcPr>
          <w:p>
            <w:pPr>
              <w:autoSpaceDE w:val="0"/>
              <w:autoSpaceDN w:val="0"/>
              <w:adjustRightInd w:val="0"/>
              <w:snapToGrid w:val="0"/>
              <w:jc w:val="left"/>
              <w:rPr>
                <w:rFonts w:ascii="宋体" w:hAnsi="宋体"/>
                <w:color w:val="auto"/>
                <w:kern w:val="0"/>
                <w:sz w:val="24"/>
                <w:highlight w:val="none"/>
              </w:rPr>
            </w:pPr>
          </w:p>
        </w:tc>
        <w:tc>
          <w:tcPr>
            <w:tcW w:w="1855" w:type="dxa"/>
          </w:tcPr>
          <w:p>
            <w:pPr>
              <w:autoSpaceDE w:val="0"/>
              <w:autoSpaceDN w:val="0"/>
              <w:adjustRightInd w:val="0"/>
              <w:snapToGrid w:val="0"/>
              <w:jc w:val="left"/>
              <w:rPr>
                <w:rFonts w:ascii="宋体" w:hAnsi="宋体"/>
                <w:color w:val="auto"/>
                <w:kern w:val="0"/>
                <w:sz w:val="24"/>
                <w:highlight w:val="none"/>
              </w:rPr>
            </w:pPr>
          </w:p>
        </w:tc>
        <w:tc>
          <w:tcPr>
            <w:tcW w:w="770" w:type="dxa"/>
          </w:tcPr>
          <w:p>
            <w:pPr>
              <w:autoSpaceDE w:val="0"/>
              <w:autoSpaceDN w:val="0"/>
              <w:adjustRightInd w:val="0"/>
              <w:snapToGrid w:val="0"/>
              <w:jc w:val="left"/>
              <w:rPr>
                <w:rFonts w:ascii="宋体" w:hAnsi="宋体"/>
                <w:color w:val="auto"/>
                <w:kern w:val="0"/>
                <w:sz w:val="24"/>
                <w:highlight w:val="none"/>
              </w:rPr>
            </w:pPr>
          </w:p>
        </w:tc>
      </w:tr>
    </w:tbl>
    <w:p>
      <w:pPr>
        <w:spacing w:line="20" w:lineRule="exact"/>
        <w:rPr>
          <w:rFonts w:ascii="宋体" w:hAnsi="宋体"/>
          <w:color w:val="auto"/>
          <w:highlight w:val="none"/>
        </w:rPr>
      </w:pPr>
    </w:p>
    <w:p>
      <w:pPr>
        <w:jc w:val="center"/>
        <w:rPr>
          <w:rFonts w:ascii="宋体" w:hAnsi="宋体"/>
          <w:b/>
          <w:color w:val="auto"/>
          <w:highlight w:val="none"/>
        </w:rPr>
      </w:pPr>
      <w:bookmarkStart w:id="1082" w:name="_Toc277082652"/>
      <w:bookmarkStart w:id="1083" w:name="_Toc287607878"/>
      <w:bookmarkStart w:id="1084" w:name="_Toc224103506"/>
      <w:bookmarkStart w:id="1085" w:name="_Toc430530541"/>
      <w:bookmarkStart w:id="1086" w:name="_Toc287620825"/>
      <w:r>
        <w:rPr>
          <w:rFonts w:ascii="宋体" w:hAnsi="宋体"/>
          <w:color w:val="auto"/>
          <w:sz w:val="28"/>
          <w:highlight w:val="none"/>
        </w:rPr>
        <w:br w:type="page"/>
      </w:r>
      <w:bookmarkStart w:id="1087" w:name="_Toc509218859"/>
      <w:bookmarkStart w:id="1088" w:name="_Toc534185836"/>
      <w:r>
        <w:rPr>
          <w:color w:val="auto"/>
          <w:sz w:val="32"/>
          <w:szCs w:val="32"/>
          <w:highlight w:val="none"/>
        </w:rPr>
        <w:t>附表三：劳动力计划表</w:t>
      </w:r>
      <w:bookmarkEnd w:id="1082"/>
      <w:bookmarkEnd w:id="1083"/>
      <w:bookmarkEnd w:id="1084"/>
      <w:bookmarkEnd w:id="1085"/>
      <w:bookmarkEnd w:id="1086"/>
      <w:bookmarkEnd w:id="1087"/>
      <w:bookmarkEnd w:id="1088"/>
    </w:p>
    <w:p>
      <w:pPr>
        <w:autoSpaceDE w:val="0"/>
        <w:autoSpaceDN w:val="0"/>
        <w:adjustRightInd w:val="0"/>
        <w:snapToGrid w:val="0"/>
        <w:spacing w:line="360" w:lineRule="auto"/>
        <w:ind w:right="210"/>
        <w:jc w:val="right"/>
        <w:rPr>
          <w:rFonts w:ascii="宋体" w:hAnsi="宋体"/>
          <w:color w:val="auto"/>
          <w:kern w:val="0"/>
          <w:szCs w:val="21"/>
          <w:highlight w:val="none"/>
        </w:rPr>
      </w:pPr>
      <w:r>
        <w:rPr>
          <w:rFonts w:ascii="宋体" w:hAnsi="宋体"/>
          <w:color w:val="auto"/>
          <w:kern w:val="0"/>
          <w:szCs w:val="21"/>
          <w:highlight w:val="none"/>
        </w:rPr>
        <w:t>单位：人</w:t>
      </w:r>
    </w:p>
    <w:tbl>
      <w:tblPr>
        <w:tblStyle w:val="45"/>
        <w:tblW w:w="9498" w:type="dxa"/>
        <w:tblInd w:w="-10" w:type="dxa"/>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0" w:type="dxa"/>
          <w:bottom w:w="0" w:type="dxa"/>
          <w:right w:w="0" w:type="dxa"/>
        </w:tblCellMar>
      </w:tblPr>
      <w:tblGrid>
        <w:gridCol w:w="924"/>
        <w:gridCol w:w="1453"/>
        <w:gridCol w:w="1186"/>
        <w:gridCol w:w="1188"/>
        <w:gridCol w:w="1186"/>
        <w:gridCol w:w="1188"/>
        <w:gridCol w:w="1186"/>
        <w:gridCol w:w="1187"/>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vMerge w:val="restart"/>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工种</w:t>
            </w:r>
          </w:p>
        </w:tc>
        <w:tc>
          <w:tcPr>
            <w:tcW w:w="8574" w:type="dxa"/>
            <w:gridSpan w:val="7"/>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按工程施工阶段投入劳动力情况</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vMerge w:val="continue"/>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482" w:hRule="exact"/>
        </w:trPr>
        <w:tc>
          <w:tcPr>
            <w:tcW w:w="924" w:type="dxa"/>
          </w:tcPr>
          <w:p>
            <w:pPr>
              <w:autoSpaceDE w:val="0"/>
              <w:autoSpaceDN w:val="0"/>
              <w:adjustRightInd w:val="0"/>
              <w:snapToGrid w:val="0"/>
              <w:jc w:val="left"/>
              <w:rPr>
                <w:rFonts w:ascii="宋体" w:hAnsi="宋体"/>
                <w:color w:val="auto"/>
                <w:kern w:val="0"/>
                <w:sz w:val="24"/>
                <w:highlight w:val="none"/>
              </w:rPr>
            </w:pPr>
          </w:p>
        </w:tc>
        <w:tc>
          <w:tcPr>
            <w:tcW w:w="1453"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8" w:type="dxa"/>
          </w:tcPr>
          <w:p>
            <w:pPr>
              <w:autoSpaceDE w:val="0"/>
              <w:autoSpaceDN w:val="0"/>
              <w:adjustRightInd w:val="0"/>
              <w:snapToGrid w:val="0"/>
              <w:jc w:val="left"/>
              <w:rPr>
                <w:rFonts w:ascii="宋体" w:hAnsi="宋体"/>
                <w:color w:val="auto"/>
                <w:kern w:val="0"/>
                <w:sz w:val="24"/>
                <w:highlight w:val="none"/>
              </w:rPr>
            </w:pPr>
          </w:p>
        </w:tc>
        <w:tc>
          <w:tcPr>
            <w:tcW w:w="1186" w:type="dxa"/>
          </w:tcPr>
          <w:p>
            <w:pPr>
              <w:autoSpaceDE w:val="0"/>
              <w:autoSpaceDN w:val="0"/>
              <w:adjustRightInd w:val="0"/>
              <w:snapToGrid w:val="0"/>
              <w:jc w:val="left"/>
              <w:rPr>
                <w:rFonts w:ascii="宋体" w:hAnsi="宋体"/>
                <w:color w:val="auto"/>
                <w:kern w:val="0"/>
                <w:sz w:val="24"/>
                <w:highlight w:val="none"/>
              </w:rPr>
            </w:pPr>
          </w:p>
        </w:tc>
        <w:tc>
          <w:tcPr>
            <w:tcW w:w="1187" w:type="dxa"/>
          </w:tcPr>
          <w:p>
            <w:pPr>
              <w:autoSpaceDE w:val="0"/>
              <w:autoSpaceDN w:val="0"/>
              <w:adjustRightInd w:val="0"/>
              <w:snapToGrid w:val="0"/>
              <w:jc w:val="left"/>
              <w:rPr>
                <w:rFonts w:ascii="宋体" w:hAnsi="宋体"/>
                <w:color w:val="auto"/>
                <w:kern w:val="0"/>
                <w:sz w:val="24"/>
                <w:highlight w:val="none"/>
              </w:rPr>
            </w:pPr>
          </w:p>
        </w:tc>
      </w:tr>
    </w:tbl>
    <w:p>
      <w:pPr>
        <w:autoSpaceDE w:val="0"/>
        <w:autoSpaceDN w:val="0"/>
        <w:adjustRightInd w:val="0"/>
        <w:snapToGrid w:val="0"/>
        <w:spacing w:line="20" w:lineRule="exact"/>
        <w:jc w:val="left"/>
        <w:rPr>
          <w:rFonts w:ascii="宋体" w:hAnsi="宋体"/>
          <w:color w:val="auto"/>
          <w:kern w:val="0"/>
          <w:highlight w:val="none"/>
        </w:rPr>
      </w:pPr>
    </w:p>
    <w:p>
      <w:pPr>
        <w:jc w:val="center"/>
        <w:rPr>
          <w:rFonts w:ascii="宋体" w:hAnsi="宋体"/>
          <w:b/>
          <w:color w:val="auto"/>
          <w:highlight w:val="none"/>
        </w:rPr>
      </w:pPr>
      <w:bookmarkStart w:id="1089" w:name="_Toc430530542"/>
      <w:r>
        <w:rPr>
          <w:rFonts w:ascii="宋体" w:hAnsi="宋体"/>
          <w:color w:val="auto"/>
          <w:sz w:val="28"/>
          <w:highlight w:val="none"/>
        </w:rPr>
        <w:br w:type="page"/>
      </w:r>
      <w:bookmarkStart w:id="1090" w:name="_Toc534185837"/>
      <w:bookmarkStart w:id="1091" w:name="_Toc509218860"/>
      <w:r>
        <w:rPr>
          <w:color w:val="auto"/>
          <w:sz w:val="32"/>
          <w:szCs w:val="32"/>
          <w:highlight w:val="none"/>
        </w:rPr>
        <w:t>附表四：计划开、竣工日期和施工进度网络图</w:t>
      </w:r>
      <w:bookmarkEnd w:id="1069"/>
      <w:bookmarkEnd w:id="1070"/>
      <w:bookmarkEnd w:id="1071"/>
      <w:bookmarkEnd w:id="1072"/>
      <w:bookmarkEnd w:id="1089"/>
      <w:bookmarkEnd w:id="1090"/>
      <w:bookmarkEnd w:id="1091"/>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ind w:firstLine="420"/>
        <w:jc w:val="left"/>
        <w:rPr>
          <w:rFonts w:ascii="宋体" w:hAnsi="宋体"/>
          <w:color w:val="auto"/>
          <w:kern w:val="0"/>
          <w:szCs w:val="21"/>
          <w:highlight w:val="none"/>
        </w:rPr>
      </w:pPr>
      <w:r>
        <w:rPr>
          <w:rFonts w:ascii="宋体" w:hAnsi="宋体"/>
          <w:color w:val="auto"/>
          <w:kern w:val="0"/>
          <w:szCs w:val="21"/>
          <w:highlight w:val="none"/>
        </w:rPr>
        <w:t xml:space="preserve">1. </w:t>
      </w:r>
      <w:r>
        <w:rPr>
          <w:rFonts w:hint="eastAsia" w:ascii="宋体" w:hAnsi="宋体"/>
          <w:color w:val="auto"/>
          <w:spacing w:val="1"/>
          <w:kern w:val="0"/>
          <w:szCs w:val="21"/>
          <w:highlight w:val="none"/>
          <w:lang w:eastAsia="zh-CN"/>
        </w:rPr>
        <w:t>竞选人</w:t>
      </w:r>
      <w:r>
        <w:rPr>
          <w:rFonts w:ascii="宋体" w:hAnsi="宋体"/>
          <w:color w:val="auto"/>
          <w:spacing w:val="2"/>
          <w:kern w:val="0"/>
          <w:szCs w:val="21"/>
          <w:highlight w:val="none"/>
        </w:rPr>
        <w:t>应</w:t>
      </w:r>
      <w:r>
        <w:rPr>
          <w:rFonts w:ascii="宋体" w:hAnsi="宋体"/>
          <w:color w:val="auto"/>
          <w:spacing w:val="1"/>
          <w:kern w:val="0"/>
          <w:szCs w:val="21"/>
          <w:highlight w:val="none"/>
        </w:rPr>
        <w:t>递交</w:t>
      </w:r>
      <w:r>
        <w:rPr>
          <w:rFonts w:ascii="宋体" w:hAnsi="宋体"/>
          <w:color w:val="auto"/>
          <w:spacing w:val="2"/>
          <w:kern w:val="0"/>
          <w:szCs w:val="21"/>
          <w:highlight w:val="none"/>
        </w:rPr>
        <w:t>施</w:t>
      </w:r>
      <w:r>
        <w:rPr>
          <w:rFonts w:ascii="宋体" w:hAnsi="宋体"/>
          <w:color w:val="auto"/>
          <w:spacing w:val="1"/>
          <w:kern w:val="0"/>
          <w:szCs w:val="21"/>
          <w:highlight w:val="none"/>
        </w:rPr>
        <w:t>工</w:t>
      </w:r>
      <w:r>
        <w:rPr>
          <w:rFonts w:ascii="宋体" w:hAnsi="宋体"/>
          <w:color w:val="auto"/>
          <w:spacing w:val="2"/>
          <w:kern w:val="0"/>
          <w:szCs w:val="21"/>
          <w:highlight w:val="none"/>
        </w:rPr>
        <w:t>进</w:t>
      </w:r>
      <w:r>
        <w:rPr>
          <w:rFonts w:ascii="宋体" w:hAnsi="宋体"/>
          <w:color w:val="auto"/>
          <w:spacing w:val="1"/>
          <w:kern w:val="0"/>
          <w:szCs w:val="21"/>
          <w:highlight w:val="none"/>
        </w:rPr>
        <w:t>度网</w:t>
      </w:r>
      <w:r>
        <w:rPr>
          <w:rFonts w:ascii="宋体" w:hAnsi="宋体"/>
          <w:color w:val="auto"/>
          <w:spacing w:val="2"/>
          <w:kern w:val="0"/>
          <w:szCs w:val="21"/>
          <w:highlight w:val="none"/>
        </w:rPr>
        <w:t>络</w:t>
      </w:r>
      <w:r>
        <w:rPr>
          <w:rFonts w:ascii="宋体" w:hAnsi="宋体"/>
          <w:color w:val="auto"/>
          <w:spacing w:val="1"/>
          <w:kern w:val="0"/>
          <w:szCs w:val="21"/>
          <w:highlight w:val="none"/>
        </w:rPr>
        <w:t>图</w:t>
      </w:r>
      <w:r>
        <w:rPr>
          <w:rFonts w:ascii="宋体" w:hAnsi="宋体"/>
          <w:color w:val="auto"/>
          <w:spacing w:val="2"/>
          <w:kern w:val="0"/>
          <w:szCs w:val="21"/>
          <w:highlight w:val="none"/>
        </w:rPr>
        <w:t>或</w:t>
      </w:r>
      <w:r>
        <w:rPr>
          <w:rFonts w:ascii="宋体" w:hAnsi="宋体"/>
          <w:color w:val="auto"/>
          <w:spacing w:val="1"/>
          <w:kern w:val="0"/>
          <w:szCs w:val="21"/>
          <w:highlight w:val="none"/>
        </w:rPr>
        <w:t>施工</w:t>
      </w:r>
      <w:r>
        <w:rPr>
          <w:rFonts w:ascii="宋体" w:hAnsi="宋体"/>
          <w:color w:val="auto"/>
          <w:spacing w:val="2"/>
          <w:kern w:val="0"/>
          <w:szCs w:val="21"/>
          <w:highlight w:val="none"/>
        </w:rPr>
        <w:t>进</w:t>
      </w:r>
      <w:r>
        <w:rPr>
          <w:rFonts w:ascii="宋体" w:hAnsi="宋体"/>
          <w:color w:val="auto"/>
          <w:spacing w:val="1"/>
          <w:kern w:val="0"/>
          <w:szCs w:val="21"/>
          <w:highlight w:val="none"/>
        </w:rPr>
        <w:t>度</w:t>
      </w:r>
      <w:r>
        <w:rPr>
          <w:rFonts w:ascii="宋体" w:hAnsi="宋体"/>
          <w:color w:val="auto"/>
          <w:spacing w:val="2"/>
          <w:kern w:val="0"/>
          <w:szCs w:val="21"/>
          <w:highlight w:val="none"/>
        </w:rPr>
        <w:t>表</w:t>
      </w:r>
      <w:r>
        <w:rPr>
          <w:rFonts w:ascii="宋体" w:hAnsi="宋体"/>
          <w:color w:val="auto"/>
          <w:spacing w:val="1"/>
          <w:kern w:val="0"/>
          <w:szCs w:val="21"/>
          <w:highlight w:val="none"/>
        </w:rPr>
        <w:t>，说</w:t>
      </w:r>
      <w:r>
        <w:rPr>
          <w:rFonts w:ascii="宋体" w:hAnsi="宋体"/>
          <w:color w:val="auto"/>
          <w:spacing w:val="2"/>
          <w:kern w:val="0"/>
          <w:szCs w:val="21"/>
          <w:highlight w:val="none"/>
        </w:rPr>
        <w:t>明</w:t>
      </w:r>
      <w:r>
        <w:rPr>
          <w:rFonts w:ascii="宋体" w:hAnsi="宋体"/>
          <w:color w:val="auto"/>
          <w:spacing w:val="1"/>
          <w:kern w:val="0"/>
          <w:szCs w:val="21"/>
          <w:highlight w:val="none"/>
        </w:rPr>
        <w:t>按</w:t>
      </w:r>
      <w:r>
        <w:rPr>
          <w:rFonts w:ascii="宋体" w:hAnsi="宋体"/>
          <w:color w:val="auto"/>
          <w:spacing w:val="2"/>
          <w:kern w:val="0"/>
          <w:szCs w:val="21"/>
          <w:highlight w:val="none"/>
        </w:rPr>
        <w:t>招</w:t>
      </w:r>
      <w:r>
        <w:rPr>
          <w:rFonts w:ascii="宋体" w:hAnsi="宋体"/>
          <w:color w:val="auto"/>
          <w:spacing w:val="1"/>
          <w:kern w:val="0"/>
          <w:szCs w:val="21"/>
          <w:highlight w:val="none"/>
        </w:rPr>
        <w:t>标文</w:t>
      </w:r>
      <w:r>
        <w:rPr>
          <w:rFonts w:ascii="宋体" w:hAnsi="宋体"/>
          <w:color w:val="auto"/>
          <w:spacing w:val="2"/>
          <w:kern w:val="0"/>
          <w:szCs w:val="21"/>
          <w:highlight w:val="none"/>
        </w:rPr>
        <w:t>件</w:t>
      </w:r>
      <w:r>
        <w:rPr>
          <w:rFonts w:ascii="宋体" w:hAnsi="宋体"/>
          <w:color w:val="auto"/>
          <w:spacing w:val="1"/>
          <w:kern w:val="0"/>
          <w:szCs w:val="21"/>
          <w:highlight w:val="none"/>
        </w:rPr>
        <w:t>要</w:t>
      </w:r>
      <w:r>
        <w:rPr>
          <w:rFonts w:ascii="宋体" w:hAnsi="宋体"/>
          <w:color w:val="auto"/>
          <w:spacing w:val="2"/>
          <w:kern w:val="0"/>
          <w:szCs w:val="21"/>
          <w:highlight w:val="none"/>
        </w:rPr>
        <w:t>求</w:t>
      </w:r>
      <w:r>
        <w:rPr>
          <w:rFonts w:ascii="宋体" w:hAnsi="宋体"/>
          <w:color w:val="auto"/>
          <w:spacing w:val="1"/>
          <w:kern w:val="0"/>
          <w:szCs w:val="21"/>
          <w:highlight w:val="none"/>
        </w:rPr>
        <w:t>的计</w:t>
      </w:r>
      <w:r>
        <w:rPr>
          <w:rFonts w:ascii="宋体" w:hAnsi="宋体"/>
          <w:color w:val="auto"/>
          <w:spacing w:val="2"/>
          <w:kern w:val="0"/>
          <w:szCs w:val="21"/>
          <w:highlight w:val="none"/>
        </w:rPr>
        <w:t>划</w:t>
      </w:r>
      <w:r>
        <w:rPr>
          <w:rFonts w:ascii="宋体" w:hAnsi="宋体"/>
          <w:color w:val="auto"/>
          <w:spacing w:val="1"/>
          <w:kern w:val="0"/>
          <w:szCs w:val="21"/>
          <w:highlight w:val="none"/>
        </w:rPr>
        <w:t>工</w:t>
      </w:r>
      <w:r>
        <w:rPr>
          <w:rFonts w:ascii="宋体" w:hAnsi="宋体"/>
          <w:color w:val="auto"/>
          <w:spacing w:val="4"/>
          <w:kern w:val="0"/>
          <w:szCs w:val="21"/>
          <w:highlight w:val="none"/>
        </w:rPr>
        <w:t>期</w:t>
      </w:r>
      <w:r>
        <w:rPr>
          <w:rFonts w:ascii="宋体" w:hAnsi="宋体"/>
          <w:color w:val="auto"/>
          <w:spacing w:val="2"/>
          <w:kern w:val="0"/>
          <w:szCs w:val="21"/>
          <w:highlight w:val="none"/>
        </w:rPr>
        <w:t>进</w:t>
      </w:r>
      <w:r>
        <w:rPr>
          <w:rFonts w:ascii="宋体" w:hAnsi="宋体"/>
          <w:color w:val="auto"/>
          <w:spacing w:val="1"/>
          <w:kern w:val="0"/>
          <w:szCs w:val="21"/>
          <w:highlight w:val="none"/>
        </w:rPr>
        <w:t>行</w:t>
      </w:r>
      <w:r>
        <w:rPr>
          <w:rFonts w:ascii="宋体" w:hAnsi="宋体"/>
          <w:color w:val="auto"/>
          <w:kern w:val="0"/>
          <w:szCs w:val="21"/>
          <w:highlight w:val="none"/>
        </w:rPr>
        <w:t>施工的各个关键日期。</w:t>
      </w:r>
    </w:p>
    <w:p>
      <w:pPr>
        <w:autoSpaceDE w:val="0"/>
        <w:autoSpaceDN w:val="0"/>
        <w:adjustRightInd w:val="0"/>
        <w:snapToGrid w:val="0"/>
        <w:spacing w:line="360" w:lineRule="auto"/>
        <w:ind w:firstLine="424" w:firstLineChars="202"/>
        <w:jc w:val="left"/>
        <w:rPr>
          <w:rFonts w:ascii="宋体" w:hAnsi="宋体"/>
          <w:color w:val="auto"/>
          <w:kern w:val="0"/>
          <w:szCs w:val="21"/>
          <w:highlight w:val="none"/>
        </w:rPr>
      </w:pPr>
      <w:r>
        <w:rPr>
          <w:rFonts w:ascii="宋体" w:hAnsi="宋体"/>
          <w:color w:val="auto"/>
          <w:kern w:val="0"/>
          <w:szCs w:val="21"/>
          <w:highlight w:val="none"/>
        </w:rPr>
        <w:t>2.施工进</w:t>
      </w:r>
      <w:r>
        <w:rPr>
          <w:rFonts w:ascii="宋体" w:hAnsi="宋体"/>
          <w:color w:val="auto"/>
          <w:spacing w:val="-1"/>
          <w:kern w:val="0"/>
          <w:szCs w:val="21"/>
          <w:highlight w:val="none"/>
        </w:rPr>
        <w:t>度</w:t>
      </w:r>
      <w:r>
        <w:rPr>
          <w:rFonts w:ascii="宋体" w:hAnsi="宋体"/>
          <w:color w:val="auto"/>
          <w:kern w:val="0"/>
          <w:szCs w:val="21"/>
          <w:highlight w:val="none"/>
        </w:rPr>
        <w:t>表可采用网络图（或横道图）表示。</w:t>
      </w:r>
    </w:p>
    <w:p>
      <w:pPr>
        <w:autoSpaceDE w:val="0"/>
        <w:autoSpaceDN w:val="0"/>
        <w:adjustRightInd w:val="0"/>
        <w:snapToGrid w:val="0"/>
        <w:spacing w:line="360" w:lineRule="auto"/>
        <w:jc w:val="left"/>
        <w:rPr>
          <w:rFonts w:ascii="宋体" w:hAnsi="宋体"/>
          <w:color w:val="auto"/>
          <w:kern w:val="0"/>
          <w:sz w:val="24"/>
          <w:highlight w:val="none"/>
        </w:rPr>
      </w:pPr>
    </w:p>
    <w:p>
      <w:pPr>
        <w:jc w:val="center"/>
        <w:rPr>
          <w:rFonts w:ascii="宋体" w:hAnsi="宋体"/>
          <w:color w:val="auto"/>
          <w:sz w:val="28"/>
          <w:highlight w:val="none"/>
        </w:rPr>
      </w:pPr>
      <w:bookmarkStart w:id="1092" w:name="_Toc224103508"/>
      <w:bookmarkStart w:id="1093" w:name="_Toc287607880"/>
      <w:bookmarkStart w:id="1094" w:name="_Toc430530543"/>
      <w:bookmarkStart w:id="1095" w:name="_Toc277082654"/>
      <w:bookmarkStart w:id="1096" w:name="_Toc287620827"/>
      <w:r>
        <w:rPr>
          <w:rFonts w:ascii="宋体" w:hAnsi="宋体"/>
          <w:color w:val="auto"/>
          <w:sz w:val="28"/>
          <w:highlight w:val="none"/>
        </w:rPr>
        <w:br w:type="page"/>
      </w:r>
      <w:bookmarkStart w:id="1097" w:name="_Toc509218861"/>
      <w:bookmarkStart w:id="1098" w:name="_Toc534185838"/>
      <w:r>
        <w:rPr>
          <w:color w:val="auto"/>
          <w:sz w:val="32"/>
          <w:szCs w:val="32"/>
          <w:highlight w:val="none"/>
        </w:rPr>
        <w:t>附表五：施工总平面图</w:t>
      </w:r>
      <w:bookmarkEnd w:id="1092"/>
      <w:bookmarkEnd w:id="1093"/>
      <w:bookmarkEnd w:id="1094"/>
      <w:bookmarkEnd w:id="1095"/>
      <w:bookmarkEnd w:id="1096"/>
      <w:bookmarkEnd w:id="1097"/>
      <w:bookmarkEnd w:id="1098"/>
    </w:p>
    <w:p>
      <w:pPr>
        <w:autoSpaceDE w:val="0"/>
        <w:autoSpaceDN w:val="0"/>
        <w:adjustRightInd w:val="0"/>
        <w:snapToGrid w:val="0"/>
        <w:spacing w:line="360" w:lineRule="auto"/>
        <w:jc w:val="left"/>
        <w:rPr>
          <w:rFonts w:ascii="宋体" w:hAnsi="宋体"/>
          <w:color w:val="auto"/>
          <w:kern w:val="0"/>
          <w:sz w:val="20"/>
          <w:szCs w:val="20"/>
          <w:highlight w:val="none"/>
        </w:rPr>
      </w:pPr>
    </w:p>
    <w:p>
      <w:pPr>
        <w:autoSpaceDE w:val="0"/>
        <w:autoSpaceDN w:val="0"/>
        <w:adjustRightInd w:val="0"/>
        <w:snapToGrid w:val="0"/>
        <w:spacing w:line="360" w:lineRule="auto"/>
        <w:ind w:firstLine="424" w:firstLineChars="202"/>
        <w:jc w:val="left"/>
        <w:rPr>
          <w:rFonts w:ascii="宋体" w:hAnsi="宋体"/>
          <w:color w:val="auto"/>
          <w:kern w:val="0"/>
          <w:szCs w:val="21"/>
          <w:highlight w:val="none"/>
        </w:rPr>
      </w:pPr>
      <w:r>
        <w:rPr>
          <w:rFonts w:hint="eastAsia" w:ascii="宋体" w:hAnsi="宋体"/>
          <w:color w:val="auto"/>
          <w:kern w:val="0"/>
          <w:szCs w:val="21"/>
          <w:highlight w:val="none"/>
          <w:lang w:eastAsia="zh-CN"/>
        </w:rPr>
        <w:t>竞选人</w:t>
      </w:r>
      <w:r>
        <w:rPr>
          <w:rFonts w:ascii="宋体" w:hAnsi="宋体"/>
          <w:color w:val="auto"/>
          <w:kern w:val="0"/>
          <w:szCs w:val="21"/>
          <w:highlight w:val="none"/>
        </w:rPr>
        <w:t>应递交一份施工总平面图</w:t>
      </w:r>
      <w:r>
        <w:rPr>
          <w:rFonts w:ascii="宋体" w:hAnsi="宋体"/>
          <w:color w:val="auto"/>
          <w:spacing w:val="-47"/>
          <w:kern w:val="0"/>
          <w:szCs w:val="21"/>
          <w:highlight w:val="none"/>
        </w:rPr>
        <w:t>，</w:t>
      </w:r>
      <w:r>
        <w:rPr>
          <w:rFonts w:ascii="宋体" w:hAnsi="宋体"/>
          <w:color w:val="auto"/>
          <w:kern w:val="0"/>
          <w:szCs w:val="21"/>
          <w:highlight w:val="none"/>
        </w:rPr>
        <w:t>绘出现场临时设施布置图表并附文字说明</w:t>
      </w:r>
      <w:r>
        <w:rPr>
          <w:rFonts w:ascii="宋体" w:hAnsi="宋体"/>
          <w:color w:val="auto"/>
          <w:spacing w:val="-47"/>
          <w:kern w:val="0"/>
          <w:szCs w:val="21"/>
          <w:highlight w:val="none"/>
        </w:rPr>
        <w:t>，</w:t>
      </w:r>
      <w:r>
        <w:rPr>
          <w:rFonts w:ascii="宋体" w:hAnsi="宋体"/>
          <w:color w:val="auto"/>
          <w:kern w:val="0"/>
          <w:szCs w:val="21"/>
          <w:highlight w:val="none"/>
        </w:rPr>
        <w:t>说明临时 设施</w:t>
      </w:r>
      <w:r>
        <w:rPr>
          <w:rFonts w:ascii="宋体" w:hAnsi="宋体"/>
          <w:color w:val="auto"/>
          <w:spacing w:val="-11"/>
          <w:kern w:val="0"/>
          <w:szCs w:val="21"/>
          <w:highlight w:val="none"/>
        </w:rPr>
        <w:t>、</w:t>
      </w:r>
      <w:r>
        <w:rPr>
          <w:rFonts w:ascii="宋体" w:hAnsi="宋体"/>
          <w:color w:val="auto"/>
          <w:kern w:val="0"/>
          <w:szCs w:val="21"/>
          <w:highlight w:val="none"/>
        </w:rPr>
        <w:t>加工车间</w:t>
      </w:r>
      <w:r>
        <w:rPr>
          <w:rFonts w:ascii="宋体" w:hAnsi="宋体"/>
          <w:color w:val="auto"/>
          <w:spacing w:val="-11"/>
          <w:kern w:val="0"/>
          <w:szCs w:val="21"/>
          <w:highlight w:val="none"/>
        </w:rPr>
        <w:t>、</w:t>
      </w:r>
      <w:r>
        <w:rPr>
          <w:rFonts w:ascii="宋体" w:hAnsi="宋体"/>
          <w:color w:val="auto"/>
          <w:kern w:val="0"/>
          <w:szCs w:val="21"/>
          <w:highlight w:val="none"/>
        </w:rPr>
        <w:t>现场办公</w:t>
      </w:r>
      <w:r>
        <w:rPr>
          <w:rFonts w:ascii="宋体" w:hAnsi="宋体"/>
          <w:color w:val="auto"/>
          <w:spacing w:val="-11"/>
          <w:kern w:val="0"/>
          <w:szCs w:val="21"/>
          <w:highlight w:val="none"/>
        </w:rPr>
        <w:t>、</w:t>
      </w:r>
      <w:r>
        <w:rPr>
          <w:rFonts w:ascii="宋体" w:hAnsi="宋体"/>
          <w:color w:val="auto"/>
          <w:kern w:val="0"/>
          <w:szCs w:val="21"/>
          <w:highlight w:val="none"/>
        </w:rPr>
        <w:t>设备及仓储</w:t>
      </w:r>
      <w:r>
        <w:rPr>
          <w:rFonts w:ascii="宋体" w:hAnsi="宋体"/>
          <w:color w:val="auto"/>
          <w:spacing w:val="-11"/>
          <w:kern w:val="0"/>
          <w:szCs w:val="21"/>
          <w:highlight w:val="none"/>
        </w:rPr>
        <w:t>、</w:t>
      </w:r>
      <w:r>
        <w:rPr>
          <w:rFonts w:ascii="宋体" w:hAnsi="宋体"/>
          <w:color w:val="auto"/>
          <w:kern w:val="0"/>
          <w:szCs w:val="21"/>
          <w:highlight w:val="none"/>
        </w:rPr>
        <w:t>供电</w:t>
      </w:r>
      <w:r>
        <w:rPr>
          <w:rFonts w:ascii="宋体" w:hAnsi="宋体"/>
          <w:color w:val="auto"/>
          <w:spacing w:val="-11"/>
          <w:kern w:val="0"/>
          <w:szCs w:val="21"/>
          <w:highlight w:val="none"/>
        </w:rPr>
        <w:t>、</w:t>
      </w:r>
      <w:r>
        <w:rPr>
          <w:rFonts w:ascii="宋体" w:hAnsi="宋体"/>
          <w:color w:val="auto"/>
          <w:kern w:val="0"/>
          <w:szCs w:val="21"/>
          <w:highlight w:val="none"/>
        </w:rPr>
        <w:t>供水</w:t>
      </w:r>
      <w:r>
        <w:rPr>
          <w:rFonts w:ascii="宋体" w:hAnsi="宋体"/>
          <w:color w:val="auto"/>
          <w:spacing w:val="-10"/>
          <w:kern w:val="0"/>
          <w:szCs w:val="21"/>
          <w:highlight w:val="none"/>
        </w:rPr>
        <w:t>、</w:t>
      </w:r>
      <w:r>
        <w:rPr>
          <w:rFonts w:ascii="宋体" w:hAnsi="宋体"/>
          <w:color w:val="auto"/>
          <w:kern w:val="0"/>
          <w:szCs w:val="21"/>
          <w:highlight w:val="none"/>
        </w:rPr>
        <w:t>卫生</w:t>
      </w:r>
      <w:r>
        <w:rPr>
          <w:rFonts w:ascii="宋体" w:hAnsi="宋体"/>
          <w:color w:val="auto"/>
          <w:spacing w:val="-11"/>
          <w:kern w:val="0"/>
          <w:szCs w:val="21"/>
          <w:highlight w:val="none"/>
        </w:rPr>
        <w:t>、</w:t>
      </w:r>
      <w:r>
        <w:rPr>
          <w:rFonts w:ascii="宋体" w:hAnsi="宋体"/>
          <w:color w:val="auto"/>
          <w:kern w:val="0"/>
          <w:szCs w:val="21"/>
          <w:highlight w:val="none"/>
        </w:rPr>
        <w:t>生活</w:t>
      </w:r>
      <w:r>
        <w:rPr>
          <w:rFonts w:ascii="宋体" w:hAnsi="宋体"/>
          <w:color w:val="auto"/>
          <w:spacing w:val="-11"/>
          <w:kern w:val="0"/>
          <w:szCs w:val="21"/>
          <w:highlight w:val="none"/>
        </w:rPr>
        <w:t>、</w:t>
      </w:r>
      <w:r>
        <w:rPr>
          <w:rFonts w:ascii="宋体" w:hAnsi="宋体"/>
          <w:color w:val="auto"/>
          <w:kern w:val="0"/>
          <w:szCs w:val="21"/>
          <w:highlight w:val="none"/>
        </w:rPr>
        <w:t>道路</w:t>
      </w:r>
      <w:r>
        <w:rPr>
          <w:rFonts w:ascii="宋体" w:hAnsi="宋体"/>
          <w:color w:val="auto"/>
          <w:spacing w:val="-11"/>
          <w:kern w:val="0"/>
          <w:szCs w:val="21"/>
          <w:highlight w:val="none"/>
        </w:rPr>
        <w:t>、</w:t>
      </w:r>
      <w:r>
        <w:rPr>
          <w:rFonts w:ascii="宋体" w:hAnsi="宋体"/>
          <w:color w:val="auto"/>
          <w:spacing w:val="1"/>
          <w:kern w:val="0"/>
          <w:szCs w:val="21"/>
          <w:highlight w:val="none"/>
        </w:rPr>
        <w:t>消</w:t>
      </w:r>
      <w:r>
        <w:rPr>
          <w:rFonts w:ascii="宋体" w:hAnsi="宋体"/>
          <w:color w:val="auto"/>
          <w:kern w:val="0"/>
          <w:szCs w:val="21"/>
          <w:highlight w:val="none"/>
        </w:rPr>
        <w:t>防等设施的情况和布置。</w:t>
      </w:r>
    </w:p>
    <w:p>
      <w:pPr>
        <w:autoSpaceDE w:val="0"/>
        <w:autoSpaceDN w:val="0"/>
        <w:adjustRightInd w:val="0"/>
        <w:snapToGrid w:val="0"/>
        <w:spacing w:line="360" w:lineRule="auto"/>
        <w:jc w:val="left"/>
        <w:rPr>
          <w:rFonts w:ascii="宋体" w:hAnsi="宋体"/>
          <w:color w:val="auto"/>
          <w:kern w:val="0"/>
          <w:szCs w:val="21"/>
          <w:highlight w:val="none"/>
        </w:rPr>
      </w:pPr>
      <w:r>
        <w:rPr>
          <w:rFonts w:ascii="宋体" w:hAnsi="宋体"/>
          <w:color w:val="auto"/>
          <w:kern w:val="0"/>
          <w:szCs w:val="21"/>
          <w:highlight w:val="none"/>
        </w:rPr>
        <w:br w:type="page"/>
      </w:r>
    </w:p>
    <w:p>
      <w:pPr>
        <w:jc w:val="center"/>
        <w:rPr>
          <w:color w:val="auto"/>
          <w:sz w:val="32"/>
          <w:szCs w:val="32"/>
          <w:highlight w:val="none"/>
        </w:rPr>
      </w:pPr>
      <w:bookmarkStart w:id="1099" w:name="_Toc277082655"/>
      <w:bookmarkStart w:id="1100" w:name="_Toc509218862"/>
      <w:bookmarkStart w:id="1101" w:name="_Toc287620828"/>
      <w:bookmarkStart w:id="1102" w:name="_Toc534185839"/>
      <w:bookmarkStart w:id="1103" w:name="_Toc430530544"/>
      <w:bookmarkStart w:id="1104" w:name="_Toc224103509"/>
      <w:bookmarkStart w:id="1105" w:name="_Toc287607881"/>
      <w:r>
        <w:rPr>
          <w:rFonts w:hint="eastAsia"/>
          <w:color w:val="auto"/>
          <w:sz w:val="32"/>
          <w:szCs w:val="32"/>
          <w:highlight w:val="none"/>
        </w:rPr>
        <w:t>附表六：临时用地表</w:t>
      </w:r>
      <w:bookmarkEnd w:id="1099"/>
      <w:bookmarkEnd w:id="1100"/>
      <w:bookmarkEnd w:id="1101"/>
      <w:bookmarkEnd w:id="1102"/>
      <w:bookmarkEnd w:id="1103"/>
      <w:bookmarkEnd w:id="1104"/>
      <w:bookmarkEnd w:id="1105"/>
    </w:p>
    <w:tbl>
      <w:tblPr>
        <w:tblStyle w:val="45"/>
        <w:tblW w:w="9529" w:type="dxa"/>
        <w:tblInd w:w="-10" w:type="dxa"/>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0" w:type="dxa"/>
          <w:bottom w:w="0" w:type="dxa"/>
          <w:right w:w="0" w:type="dxa"/>
        </w:tblCellMar>
      </w:tblPr>
      <w:tblGrid>
        <w:gridCol w:w="2381"/>
        <w:gridCol w:w="2381"/>
        <w:gridCol w:w="2383"/>
        <w:gridCol w:w="2384"/>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用 途</w:t>
            </w:r>
          </w:p>
        </w:tc>
        <w:tc>
          <w:tcPr>
            <w:tcW w:w="2381" w:type="dxa"/>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面 积（平</w:t>
            </w:r>
            <w:r>
              <w:rPr>
                <w:rFonts w:ascii="宋体" w:hAnsi="宋体"/>
                <w:color w:val="auto"/>
                <w:spacing w:val="-1"/>
                <w:kern w:val="0"/>
                <w:szCs w:val="21"/>
                <w:highlight w:val="none"/>
              </w:rPr>
              <w:t>方</w:t>
            </w:r>
            <w:r>
              <w:rPr>
                <w:rFonts w:ascii="宋体" w:hAnsi="宋体"/>
                <w:color w:val="auto"/>
                <w:kern w:val="0"/>
                <w:szCs w:val="21"/>
                <w:highlight w:val="none"/>
              </w:rPr>
              <w:t>米）</w:t>
            </w:r>
          </w:p>
        </w:tc>
        <w:tc>
          <w:tcPr>
            <w:tcW w:w="2383" w:type="dxa"/>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位 置</w:t>
            </w:r>
          </w:p>
        </w:tc>
        <w:tc>
          <w:tcPr>
            <w:tcW w:w="2384" w:type="dxa"/>
            <w:vAlign w:val="center"/>
          </w:tcPr>
          <w:p>
            <w:pPr>
              <w:autoSpaceDE w:val="0"/>
              <w:autoSpaceDN w:val="0"/>
              <w:adjustRightInd w:val="0"/>
              <w:snapToGrid w:val="0"/>
              <w:jc w:val="center"/>
              <w:rPr>
                <w:rFonts w:ascii="宋体" w:hAnsi="宋体"/>
                <w:color w:val="auto"/>
                <w:kern w:val="0"/>
                <w:sz w:val="24"/>
                <w:highlight w:val="none"/>
              </w:rPr>
            </w:pPr>
            <w:r>
              <w:rPr>
                <w:rFonts w:ascii="宋体" w:hAnsi="宋体"/>
                <w:color w:val="auto"/>
                <w:kern w:val="0"/>
                <w:szCs w:val="21"/>
                <w:highlight w:val="none"/>
              </w:rPr>
              <w:t>需用时间</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19" w:hRule="exact"/>
        </w:trPr>
        <w:tc>
          <w:tcPr>
            <w:tcW w:w="2381" w:type="dxa"/>
          </w:tcPr>
          <w:p>
            <w:pPr>
              <w:autoSpaceDE w:val="0"/>
              <w:autoSpaceDN w:val="0"/>
              <w:adjustRightInd w:val="0"/>
              <w:snapToGrid w:val="0"/>
              <w:jc w:val="left"/>
              <w:rPr>
                <w:rFonts w:ascii="宋体" w:hAnsi="宋体"/>
                <w:color w:val="auto"/>
                <w:kern w:val="0"/>
                <w:sz w:val="24"/>
                <w:highlight w:val="none"/>
              </w:rPr>
            </w:pPr>
          </w:p>
        </w:tc>
        <w:tc>
          <w:tcPr>
            <w:tcW w:w="2381" w:type="dxa"/>
          </w:tcPr>
          <w:p>
            <w:pPr>
              <w:autoSpaceDE w:val="0"/>
              <w:autoSpaceDN w:val="0"/>
              <w:adjustRightInd w:val="0"/>
              <w:snapToGrid w:val="0"/>
              <w:jc w:val="left"/>
              <w:rPr>
                <w:rFonts w:ascii="宋体" w:hAnsi="宋体"/>
                <w:color w:val="auto"/>
                <w:kern w:val="0"/>
                <w:sz w:val="24"/>
                <w:highlight w:val="none"/>
              </w:rPr>
            </w:pPr>
          </w:p>
        </w:tc>
        <w:tc>
          <w:tcPr>
            <w:tcW w:w="2383" w:type="dxa"/>
          </w:tcPr>
          <w:p>
            <w:pPr>
              <w:autoSpaceDE w:val="0"/>
              <w:autoSpaceDN w:val="0"/>
              <w:adjustRightInd w:val="0"/>
              <w:snapToGrid w:val="0"/>
              <w:jc w:val="left"/>
              <w:rPr>
                <w:rFonts w:ascii="宋体" w:hAnsi="宋体"/>
                <w:color w:val="auto"/>
                <w:kern w:val="0"/>
                <w:sz w:val="24"/>
                <w:highlight w:val="none"/>
              </w:rPr>
            </w:pPr>
          </w:p>
        </w:tc>
        <w:tc>
          <w:tcPr>
            <w:tcW w:w="2384" w:type="dxa"/>
          </w:tcPr>
          <w:p>
            <w:pPr>
              <w:autoSpaceDE w:val="0"/>
              <w:autoSpaceDN w:val="0"/>
              <w:adjustRightInd w:val="0"/>
              <w:snapToGrid w:val="0"/>
              <w:jc w:val="left"/>
              <w:rPr>
                <w:rFonts w:ascii="宋体" w:hAnsi="宋体"/>
                <w:color w:val="auto"/>
                <w:kern w:val="0"/>
                <w:sz w:val="24"/>
                <w:highlight w:val="none"/>
              </w:rPr>
            </w:pPr>
          </w:p>
        </w:tc>
      </w:tr>
    </w:tbl>
    <w:p>
      <w:pPr>
        <w:autoSpaceDE w:val="0"/>
        <w:autoSpaceDN w:val="0"/>
        <w:adjustRightInd w:val="0"/>
        <w:snapToGrid w:val="0"/>
        <w:spacing w:line="20" w:lineRule="exact"/>
        <w:jc w:val="left"/>
        <w:rPr>
          <w:rFonts w:ascii="宋体" w:hAnsi="宋体"/>
          <w:color w:val="auto"/>
          <w:kern w:val="0"/>
          <w:highlight w:val="none"/>
        </w:rPr>
      </w:pPr>
    </w:p>
    <w:p>
      <w:pPr>
        <w:autoSpaceDE w:val="0"/>
        <w:autoSpaceDN w:val="0"/>
        <w:adjustRightInd w:val="0"/>
        <w:snapToGrid w:val="0"/>
        <w:spacing w:line="360" w:lineRule="auto"/>
        <w:jc w:val="center"/>
        <w:rPr>
          <w:rFonts w:ascii="宋体" w:hAnsi="宋体"/>
          <w:color w:val="auto"/>
          <w:sz w:val="36"/>
          <w:szCs w:val="36"/>
          <w:highlight w:val="none"/>
        </w:rPr>
      </w:pPr>
      <w:r>
        <w:rPr>
          <w:rFonts w:ascii="宋体" w:hAnsi="宋体"/>
          <w:color w:val="auto"/>
          <w:sz w:val="36"/>
          <w:szCs w:val="36"/>
          <w:highlight w:val="none"/>
        </w:rPr>
        <w:br w:type="page"/>
      </w:r>
    </w:p>
    <w:p>
      <w:pPr>
        <w:pStyle w:val="4"/>
        <w:spacing w:line="360" w:lineRule="auto"/>
        <w:jc w:val="center"/>
        <w:rPr>
          <w:rFonts w:ascii="宋体" w:hAnsi="宋体"/>
          <w:b w:val="0"/>
          <w:bCs w:val="0"/>
          <w:color w:val="auto"/>
          <w:sz w:val="44"/>
          <w:szCs w:val="44"/>
          <w:highlight w:val="none"/>
        </w:rPr>
      </w:pPr>
      <w:bookmarkStart w:id="1106" w:name="_Toc287620829"/>
      <w:bookmarkStart w:id="1107" w:name="_Toc430530545"/>
      <w:bookmarkStart w:id="1108" w:name="_Toc287607882"/>
      <w:bookmarkStart w:id="1109" w:name="_Toc224103510"/>
      <w:bookmarkStart w:id="1110" w:name="_Toc277082656"/>
      <w:bookmarkStart w:id="1111" w:name="_Toc27141"/>
      <w:bookmarkStart w:id="1112" w:name="_Toc18500"/>
      <w:r>
        <w:rPr>
          <w:rFonts w:hint="eastAsia" w:ascii="宋体" w:hAnsi="宋体"/>
          <w:b w:val="0"/>
          <w:bCs w:val="0"/>
          <w:color w:val="auto"/>
          <w:sz w:val="44"/>
          <w:szCs w:val="44"/>
          <w:highlight w:val="none"/>
          <w:lang w:val="en-US" w:eastAsia="zh-CN"/>
        </w:rPr>
        <w:t>五</w:t>
      </w:r>
      <w:r>
        <w:rPr>
          <w:rFonts w:hint="eastAsia" w:ascii="宋体" w:hAnsi="宋体"/>
          <w:b w:val="0"/>
          <w:bCs w:val="0"/>
          <w:color w:val="auto"/>
          <w:sz w:val="44"/>
          <w:szCs w:val="44"/>
          <w:highlight w:val="none"/>
        </w:rPr>
        <w:t>、</w:t>
      </w:r>
      <w:bookmarkEnd w:id="1106"/>
      <w:bookmarkEnd w:id="1107"/>
      <w:bookmarkEnd w:id="1108"/>
      <w:bookmarkEnd w:id="1109"/>
      <w:bookmarkEnd w:id="1110"/>
      <w:r>
        <w:rPr>
          <w:rFonts w:hint="eastAsia" w:ascii="宋体" w:hAnsi="宋体"/>
          <w:b w:val="0"/>
          <w:bCs w:val="0"/>
          <w:color w:val="auto"/>
          <w:sz w:val="44"/>
          <w:szCs w:val="44"/>
          <w:highlight w:val="none"/>
        </w:rPr>
        <w:t>资格审查部分</w:t>
      </w:r>
      <w:bookmarkEnd w:id="1111"/>
      <w:bookmarkEnd w:id="1112"/>
    </w:p>
    <w:p>
      <w:pPr>
        <w:spacing w:line="360" w:lineRule="auto"/>
        <w:rPr>
          <w:rFonts w:ascii="宋体" w:hAnsi="宋体"/>
          <w:color w:val="auto"/>
          <w:sz w:val="32"/>
          <w:szCs w:val="32"/>
          <w:highlight w:val="none"/>
        </w:rPr>
      </w:pPr>
    </w:p>
    <w:p>
      <w:pPr>
        <w:spacing w:line="360" w:lineRule="auto"/>
        <w:rPr>
          <w:rFonts w:ascii="宋体" w:hAnsi="宋体"/>
          <w:color w:val="auto"/>
          <w:sz w:val="32"/>
          <w:szCs w:val="32"/>
          <w:highlight w:val="none"/>
        </w:rPr>
      </w:pPr>
      <w:r>
        <w:rPr>
          <w:rFonts w:ascii="宋体" w:hAnsi="宋体"/>
          <w:color w:val="auto"/>
          <w:sz w:val="32"/>
          <w:szCs w:val="32"/>
          <w:highlight w:val="none"/>
        </w:rPr>
        <w:br w:type="page"/>
      </w:r>
    </w:p>
    <w:p>
      <w:pPr>
        <w:spacing w:line="360" w:lineRule="auto"/>
        <w:jc w:val="center"/>
        <w:rPr>
          <w:rFonts w:ascii="宋体" w:hAnsi="宋体"/>
          <w:color w:val="auto"/>
          <w:kern w:val="0"/>
          <w:sz w:val="32"/>
          <w:szCs w:val="32"/>
          <w:highlight w:val="none"/>
        </w:rPr>
      </w:pPr>
      <w:r>
        <w:rPr>
          <w:rFonts w:hint="eastAsia" w:ascii="宋体" w:hAnsi="宋体"/>
          <w:color w:val="auto"/>
          <w:kern w:val="0"/>
          <w:sz w:val="32"/>
          <w:szCs w:val="32"/>
          <w:highlight w:val="none"/>
          <w:u w:val="single"/>
        </w:rPr>
        <w:t xml:space="preserve">                   （项目名称）</w:t>
      </w:r>
    </w:p>
    <w:p>
      <w:pPr>
        <w:tabs>
          <w:tab w:val="left" w:pos="3600"/>
          <w:tab w:val="left" w:pos="4480"/>
          <w:tab w:val="left" w:pos="5360"/>
        </w:tabs>
        <w:autoSpaceDE w:val="0"/>
        <w:autoSpaceDN w:val="0"/>
        <w:adjustRightInd w:val="0"/>
        <w:snapToGrid w:val="0"/>
        <w:spacing w:line="360" w:lineRule="auto"/>
        <w:jc w:val="left"/>
        <w:rPr>
          <w:rFonts w:ascii="宋体" w:hAnsi="宋体" w:cs="MingLiU"/>
          <w:color w:val="auto"/>
          <w:kern w:val="0"/>
          <w:sz w:val="44"/>
          <w:szCs w:val="44"/>
          <w:highlight w:val="none"/>
        </w:rPr>
      </w:pPr>
    </w:p>
    <w:p>
      <w:pPr>
        <w:tabs>
          <w:tab w:val="left" w:pos="3600"/>
          <w:tab w:val="left" w:pos="4480"/>
          <w:tab w:val="left" w:pos="5360"/>
        </w:tabs>
        <w:autoSpaceDE w:val="0"/>
        <w:autoSpaceDN w:val="0"/>
        <w:adjustRightInd w:val="0"/>
        <w:snapToGrid w:val="0"/>
        <w:spacing w:line="360" w:lineRule="auto"/>
        <w:jc w:val="left"/>
        <w:rPr>
          <w:rFonts w:ascii="宋体" w:hAnsi="宋体" w:cs="MingLiU"/>
          <w:color w:val="auto"/>
          <w:kern w:val="0"/>
          <w:sz w:val="44"/>
          <w:szCs w:val="44"/>
          <w:highlight w:val="none"/>
        </w:rPr>
      </w:pPr>
    </w:p>
    <w:p>
      <w:pPr>
        <w:tabs>
          <w:tab w:val="left" w:pos="3600"/>
          <w:tab w:val="left" w:pos="4480"/>
          <w:tab w:val="left" w:pos="5360"/>
        </w:tabs>
        <w:autoSpaceDE w:val="0"/>
        <w:autoSpaceDN w:val="0"/>
        <w:adjustRightInd w:val="0"/>
        <w:snapToGrid w:val="0"/>
        <w:spacing w:line="360" w:lineRule="auto"/>
        <w:jc w:val="left"/>
        <w:rPr>
          <w:rFonts w:ascii="宋体" w:hAnsi="宋体" w:cs="MingLiU"/>
          <w:color w:val="auto"/>
          <w:kern w:val="0"/>
          <w:sz w:val="44"/>
          <w:szCs w:val="44"/>
          <w:highlight w:val="none"/>
        </w:rPr>
      </w:pPr>
    </w:p>
    <w:p>
      <w:pPr>
        <w:tabs>
          <w:tab w:val="left" w:pos="3600"/>
          <w:tab w:val="left" w:pos="4480"/>
          <w:tab w:val="left" w:pos="5360"/>
        </w:tabs>
        <w:autoSpaceDE w:val="0"/>
        <w:autoSpaceDN w:val="0"/>
        <w:adjustRightInd w:val="0"/>
        <w:snapToGrid w:val="0"/>
        <w:spacing w:line="360" w:lineRule="auto"/>
        <w:jc w:val="center"/>
        <w:rPr>
          <w:rFonts w:ascii="宋体" w:hAnsi="宋体"/>
          <w:color w:val="auto"/>
          <w:kern w:val="0"/>
          <w:sz w:val="72"/>
          <w:szCs w:val="72"/>
          <w:highlight w:val="none"/>
        </w:rPr>
      </w:pPr>
      <w:r>
        <w:rPr>
          <w:rFonts w:hint="eastAsia" w:ascii="宋体" w:hAnsi="宋体"/>
          <w:color w:val="auto"/>
          <w:kern w:val="0"/>
          <w:sz w:val="72"/>
          <w:szCs w:val="72"/>
          <w:highlight w:val="none"/>
        </w:rPr>
        <w:t>投 标 文 件</w:t>
      </w:r>
    </w:p>
    <w:p>
      <w:pPr>
        <w:autoSpaceDE w:val="0"/>
        <w:autoSpaceDN w:val="0"/>
        <w:adjustRightInd w:val="0"/>
        <w:snapToGrid w:val="0"/>
        <w:spacing w:line="360" w:lineRule="auto"/>
        <w:jc w:val="left"/>
        <w:rPr>
          <w:rFonts w:ascii="宋体" w:hAnsi="宋体"/>
          <w:color w:val="auto"/>
          <w:kern w:val="0"/>
          <w:sz w:val="16"/>
          <w:szCs w:val="16"/>
          <w:highlight w:val="none"/>
        </w:rPr>
      </w:pPr>
    </w:p>
    <w:p>
      <w:pPr>
        <w:autoSpaceDE w:val="0"/>
        <w:autoSpaceDN w:val="0"/>
        <w:adjustRightInd w:val="0"/>
        <w:snapToGrid w:val="0"/>
        <w:spacing w:line="360" w:lineRule="auto"/>
        <w:jc w:val="center"/>
        <w:rPr>
          <w:rFonts w:ascii="宋体" w:hAnsi="宋体"/>
          <w:color w:val="auto"/>
          <w:kern w:val="0"/>
          <w:sz w:val="36"/>
          <w:szCs w:val="36"/>
          <w:highlight w:val="none"/>
        </w:rPr>
      </w:pPr>
      <w:r>
        <w:rPr>
          <w:rFonts w:hint="eastAsia" w:ascii="宋体" w:hAnsi="宋体"/>
          <w:color w:val="auto"/>
          <w:kern w:val="0"/>
          <w:sz w:val="36"/>
          <w:szCs w:val="36"/>
          <w:highlight w:val="none"/>
        </w:rPr>
        <w:t>资格审查部分</w:t>
      </w: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adjustRightInd w:val="0"/>
        <w:snapToGrid w:val="0"/>
        <w:spacing w:line="264" w:lineRule="auto"/>
        <w:rPr>
          <w:rFonts w:ascii="宋体" w:hAnsi="宋体"/>
          <w:color w:val="auto"/>
          <w:szCs w:val="21"/>
          <w:highlight w:val="none"/>
        </w:rPr>
      </w:pP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autoSpaceDE w:val="0"/>
        <w:autoSpaceDN w:val="0"/>
        <w:adjustRightInd w:val="0"/>
        <w:snapToGrid w:val="0"/>
        <w:spacing w:line="360" w:lineRule="auto"/>
        <w:jc w:val="left"/>
        <w:rPr>
          <w:rFonts w:ascii="宋体" w:hAnsi="宋体" w:cs="MingLiU"/>
          <w:color w:val="auto"/>
          <w:kern w:val="0"/>
          <w:sz w:val="20"/>
          <w:szCs w:val="20"/>
          <w:highlight w:val="none"/>
        </w:rPr>
      </w:pPr>
    </w:p>
    <w:p>
      <w:pPr>
        <w:tabs>
          <w:tab w:val="left" w:pos="6080"/>
          <w:tab w:val="left" w:pos="6640"/>
        </w:tabs>
        <w:autoSpaceDE w:val="0"/>
        <w:autoSpaceDN w:val="0"/>
        <w:adjustRightInd w:val="0"/>
        <w:snapToGrid w:val="0"/>
        <w:spacing w:line="480" w:lineRule="auto"/>
        <w:jc w:val="center"/>
        <w:rPr>
          <w:rFonts w:ascii="宋体" w:hAnsi="宋体"/>
          <w:color w:val="auto"/>
          <w:w w:val="99"/>
          <w:kern w:val="0"/>
          <w:sz w:val="28"/>
          <w:szCs w:val="28"/>
          <w:highlight w:val="none"/>
        </w:rPr>
      </w:pPr>
      <w:r>
        <w:rPr>
          <w:rFonts w:hint="eastAsia" w:ascii="宋体" w:hAnsi="宋体"/>
          <w:color w:val="auto"/>
          <w:w w:val="99"/>
          <w:kern w:val="0"/>
          <w:sz w:val="28"/>
          <w:szCs w:val="28"/>
          <w:highlight w:val="none"/>
          <w:lang w:eastAsia="zh-CN"/>
        </w:rPr>
        <w:t>竞选人</w:t>
      </w:r>
      <w:r>
        <w:rPr>
          <w:rFonts w:ascii="宋体" w:hAnsi="宋体"/>
          <w:color w:val="auto"/>
          <w:spacing w:val="1"/>
          <w:w w:val="99"/>
          <w:kern w:val="0"/>
          <w:sz w:val="28"/>
          <w:szCs w:val="28"/>
          <w:highlight w:val="none"/>
        </w:rPr>
        <w:t>：</w:t>
      </w:r>
      <w:r>
        <w:rPr>
          <w:rFonts w:ascii="宋体" w:hAnsi="宋体"/>
          <w:color w:val="auto"/>
          <w:w w:val="198"/>
          <w:kern w:val="0"/>
          <w:sz w:val="28"/>
          <w:szCs w:val="28"/>
          <w:highlight w:val="none"/>
          <w:u w:val="single"/>
        </w:rPr>
        <w:t xml:space="preserve"> 　　 　　 　　</w:t>
      </w:r>
      <w:r>
        <w:rPr>
          <w:rFonts w:ascii="宋体" w:hAnsi="宋体"/>
          <w:color w:val="auto"/>
          <w:w w:val="99"/>
          <w:kern w:val="0"/>
          <w:sz w:val="28"/>
          <w:szCs w:val="28"/>
          <w:highlight w:val="none"/>
        </w:rPr>
        <w:t>（盖单位法人章）</w:t>
      </w:r>
    </w:p>
    <w:p>
      <w:pPr>
        <w:tabs>
          <w:tab w:val="left" w:pos="6080"/>
          <w:tab w:val="left" w:pos="6640"/>
        </w:tabs>
        <w:autoSpaceDE w:val="0"/>
        <w:autoSpaceDN w:val="0"/>
        <w:adjustRightInd w:val="0"/>
        <w:snapToGrid w:val="0"/>
        <w:spacing w:line="480" w:lineRule="auto"/>
        <w:jc w:val="center"/>
        <w:rPr>
          <w:rFonts w:ascii="宋体" w:hAnsi="宋体"/>
          <w:color w:val="auto"/>
          <w:kern w:val="0"/>
          <w:sz w:val="28"/>
          <w:szCs w:val="28"/>
          <w:highlight w:val="none"/>
        </w:rPr>
      </w:pPr>
      <w:r>
        <w:rPr>
          <w:rFonts w:ascii="宋体" w:hAnsi="宋体"/>
          <w:color w:val="auto"/>
          <w:w w:val="99"/>
          <w:kern w:val="0"/>
          <w:sz w:val="28"/>
          <w:szCs w:val="28"/>
          <w:highlight w:val="none"/>
        </w:rPr>
        <w:t>法定代表人或其委托代理人：</w:t>
      </w:r>
      <w:r>
        <w:rPr>
          <w:rFonts w:ascii="宋体" w:hAnsi="宋体"/>
          <w:color w:val="auto"/>
          <w:w w:val="198"/>
          <w:kern w:val="0"/>
          <w:sz w:val="28"/>
          <w:szCs w:val="28"/>
          <w:highlight w:val="none"/>
          <w:u w:val="single"/>
        </w:rPr>
        <w:t xml:space="preserve"> 　 　</w:t>
      </w:r>
      <w:r>
        <w:rPr>
          <w:rFonts w:ascii="宋体" w:hAnsi="宋体"/>
          <w:color w:val="auto"/>
          <w:w w:val="99"/>
          <w:kern w:val="0"/>
          <w:sz w:val="28"/>
          <w:szCs w:val="28"/>
          <w:highlight w:val="none"/>
        </w:rPr>
        <w:t>（</w:t>
      </w:r>
      <w:r>
        <w:rPr>
          <w:rFonts w:hint="eastAsia" w:ascii="宋体" w:hAnsi="宋体"/>
          <w:color w:val="auto"/>
          <w:w w:val="99"/>
          <w:kern w:val="0"/>
          <w:sz w:val="28"/>
          <w:szCs w:val="28"/>
          <w:highlight w:val="none"/>
        </w:rPr>
        <w:t>签名</w:t>
      </w:r>
      <w:r>
        <w:rPr>
          <w:rFonts w:ascii="宋体" w:hAnsi="宋体"/>
          <w:color w:val="auto"/>
          <w:w w:val="99"/>
          <w:kern w:val="0"/>
          <w:sz w:val="28"/>
          <w:szCs w:val="28"/>
          <w:highlight w:val="none"/>
        </w:rPr>
        <w:t>或盖章）</w:t>
      </w:r>
    </w:p>
    <w:p>
      <w:pPr>
        <w:tabs>
          <w:tab w:val="left" w:pos="3280"/>
          <w:tab w:val="left" w:pos="4680"/>
          <w:tab w:val="left" w:pos="6080"/>
        </w:tabs>
        <w:autoSpaceDE w:val="0"/>
        <w:autoSpaceDN w:val="0"/>
        <w:adjustRightInd w:val="0"/>
        <w:snapToGrid w:val="0"/>
        <w:spacing w:line="480" w:lineRule="auto"/>
        <w:jc w:val="center"/>
        <w:rPr>
          <w:rFonts w:ascii="宋体" w:hAnsi="宋体"/>
          <w:b/>
          <w:color w:val="auto"/>
          <w:kern w:val="0"/>
          <w:sz w:val="28"/>
          <w:szCs w:val="28"/>
          <w:highlight w:val="none"/>
        </w:rPr>
      </w:pPr>
      <w:r>
        <w:rPr>
          <w:rFonts w:ascii="宋体" w:hAnsi="宋体"/>
          <w:color w:val="auto"/>
          <w:w w:val="198"/>
          <w:kern w:val="0"/>
          <w:sz w:val="28"/>
          <w:szCs w:val="28"/>
          <w:highlight w:val="none"/>
          <w:u w:val="single"/>
        </w:rPr>
        <w:t xml:space="preserve"> </w:t>
      </w:r>
      <w:r>
        <w:rPr>
          <w:rFonts w:hint="eastAsia" w:ascii="宋体" w:hAnsi="宋体"/>
          <w:color w:val="auto"/>
          <w:w w:val="198"/>
          <w:kern w:val="0"/>
          <w:sz w:val="28"/>
          <w:szCs w:val="28"/>
          <w:highlight w:val="none"/>
          <w:u w:val="single"/>
        </w:rPr>
        <w:t xml:space="preserve"> </w:t>
      </w:r>
      <w:r>
        <w:rPr>
          <w:rFonts w:ascii="宋体" w:hAnsi="宋体"/>
          <w:color w:val="auto"/>
          <w:w w:val="198"/>
          <w:kern w:val="0"/>
          <w:sz w:val="28"/>
          <w:szCs w:val="28"/>
          <w:highlight w:val="none"/>
          <w:u w:val="single"/>
        </w:rPr>
        <w:t xml:space="preserve"> </w:t>
      </w:r>
      <w:r>
        <w:rPr>
          <w:rFonts w:hint="eastAsia" w:ascii="宋体" w:hAnsi="宋体"/>
          <w:color w:val="auto"/>
          <w:w w:val="198"/>
          <w:kern w:val="0"/>
          <w:sz w:val="28"/>
          <w:szCs w:val="28"/>
          <w:highlight w:val="none"/>
          <w:u w:val="single"/>
        </w:rPr>
        <w:t xml:space="preserve"> </w:t>
      </w:r>
      <w:r>
        <w:rPr>
          <w:rFonts w:ascii="宋体" w:hAnsi="宋体"/>
          <w:color w:val="auto"/>
          <w:w w:val="99"/>
          <w:kern w:val="0"/>
          <w:sz w:val="28"/>
          <w:szCs w:val="28"/>
          <w:highlight w:val="none"/>
        </w:rPr>
        <w:t>年</w:t>
      </w:r>
      <w:r>
        <w:rPr>
          <w:rFonts w:ascii="宋体" w:hAnsi="宋体"/>
          <w:color w:val="auto"/>
          <w:w w:val="198"/>
          <w:kern w:val="0"/>
          <w:sz w:val="28"/>
          <w:szCs w:val="28"/>
          <w:highlight w:val="none"/>
          <w:u w:val="single"/>
        </w:rPr>
        <w:t xml:space="preserve"> </w:t>
      </w:r>
      <w:r>
        <w:rPr>
          <w:rFonts w:hint="eastAsia" w:ascii="宋体" w:hAnsi="宋体"/>
          <w:color w:val="auto"/>
          <w:w w:val="198"/>
          <w:kern w:val="0"/>
          <w:sz w:val="28"/>
          <w:szCs w:val="28"/>
          <w:highlight w:val="none"/>
          <w:u w:val="single"/>
        </w:rPr>
        <w:t xml:space="preserve"> </w:t>
      </w:r>
      <w:r>
        <w:rPr>
          <w:rFonts w:ascii="宋体" w:hAnsi="宋体"/>
          <w:color w:val="auto"/>
          <w:w w:val="198"/>
          <w:kern w:val="0"/>
          <w:sz w:val="28"/>
          <w:szCs w:val="28"/>
          <w:highlight w:val="none"/>
          <w:u w:val="single"/>
        </w:rPr>
        <w:t xml:space="preserve"> </w:t>
      </w:r>
      <w:r>
        <w:rPr>
          <w:rFonts w:hint="eastAsia" w:ascii="宋体" w:hAnsi="宋体"/>
          <w:color w:val="auto"/>
          <w:w w:val="198"/>
          <w:kern w:val="0"/>
          <w:sz w:val="28"/>
          <w:szCs w:val="28"/>
          <w:highlight w:val="none"/>
          <w:u w:val="single"/>
        </w:rPr>
        <w:t xml:space="preserve"> </w:t>
      </w:r>
      <w:r>
        <w:rPr>
          <w:rFonts w:ascii="宋体" w:hAnsi="宋体"/>
          <w:color w:val="auto"/>
          <w:w w:val="99"/>
          <w:kern w:val="0"/>
          <w:sz w:val="28"/>
          <w:szCs w:val="28"/>
          <w:highlight w:val="none"/>
        </w:rPr>
        <w:t>月</w:t>
      </w:r>
      <w:r>
        <w:rPr>
          <w:rFonts w:ascii="宋体" w:hAnsi="宋体"/>
          <w:color w:val="auto"/>
          <w:w w:val="198"/>
          <w:kern w:val="0"/>
          <w:sz w:val="28"/>
          <w:szCs w:val="28"/>
          <w:highlight w:val="none"/>
          <w:u w:val="single"/>
        </w:rPr>
        <w:t xml:space="preserve"> </w:t>
      </w:r>
      <w:r>
        <w:rPr>
          <w:rFonts w:hint="eastAsia" w:ascii="宋体" w:hAnsi="宋体"/>
          <w:color w:val="auto"/>
          <w:w w:val="198"/>
          <w:kern w:val="0"/>
          <w:sz w:val="28"/>
          <w:szCs w:val="28"/>
          <w:highlight w:val="none"/>
          <w:u w:val="single"/>
        </w:rPr>
        <w:t xml:space="preserve"> </w:t>
      </w:r>
      <w:r>
        <w:rPr>
          <w:rFonts w:ascii="宋体" w:hAnsi="宋体"/>
          <w:color w:val="auto"/>
          <w:w w:val="198"/>
          <w:kern w:val="0"/>
          <w:sz w:val="28"/>
          <w:szCs w:val="28"/>
          <w:highlight w:val="none"/>
          <w:u w:val="single"/>
        </w:rPr>
        <w:t xml:space="preserve"> </w:t>
      </w:r>
      <w:r>
        <w:rPr>
          <w:rFonts w:hint="eastAsia" w:ascii="宋体" w:hAnsi="宋体"/>
          <w:color w:val="auto"/>
          <w:w w:val="198"/>
          <w:kern w:val="0"/>
          <w:sz w:val="28"/>
          <w:szCs w:val="28"/>
          <w:highlight w:val="none"/>
          <w:u w:val="single"/>
        </w:rPr>
        <w:t xml:space="preserve"> </w:t>
      </w:r>
      <w:r>
        <w:rPr>
          <w:rFonts w:ascii="宋体" w:hAnsi="宋体"/>
          <w:color w:val="auto"/>
          <w:w w:val="99"/>
          <w:kern w:val="0"/>
          <w:sz w:val="28"/>
          <w:szCs w:val="28"/>
          <w:highlight w:val="none"/>
        </w:rPr>
        <w:t>日</w:t>
      </w:r>
    </w:p>
    <w:p>
      <w:pPr>
        <w:autoSpaceDE w:val="0"/>
        <w:autoSpaceDN w:val="0"/>
        <w:adjustRightInd w:val="0"/>
        <w:snapToGrid w:val="0"/>
        <w:jc w:val="center"/>
        <w:rPr>
          <w:rFonts w:hint="eastAsia" w:ascii="宋体" w:hAnsi="宋体"/>
          <w:color w:val="auto"/>
          <w:kern w:val="0"/>
          <w:sz w:val="36"/>
          <w:szCs w:val="36"/>
          <w:highlight w:val="none"/>
        </w:rPr>
      </w:pPr>
    </w:p>
    <w:p>
      <w:pPr>
        <w:autoSpaceDE w:val="0"/>
        <w:autoSpaceDN w:val="0"/>
        <w:adjustRightInd w:val="0"/>
        <w:snapToGrid w:val="0"/>
        <w:jc w:val="center"/>
        <w:rPr>
          <w:rFonts w:ascii="宋体" w:hAnsi="宋体"/>
          <w:color w:val="auto"/>
          <w:kern w:val="0"/>
          <w:sz w:val="36"/>
          <w:szCs w:val="36"/>
          <w:highlight w:val="none"/>
        </w:rPr>
      </w:pPr>
      <w:r>
        <w:rPr>
          <w:rFonts w:hint="eastAsia" w:ascii="宋体" w:hAnsi="宋体"/>
          <w:color w:val="auto"/>
          <w:kern w:val="0"/>
          <w:sz w:val="36"/>
          <w:szCs w:val="36"/>
          <w:highlight w:val="none"/>
        </w:rPr>
        <w:t>目  录</w:t>
      </w:r>
    </w:p>
    <w:p>
      <w:pPr>
        <w:spacing w:line="360" w:lineRule="auto"/>
        <w:jc w:val="center"/>
        <w:rPr>
          <w:rFonts w:ascii="宋体" w:hAnsi="宋体"/>
          <w:b/>
          <w:color w:val="auto"/>
          <w:kern w:val="0"/>
          <w:sz w:val="32"/>
          <w:szCs w:val="32"/>
          <w:highlight w:val="none"/>
        </w:rPr>
      </w:pPr>
    </w:p>
    <w:p>
      <w:pPr>
        <w:spacing w:line="360" w:lineRule="auto"/>
        <w:ind w:firstLine="420" w:firstLineChars="200"/>
        <w:rPr>
          <w:rFonts w:ascii="宋体" w:hAnsi="宋体"/>
          <w:color w:val="auto"/>
          <w:highlight w:val="none"/>
        </w:rPr>
      </w:pPr>
      <w:r>
        <w:rPr>
          <w:rFonts w:ascii="宋体" w:hAnsi="宋体"/>
          <w:color w:val="auto"/>
          <w:highlight w:val="none"/>
        </w:rPr>
        <w:t>（一）</w:t>
      </w:r>
      <w:r>
        <w:rPr>
          <w:rFonts w:hint="eastAsia" w:ascii="宋体" w:hAnsi="宋体"/>
          <w:color w:val="auto"/>
          <w:highlight w:val="none"/>
        </w:rPr>
        <w:t>法定代表人身份证明或附有法定代表人身份证明的授权委托书</w:t>
      </w:r>
    </w:p>
    <w:p>
      <w:pPr>
        <w:spacing w:line="360" w:lineRule="auto"/>
        <w:ind w:firstLine="420" w:firstLineChars="200"/>
        <w:rPr>
          <w:rFonts w:ascii="宋体" w:hAnsi="宋体"/>
          <w:color w:val="auto"/>
          <w:highlight w:val="none"/>
        </w:rPr>
      </w:pPr>
      <w:r>
        <w:rPr>
          <w:rFonts w:ascii="宋体" w:hAnsi="宋体"/>
          <w:color w:val="auto"/>
          <w:highlight w:val="none"/>
        </w:rPr>
        <w:t>（二）</w:t>
      </w:r>
      <w:r>
        <w:rPr>
          <w:rFonts w:hint="eastAsia" w:ascii="宋体" w:hAnsi="宋体"/>
          <w:color w:val="auto"/>
          <w:highlight w:val="none"/>
          <w:lang w:eastAsia="zh-CN"/>
        </w:rPr>
        <w:t>竞选人</w:t>
      </w:r>
      <w:r>
        <w:rPr>
          <w:rFonts w:ascii="宋体" w:hAnsi="宋体"/>
          <w:color w:val="auto"/>
          <w:highlight w:val="none"/>
        </w:rPr>
        <w:t>基本情况表</w:t>
      </w:r>
    </w:p>
    <w:p>
      <w:pPr>
        <w:spacing w:line="360" w:lineRule="auto"/>
        <w:ind w:firstLine="420" w:firstLineChars="200"/>
        <w:rPr>
          <w:rFonts w:ascii="宋体" w:hAnsi="宋体"/>
          <w:color w:val="auto"/>
          <w:highlight w:val="none"/>
        </w:rPr>
      </w:pPr>
      <w:r>
        <w:rPr>
          <w:rFonts w:ascii="宋体" w:hAnsi="宋体"/>
          <w:color w:val="auto"/>
          <w:highlight w:val="none"/>
        </w:rPr>
        <w:t>（</w:t>
      </w:r>
      <w:r>
        <w:rPr>
          <w:rFonts w:hint="eastAsia" w:ascii="宋体" w:hAnsi="宋体"/>
          <w:color w:val="auto"/>
          <w:highlight w:val="none"/>
          <w:lang w:val="en-US" w:eastAsia="zh-CN"/>
        </w:rPr>
        <w:t>三</w:t>
      </w:r>
      <w:r>
        <w:rPr>
          <w:rFonts w:ascii="宋体" w:hAnsi="宋体"/>
          <w:color w:val="auto"/>
          <w:highlight w:val="none"/>
        </w:rPr>
        <w:t>）项目管理机构</w:t>
      </w:r>
    </w:p>
    <w:p>
      <w:pPr>
        <w:spacing w:line="360" w:lineRule="auto"/>
        <w:ind w:firstLine="420" w:firstLineChars="200"/>
        <w:rPr>
          <w:rFonts w:ascii="宋体" w:hAnsi="宋体"/>
          <w:color w:val="auto"/>
          <w:highlight w:val="none"/>
        </w:rPr>
      </w:pPr>
      <w:r>
        <w:rPr>
          <w:rFonts w:ascii="宋体" w:hAnsi="宋体"/>
          <w:color w:val="auto"/>
          <w:highlight w:val="none"/>
        </w:rPr>
        <w:t>（</w:t>
      </w:r>
      <w:r>
        <w:rPr>
          <w:rFonts w:hint="eastAsia" w:ascii="宋体" w:hAnsi="宋体"/>
          <w:color w:val="auto"/>
          <w:highlight w:val="none"/>
          <w:lang w:val="en-US" w:eastAsia="zh-CN"/>
        </w:rPr>
        <w:t>四</w:t>
      </w:r>
      <w:r>
        <w:rPr>
          <w:rFonts w:ascii="宋体" w:hAnsi="宋体"/>
          <w:color w:val="auto"/>
          <w:highlight w:val="none"/>
        </w:rPr>
        <w:t>）近年财务状况表</w:t>
      </w:r>
    </w:p>
    <w:p>
      <w:pPr>
        <w:spacing w:line="360" w:lineRule="auto"/>
        <w:ind w:firstLine="420" w:firstLineChars="200"/>
        <w:rPr>
          <w:rFonts w:ascii="宋体" w:hAnsi="宋体"/>
          <w:color w:val="auto"/>
          <w:highlight w:val="none"/>
        </w:rPr>
      </w:pPr>
      <w:r>
        <w:rPr>
          <w:rFonts w:ascii="宋体" w:hAnsi="宋体"/>
          <w:color w:val="auto"/>
          <w:highlight w:val="none"/>
        </w:rPr>
        <w:t>（</w:t>
      </w:r>
      <w:r>
        <w:rPr>
          <w:rFonts w:hint="eastAsia" w:ascii="宋体" w:hAnsi="宋体"/>
          <w:color w:val="auto"/>
          <w:highlight w:val="none"/>
          <w:lang w:val="en-US" w:eastAsia="zh-CN"/>
        </w:rPr>
        <w:t>五</w:t>
      </w:r>
      <w:r>
        <w:rPr>
          <w:rFonts w:ascii="宋体" w:hAnsi="宋体"/>
          <w:color w:val="auto"/>
          <w:highlight w:val="none"/>
        </w:rPr>
        <w:t>）</w:t>
      </w:r>
      <w:r>
        <w:rPr>
          <w:rFonts w:hint="eastAsia" w:ascii="宋体" w:hAnsi="宋体"/>
          <w:color w:val="auto"/>
          <w:highlight w:val="none"/>
        </w:rPr>
        <w:t>承诺</w:t>
      </w:r>
    </w:p>
    <w:p>
      <w:pPr>
        <w:spacing w:line="360" w:lineRule="auto"/>
        <w:ind w:firstLine="420" w:firstLineChars="200"/>
        <w:rPr>
          <w:rFonts w:ascii="宋体" w:hAnsi="宋体"/>
          <w:color w:val="auto"/>
          <w:highlight w:val="none"/>
        </w:rPr>
      </w:pPr>
      <w:r>
        <w:rPr>
          <w:rFonts w:ascii="宋体" w:hAnsi="宋体"/>
          <w:color w:val="auto"/>
          <w:highlight w:val="none"/>
        </w:rPr>
        <w:t>（</w:t>
      </w:r>
      <w:r>
        <w:rPr>
          <w:rFonts w:hint="eastAsia" w:ascii="宋体" w:hAnsi="宋体"/>
          <w:color w:val="auto"/>
          <w:highlight w:val="none"/>
          <w:lang w:val="en-US" w:eastAsia="zh-CN"/>
        </w:rPr>
        <w:t>六</w:t>
      </w:r>
      <w:r>
        <w:rPr>
          <w:rFonts w:ascii="宋体" w:hAnsi="宋体"/>
          <w:color w:val="auto"/>
          <w:highlight w:val="none"/>
        </w:rPr>
        <w:t>）其他资料</w:t>
      </w:r>
    </w:p>
    <w:p>
      <w:pPr>
        <w:spacing w:line="360" w:lineRule="auto"/>
        <w:jc w:val="center"/>
        <w:rPr>
          <w:rFonts w:ascii="宋体" w:hAnsi="宋体"/>
          <w:b/>
          <w:color w:val="auto"/>
          <w:kern w:val="0"/>
          <w:sz w:val="32"/>
          <w:szCs w:val="32"/>
          <w:highlight w:val="none"/>
        </w:rPr>
      </w:pPr>
    </w:p>
    <w:p>
      <w:pPr>
        <w:spacing w:line="360" w:lineRule="auto"/>
        <w:jc w:val="center"/>
        <w:rPr>
          <w:rFonts w:ascii="宋体" w:hAnsi="宋体"/>
          <w:b/>
          <w:color w:val="auto"/>
          <w:kern w:val="0"/>
          <w:sz w:val="32"/>
          <w:szCs w:val="32"/>
          <w:highlight w:val="none"/>
        </w:rPr>
      </w:pPr>
    </w:p>
    <w:p>
      <w:pPr>
        <w:pStyle w:val="5"/>
        <w:jc w:val="center"/>
        <w:rPr>
          <w:rFonts w:ascii="宋体" w:hAnsi="宋体"/>
          <w:snapToGrid w:val="0"/>
          <w:color w:val="auto"/>
          <w:kern w:val="0"/>
          <w:sz w:val="30"/>
          <w:szCs w:val="30"/>
          <w:highlight w:val="none"/>
        </w:rPr>
      </w:pPr>
      <w:r>
        <w:rPr>
          <w:rFonts w:ascii="宋体" w:hAnsi="宋体"/>
          <w:color w:val="auto"/>
          <w:highlight w:val="none"/>
        </w:rPr>
        <w:br w:type="page"/>
      </w:r>
      <w:bookmarkStart w:id="1113" w:name="_Toc5633"/>
      <w:bookmarkStart w:id="1114" w:name="_Toc16964"/>
      <w:bookmarkStart w:id="1115" w:name="_Toc277082657"/>
      <w:bookmarkStart w:id="1116" w:name="_Toc287607883"/>
      <w:bookmarkStart w:id="1117" w:name="_Toc287620830"/>
      <w:bookmarkStart w:id="1118" w:name="_Toc430530546"/>
      <w:bookmarkStart w:id="1119" w:name="_Toc224103511"/>
      <w:r>
        <w:rPr>
          <w:color w:val="auto"/>
          <w:sz w:val="30"/>
          <w:szCs w:val="30"/>
          <w:highlight w:val="none"/>
        </w:rPr>
        <w:t>（一）</w:t>
      </w:r>
      <w:r>
        <w:rPr>
          <w:rFonts w:hint="eastAsia"/>
          <w:color w:val="auto"/>
          <w:sz w:val="30"/>
          <w:szCs w:val="30"/>
          <w:highlight w:val="none"/>
        </w:rPr>
        <w:t>法定代表人身份证明或附有法定代表人身份证明的授权委托书</w:t>
      </w:r>
      <w:bookmarkEnd w:id="1113"/>
      <w:bookmarkEnd w:id="1114"/>
    </w:p>
    <w:p>
      <w:pPr>
        <w:spacing w:line="480" w:lineRule="auto"/>
        <w:jc w:val="center"/>
        <w:rPr>
          <w:rFonts w:ascii="宋体" w:hAnsi="宋体"/>
          <w:color w:val="auto"/>
          <w:sz w:val="28"/>
          <w:highlight w:val="none"/>
        </w:rPr>
      </w:pPr>
      <w:r>
        <w:rPr>
          <w:rFonts w:hint="eastAsia" w:ascii="宋体" w:hAnsi="宋体"/>
          <w:color w:val="auto"/>
          <w:sz w:val="28"/>
          <w:highlight w:val="none"/>
        </w:rPr>
        <w:t>法定代表人身份证明</w:t>
      </w:r>
    </w:p>
    <w:p>
      <w:pPr>
        <w:spacing w:line="480" w:lineRule="auto"/>
        <w:jc w:val="center"/>
        <w:rPr>
          <w:rFonts w:ascii="宋体" w:hAnsi="宋体"/>
          <w:color w:val="auto"/>
          <w:highlight w:val="none"/>
        </w:rPr>
      </w:pPr>
    </w:p>
    <w:p>
      <w:pPr>
        <w:tabs>
          <w:tab w:val="left" w:pos="5565"/>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hint="eastAsia" w:ascii="宋体" w:hAnsi="宋体"/>
          <w:color w:val="auto"/>
          <w:kern w:val="0"/>
          <w:szCs w:val="21"/>
          <w:highlight w:val="none"/>
          <w:lang w:eastAsia="zh-CN"/>
        </w:rPr>
        <w:t>竞选人</w:t>
      </w:r>
      <w:r>
        <w:rPr>
          <w:rFonts w:ascii="宋体" w:hAnsi="宋体"/>
          <w:color w:val="auto"/>
          <w:kern w:val="0"/>
          <w:szCs w:val="21"/>
          <w:highlight w:val="none"/>
        </w:rPr>
        <w:t>名称：</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p>
    <w:p>
      <w:pPr>
        <w:tabs>
          <w:tab w:val="left" w:pos="5475"/>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ascii="宋体" w:hAnsi="宋体"/>
          <w:color w:val="auto"/>
          <w:kern w:val="0"/>
          <w:szCs w:val="21"/>
          <w:highlight w:val="none"/>
        </w:rPr>
        <w:t>单位性质：</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p>
    <w:p>
      <w:pPr>
        <w:tabs>
          <w:tab w:val="left" w:pos="5475"/>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ascii="宋体" w:hAnsi="宋体"/>
          <w:color w:val="auto"/>
          <w:kern w:val="0"/>
          <w:szCs w:val="21"/>
          <w:highlight w:val="none"/>
        </w:rPr>
        <w:t>地</w:t>
      </w:r>
      <w:r>
        <w:rPr>
          <w:rFonts w:hint="eastAsia" w:ascii="宋体" w:hAnsi="宋体"/>
          <w:color w:val="auto"/>
          <w:kern w:val="0"/>
          <w:szCs w:val="21"/>
          <w:highlight w:val="none"/>
        </w:rPr>
        <w:t xml:space="preserve">    </w:t>
      </w:r>
      <w:r>
        <w:rPr>
          <w:rFonts w:ascii="宋体" w:hAnsi="宋体"/>
          <w:color w:val="auto"/>
          <w:kern w:val="0"/>
          <w:szCs w:val="21"/>
          <w:highlight w:val="none"/>
        </w:rPr>
        <w:t>址：</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p>
    <w:p>
      <w:pPr>
        <w:tabs>
          <w:tab w:val="left" w:pos="2520"/>
          <w:tab w:val="left" w:pos="3836"/>
        </w:tabs>
        <w:autoSpaceDE w:val="0"/>
        <w:autoSpaceDN w:val="0"/>
        <w:adjustRightInd w:val="0"/>
        <w:snapToGrid w:val="0"/>
        <w:spacing w:line="480" w:lineRule="auto"/>
        <w:ind w:firstLine="390" w:firstLineChars="186"/>
        <w:jc w:val="left"/>
        <w:rPr>
          <w:rFonts w:ascii="宋体" w:hAnsi="宋体"/>
          <w:color w:val="auto"/>
          <w:kern w:val="0"/>
          <w:sz w:val="10"/>
          <w:szCs w:val="10"/>
          <w:highlight w:val="none"/>
        </w:rPr>
      </w:pPr>
      <w:r>
        <w:rPr>
          <w:rFonts w:ascii="宋体" w:hAnsi="宋体"/>
          <w:color w:val="auto"/>
          <w:kern w:val="0"/>
          <w:szCs w:val="21"/>
          <w:highlight w:val="none"/>
        </w:rPr>
        <w:t>成立时间：</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年</w:t>
      </w:r>
      <w:r>
        <w:rPr>
          <w:rFonts w:ascii="宋体" w:hAnsi="宋体"/>
          <w:color w:val="auto"/>
          <w:w w:val="200"/>
          <w:kern w:val="0"/>
          <w:szCs w:val="21"/>
          <w:highlight w:val="none"/>
          <w:u w:val="single"/>
        </w:rPr>
        <w:t xml:space="preserve"> </w:t>
      </w:r>
      <w:r>
        <w:rPr>
          <w:rFonts w:hint="eastAsia" w:ascii="宋体" w:hAnsi="宋体"/>
          <w:color w:val="auto"/>
          <w:kern w:val="0"/>
          <w:szCs w:val="21"/>
          <w:highlight w:val="none"/>
          <w:u w:val="single"/>
        </w:rPr>
        <w:t xml:space="preserve">      </w:t>
      </w:r>
      <w:r>
        <w:rPr>
          <w:rFonts w:ascii="宋体" w:hAnsi="宋体"/>
          <w:color w:val="auto"/>
          <w:kern w:val="0"/>
          <w:szCs w:val="21"/>
          <w:highlight w:val="none"/>
          <w:u w:val="single"/>
        </w:rPr>
        <w:t xml:space="preserve"> </w:t>
      </w:r>
      <w:r>
        <w:rPr>
          <w:rFonts w:ascii="宋体" w:hAnsi="宋体"/>
          <w:color w:val="auto"/>
          <w:kern w:val="0"/>
          <w:szCs w:val="21"/>
          <w:highlight w:val="none"/>
        </w:rPr>
        <w:t>月</w:t>
      </w:r>
      <w:r>
        <w:rPr>
          <w:rFonts w:ascii="宋体" w:hAnsi="宋体"/>
          <w:color w:val="auto"/>
          <w:w w:val="200"/>
          <w:kern w:val="0"/>
          <w:szCs w:val="21"/>
          <w:highlight w:val="none"/>
          <w:u w:val="single"/>
        </w:rPr>
        <w:t xml:space="preserve"> </w:t>
      </w:r>
      <w:r>
        <w:rPr>
          <w:rFonts w:ascii="宋体" w:hAnsi="宋体"/>
          <w:color w:val="auto"/>
          <w:kern w:val="0"/>
          <w:szCs w:val="21"/>
          <w:highlight w:val="none"/>
          <w:u w:val="single"/>
        </w:rPr>
        <w:t xml:space="preserve">       </w:t>
      </w:r>
      <w:r>
        <w:rPr>
          <w:rFonts w:ascii="宋体" w:hAnsi="宋体"/>
          <w:color w:val="auto"/>
          <w:kern w:val="0"/>
          <w:szCs w:val="21"/>
          <w:highlight w:val="none"/>
        </w:rPr>
        <w:t>日</w:t>
      </w:r>
    </w:p>
    <w:p>
      <w:pPr>
        <w:tabs>
          <w:tab w:val="left" w:pos="5475"/>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ascii="宋体" w:hAnsi="宋体"/>
          <w:color w:val="auto"/>
          <w:kern w:val="0"/>
          <w:szCs w:val="21"/>
          <w:highlight w:val="none"/>
        </w:rPr>
        <w:t>经营期限：</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p>
    <w:p>
      <w:pPr>
        <w:tabs>
          <w:tab w:val="left" w:pos="1580"/>
          <w:tab w:val="left" w:pos="3260"/>
          <w:tab w:val="left" w:pos="4840"/>
          <w:tab w:val="left" w:pos="6300"/>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ascii="宋体" w:hAnsi="宋体"/>
          <w:color w:val="auto"/>
          <w:kern w:val="0"/>
          <w:szCs w:val="21"/>
          <w:highlight w:val="none"/>
        </w:rPr>
        <w:t>姓名：</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性别</w:t>
      </w:r>
      <w:r>
        <w:rPr>
          <w:rFonts w:ascii="宋体" w:hAnsi="宋体"/>
          <w:color w:val="auto"/>
          <w:spacing w:val="-1"/>
          <w:kern w:val="0"/>
          <w:szCs w:val="21"/>
          <w:highlight w:val="none"/>
        </w:rPr>
        <w:t>：</w:t>
      </w:r>
      <w:r>
        <w:rPr>
          <w:rFonts w:hint="eastAsia" w:ascii="宋体" w:hAnsi="宋体"/>
          <w:color w:val="auto"/>
          <w:kern w:val="0"/>
          <w:szCs w:val="21"/>
          <w:highlight w:val="none"/>
          <w:u w:val="single"/>
        </w:rPr>
        <w:t xml:space="preserve">      </w:t>
      </w:r>
      <w:r>
        <w:rPr>
          <w:rFonts w:ascii="宋体" w:hAnsi="宋体"/>
          <w:color w:val="auto"/>
          <w:kern w:val="0"/>
          <w:szCs w:val="21"/>
          <w:highlight w:val="none"/>
          <w:u w:val="single"/>
        </w:rPr>
        <w:t xml:space="preserve"> </w:t>
      </w:r>
      <w:r>
        <w:rPr>
          <w:rFonts w:ascii="宋体" w:hAnsi="宋体"/>
          <w:color w:val="auto"/>
          <w:spacing w:val="-1"/>
          <w:kern w:val="0"/>
          <w:szCs w:val="21"/>
          <w:highlight w:val="none"/>
        </w:rPr>
        <w:t>年</w:t>
      </w:r>
      <w:r>
        <w:rPr>
          <w:rFonts w:ascii="宋体" w:hAnsi="宋体"/>
          <w:color w:val="auto"/>
          <w:kern w:val="0"/>
          <w:szCs w:val="21"/>
          <w:highlight w:val="none"/>
        </w:rPr>
        <w:t>龄：</w:t>
      </w:r>
      <w:r>
        <w:rPr>
          <w:rFonts w:hint="eastAsia" w:ascii="宋体" w:hAnsi="宋体"/>
          <w:color w:val="auto"/>
          <w:kern w:val="0"/>
          <w:szCs w:val="21"/>
          <w:highlight w:val="none"/>
          <w:u w:val="single"/>
        </w:rPr>
        <w:t xml:space="preserve">      </w:t>
      </w:r>
      <w:r>
        <w:rPr>
          <w:rFonts w:ascii="宋体" w:hAnsi="宋体"/>
          <w:color w:val="auto"/>
          <w:kern w:val="0"/>
          <w:szCs w:val="21"/>
          <w:highlight w:val="none"/>
          <w:u w:val="single"/>
        </w:rPr>
        <w:t xml:space="preserve"> </w:t>
      </w:r>
      <w:r>
        <w:rPr>
          <w:rFonts w:ascii="宋体" w:hAnsi="宋体"/>
          <w:color w:val="auto"/>
          <w:kern w:val="0"/>
          <w:szCs w:val="21"/>
          <w:highlight w:val="none"/>
        </w:rPr>
        <w:t>职务：</w:t>
      </w:r>
      <w:r>
        <w:rPr>
          <w:rFonts w:hint="eastAsia" w:ascii="宋体" w:hAnsi="宋体"/>
          <w:color w:val="auto"/>
          <w:kern w:val="0"/>
          <w:szCs w:val="21"/>
          <w:highlight w:val="none"/>
          <w:u w:val="single"/>
        </w:rPr>
        <w:t xml:space="preserve">              </w:t>
      </w:r>
      <w:r>
        <w:rPr>
          <w:rFonts w:ascii="宋体" w:hAnsi="宋体"/>
          <w:color w:val="auto"/>
          <w:kern w:val="0"/>
          <w:szCs w:val="21"/>
          <w:highlight w:val="none"/>
          <w:u w:val="single"/>
        </w:rPr>
        <w:t xml:space="preserve"> </w:t>
      </w:r>
    </w:p>
    <w:p>
      <w:pPr>
        <w:tabs>
          <w:tab w:val="left" w:pos="3360"/>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ascii="宋体" w:hAnsi="宋体"/>
          <w:color w:val="auto"/>
          <w:kern w:val="0"/>
          <w:szCs w:val="21"/>
          <w:highlight w:val="none"/>
        </w:rPr>
        <w:t>系</w:t>
      </w:r>
      <w:r>
        <w:rPr>
          <w:rFonts w:hint="eastAsia" w:ascii="宋体" w:hAnsi="宋体"/>
          <w:color w:val="auto"/>
          <w:kern w:val="0"/>
          <w:szCs w:val="21"/>
          <w:highlight w:val="none"/>
          <w:u w:val="single"/>
        </w:rPr>
        <w:t xml:space="preserve">                                                        </w:t>
      </w:r>
      <w:r>
        <w:rPr>
          <w:rFonts w:ascii="宋体" w:hAnsi="宋体"/>
          <w:color w:val="auto"/>
          <w:kern w:val="0"/>
          <w:szCs w:val="21"/>
          <w:highlight w:val="none"/>
          <w:u w:val="single"/>
        </w:rPr>
        <w:t xml:space="preserve"> （</w:t>
      </w:r>
      <w:r>
        <w:rPr>
          <w:rFonts w:hint="eastAsia" w:ascii="宋体" w:hAnsi="宋体"/>
          <w:color w:val="auto"/>
          <w:kern w:val="0"/>
          <w:szCs w:val="21"/>
          <w:highlight w:val="none"/>
          <w:u w:val="single"/>
          <w:lang w:eastAsia="zh-CN"/>
        </w:rPr>
        <w:t>竞选人</w:t>
      </w:r>
      <w:r>
        <w:rPr>
          <w:rFonts w:ascii="宋体" w:hAnsi="宋体"/>
          <w:color w:val="auto"/>
          <w:kern w:val="0"/>
          <w:szCs w:val="21"/>
          <w:highlight w:val="none"/>
          <w:u w:val="single"/>
        </w:rPr>
        <w:t>名称）</w:t>
      </w:r>
      <w:r>
        <w:rPr>
          <w:rFonts w:ascii="宋体" w:hAnsi="宋体"/>
          <w:color w:val="auto"/>
          <w:kern w:val="0"/>
          <w:szCs w:val="21"/>
          <w:highlight w:val="none"/>
        </w:rPr>
        <w:t>的法定代表人。</w:t>
      </w:r>
    </w:p>
    <w:p>
      <w:pPr>
        <w:tabs>
          <w:tab w:val="left" w:pos="3360"/>
        </w:tabs>
        <w:autoSpaceDE w:val="0"/>
        <w:autoSpaceDN w:val="0"/>
        <w:adjustRightInd w:val="0"/>
        <w:snapToGrid w:val="0"/>
        <w:spacing w:line="480" w:lineRule="auto"/>
        <w:ind w:firstLine="390" w:firstLineChars="186"/>
        <w:jc w:val="left"/>
        <w:rPr>
          <w:rFonts w:ascii="宋体" w:hAnsi="宋体"/>
          <w:color w:val="auto"/>
          <w:kern w:val="0"/>
          <w:szCs w:val="21"/>
          <w:highlight w:val="none"/>
        </w:rPr>
      </w:pPr>
      <w:r>
        <w:rPr>
          <w:rFonts w:ascii="宋体" w:hAnsi="宋体"/>
          <w:color w:val="auto"/>
          <w:kern w:val="0"/>
          <w:szCs w:val="21"/>
          <w:highlight w:val="none"/>
        </w:rPr>
        <w:t>特此证明。</w:t>
      </w:r>
    </w:p>
    <w:p>
      <w:pPr>
        <w:autoSpaceDE w:val="0"/>
        <w:autoSpaceDN w:val="0"/>
        <w:adjustRightInd w:val="0"/>
        <w:snapToGrid w:val="0"/>
        <w:spacing w:line="480" w:lineRule="auto"/>
        <w:ind w:firstLine="810" w:firstLineChars="386"/>
        <w:jc w:val="left"/>
        <w:rPr>
          <w:rFonts w:ascii="宋体" w:hAnsi="宋体"/>
          <w:color w:val="auto"/>
          <w:kern w:val="0"/>
          <w:szCs w:val="21"/>
          <w:highlight w:val="none"/>
        </w:rPr>
      </w:pPr>
      <w:r>
        <w:rPr>
          <w:rFonts w:hint="eastAsia" w:ascii="宋体" w:hAnsi="宋体"/>
          <w:color w:val="auto"/>
          <w:kern w:val="0"/>
          <w:szCs w:val="21"/>
          <w:highlight w:val="none"/>
        </w:rPr>
        <w:t>附：法定代表人身份证复印件（双面）</w:t>
      </w:r>
    </w:p>
    <w:p>
      <w:pPr>
        <w:autoSpaceDE w:val="0"/>
        <w:autoSpaceDN w:val="0"/>
        <w:adjustRightInd w:val="0"/>
        <w:snapToGrid w:val="0"/>
        <w:spacing w:line="360" w:lineRule="auto"/>
        <w:jc w:val="left"/>
        <w:rPr>
          <w:rFonts w:ascii="宋体" w:hAnsi="宋体"/>
          <w:color w:val="auto"/>
          <w:szCs w:val="21"/>
          <w:highlight w:val="none"/>
        </w:rPr>
      </w:pPr>
    </w:p>
    <w:p>
      <w:pPr>
        <w:pStyle w:val="2"/>
        <w:spacing w:after="0" w:line="360" w:lineRule="auto"/>
        <w:rPr>
          <w:rFonts w:ascii="宋体" w:hAnsi="宋体"/>
          <w:color w:val="auto"/>
          <w:szCs w:val="21"/>
          <w:highlight w:val="none"/>
        </w:rPr>
      </w:pPr>
    </w:p>
    <w:p>
      <w:pPr>
        <w:pStyle w:val="2"/>
        <w:spacing w:after="0" w:line="360" w:lineRule="auto"/>
        <w:rPr>
          <w:rFonts w:ascii="宋体" w:hAnsi="宋体"/>
          <w:color w:val="auto"/>
          <w:szCs w:val="21"/>
          <w:highlight w:val="none"/>
        </w:rPr>
      </w:pPr>
    </w:p>
    <w:p>
      <w:pPr>
        <w:pStyle w:val="2"/>
        <w:spacing w:after="0" w:line="360" w:lineRule="auto"/>
        <w:rPr>
          <w:rFonts w:ascii="宋体" w:hAnsi="宋体"/>
          <w:color w:val="auto"/>
          <w:szCs w:val="21"/>
          <w:highlight w:val="none"/>
        </w:rPr>
      </w:pPr>
    </w:p>
    <w:p>
      <w:pPr>
        <w:pStyle w:val="2"/>
        <w:spacing w:after="0" w:line="360" w:lineRule="auto"/>
        <w:rPr>
          <w:rFonts w:ascii="宋体" w:hAnsi="宋体"/>
          <w:color w:val="auto"/>
          <w:szCs w:val="21"/>
          <w:highlight w:val="none"/>
        </w:rPr>
      </w:pPr>
    </w:p>
    <w:p>
      <w:pPr>
        <w:pStyle w:val="2"/>
        <w:spacing w:after="0" w:line="360" w:lineRule="auto"/>
        <w:rPr>
          <w:rFonts w:ascii="宋体" w:hAnsi="宋体"/>
          <w:color w:val="auto"/>
          <w:szCs w:val="21"/>
          <w:highlight w:val="none"/>
        </w:rPr>
      </w:pPr>
    </w:p>
    <w:p>
      <w:pPr>
        <w:autoSpaceDE w:val="0"/>
        <w:autoSpaceDN w:val="0"/>
        <w:adjustRightInd w:val="0"/>
        <w:snapToGrid w:val="0"/>
        <w:spacing w:line="480" w:lineRule="auto"/>
        <w:ind w:firstLine="810" w:firstLineChars="386"/>
        <w:jc w:val="right"/>
        <w:rPr>
          <w:rFonts w:ascii="宋体" w:hAnsi="宋体"/>
          <w:color w:val="auto"/>
          <w:kern w:val="0"/>
          <w:szCs w:val="21"/>
          <w:highlight w:val="none"/>
        </w:rPr>
      </w:pPr>
      <w:r>
        <w:rPr>
          <w:rFonts w:hint="eastAsia" w:ascii="宋体" w:hAnsi="宋体"/>
          <w:color w:val="auto"/>
          <w:kern w:val="0"/>
          <w:szCs w:val="21"/>
          <w:highlight w:val="none"/>
          <w:lang w:eastAsia="zh-CN"/>
        </w:rPr>
        <w:t>竞选人</w:t>
      </w:r>
      <w:r>
        <w:rPr>
          <w:rFonts w:ascii="宋体" w:hAnsi="宋体"/>
          <w:color w:val="auto"/>
          <w:kern w:val="0"/>
          <w:szCs w:val="21"/>
          <w:highlight w:val="none"/>
        </w:rPr>
        <w:t>：</w:t>
      </w:r>
      <w:r>
        <w:rPr>
          <w:rFonts w:ascii="宋体" w:hAnsi="宋体"/>
          <w:color w:val="auto"/>
          <w:w w:val="200"/>
          <w:kern w:val="0"/>
          <w:szCs w:val="21"/>
          <w:highlight w:val="none"/>
          <w:u w:val="single"/>
        </w:rPr>
        <w:t xml:space="preserve">              </w:t>
      </w:r>
      <w:r>
        <w:rPr>
          <w:rFonts w:ascii="宋体" w:hAnsi="宋体"/>
          <w:color w:val="auto"/>
          <w:kern w:val="0"/>
          <w:szCs w:val="21"/>
          <w:highlight w:val="none"/>
          <w:u w:val="single"/>
        </w:rPr>
        <w:tab/>
      </w:r>
      <w:r>
        <w:rPr>
          <w:rFonts w:ascii="宋体" w:hAnsi="宋体"/>
          <w:color w:val="auto"/>
          <w:spacing w:val="-1"/>
          <w:kern w:val="0"/>
          <w:szCs w:val="21"/>
          <w:highlight w:val="none"/>
        </w:rPr>
        <w:t>（</w:t>
      </w:r>
      <w:r>
        <w:rPr>
          <w:rFonts w:ascii="宋体" w:hAnsi="宋体"/>
          <w:color w:val="auto"/>
          <w:kern w:val="0"/>
          <w:szCs w:val="21"/>
          <w:highlight w:val="none"/>
        </w:rPr>
        <w:t>盖单位法人章）</w:t>
      </w:r>
    </w:p>
    <w:p>
      <w:pPr>
        <w:autoSpaceDE w:val="0"/>
        <w:autoSpaceDN w:val="0"/>
        <w:adjustRightInd w:val="0"/>
        <w:snapToGrid w:val="0"/>
        <w:spacing w:line="480" w:lineRule="auto"/>
        <w:jc w:val="left"/>
        <w:rPr>
          <w:rFonts w:ascii="宋体" w:hAnsi="宋体"/>
          <w:color w:val="auto"/>
          <w:kern w:val="0"/>
          <w:sz w:val="20"/>
          <w:szCs w:val="20"/>
          <w:highlight w:val="none"/>
        </w:rPr>
      </w:pPr>
    </w:p>
    <w:p>
      <w:pPr>
        <w:tabs>
          <w:tab w:val="left" w:pos="4935"/>
          <w:tab w:val="left" w:pos="5460"/>
          <w:tab w:val="left" w:pos="6400"/>
        </w:tabs>
        <w:wordWrap w:val="0"/>
        <w:autoSpaceDE w:val="0"/>
        <w:autoSpaceDN w:val="0"/>
        <w:adjustRightInd w:val="0"/>
        <w:snapToGrid w:val="0"/>
        <w:spacing w:line="480" w:lineRule="auto"/>
        <w:ind w:firstLine="3780"/>
        <w:jc w:val="right"/>
        <w:rPr>
          <w:rFonts w:ascii="宋体" w:hAnsi="宋体"/>
          <w:color w:val="auto"/>
          <w:kern w:val="0"/>
          <w:szCs w:val="21"/>
          <w:highlight w:val="none"/>
        </w:rPr>
      </w:pP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年</w:t>
      </w:r>
      <w:r>
        <w:rPr>
          <w:rFonts w:ascii="宋体" w:hAnsi="宋体"/>
          <w:color w:val="auto"/>
          <w:w w:val="200"/>
          <w:kern w:val="0"/>
          <w:szCs w:val="21"/>
          <w:highlight w:val="none"/>
          <w:u w:val="single"/>
        </w:rPr>
        <w:t xml:space="preserve"> </w:t>
      </w:r>
      <w:r>
        <w:rPr>
          <w:rFonts w:hint="eastAsia" w:ascii="宋体" w:hAnsi="宋体"/>
          <w:color w:val="auto"/>
          <w:kern w:val="0"/>
          <w:szCs w:val="21"/>
          <w:highlight w:val="none"/>
          <w:u w:val="single"/>
        </w:rPr>
        <w:t xml:space="preserve">    </w:t>
      </w:r>
      <w:r>
        <w:rPr>
          <w:rFonts w:ascii="宋体" w:hAnsi="宋体"/>
          <w:color w:val="auto"/>
          <w:kern w:val="0"/>
          <w:szCs w:val="21"/>
          <w:highlight w:val="none"/>
          <w:u w:val="single"/>
        </w:rPr>
        <w:t xml:space="preserve"> </w:t>
      </w:r>
      <w:r>
        <w:rPr>
          <w:rFonts w:ascii="宋体" w:hAnsi="宋体"/>
          <w:color w:val="auto"/>
          <w:kern w:val="0"/>
          <w:szCs w:val="21"/>
          <w:highlight w:val="none"/>
        </w:rPr>
        <w:t>月</w:t>
      </w:r>
      <w:r>
        <w:rPr>
          <w:rFonts w:ascii="宋体" w:hAnsi="宋体"/>
          <w:color w:val="auto"/>
          <w:w w:val="200"/>
          <w:kern w:val="0"/>
          <w:szCs w:val="21"/>
          <w:highlight w:val="none"/>
          <w:u w:val="single"/>
        </w:rPr>
        <w:t xml:space="preserve"> </w:t>
      </w:r>
      <w:r>
        <w:rPr>
          <w:rFonts w:ascii="宋体" w:hAnsi="宋体"/>
          <w:color w:val="auto"/>
          <w:kern w:val="0"/>
          <w:szCs w:val="21"/>
          <w:highlight w:val="none"/>
          <w:u w:val="single"/>
        </w:rPr>
        <w:t xml:space="preserve">     </w:t>
      </w:r>
      <w:r>
        <w:rPr>
          <w:rFonts w:ascii="宋体" w:hAnsi="宋体"/>
          <w:color w:val="auto"/>
          <w:kern w:val="0"/>
          <w:szCs w:val="21"/>
          <w:highlight w:val="none"/>
        </w:rPr>
        <w:t>日</w:t>
      </w:r>
      <w:r>
        <w:rPr>
          <w:rFonts w:hint="eastAsia" w:ascii="宋体" w:hAnsi="宋体"/>
          <w:color w:val="auto"/>
          <w:kern w:val="0"/>
          <w:szCs w:val="21"/>
          <w:highlight w:val="none"/>
        </w:rPr>
        <w:t xml:space="preserve">  </w:t>
      </w:r>
    </w:p>
    <w:p>
      <w:pPr>
        <w:autoSpaceDE w:val="0"/>
        <w:autoSpaceDN w:val="0"/>
        <w:adjustRightInd w:val="0"/>
        <w:snapToGrid w:val="0"/>
        <w:spacing w:line="360" w:lineRule="auto"/>
        <w:jc w:val="left"/>
        <w:rPr>
          <w:rFonts w:ascii="宋体" w:hAnsi="宋体"/>
          <w:color w:val="auto"/>
          <w:kern w:val="0"/>
          <w:highlight w:val="none"/>
        </w:rPr>
      </w:pPr>
    </w:p>
    <w:p>
      <w:pPr>
        <w:autoSpaceDE w:val="0"/>
        <w:autoSpaceDN w:val="0"/>
        <w:adjustRightInd w:val="0"/>
        <w:snapToGrid w:val="0"/>
        <w:spacing w:line="360" w:lineRule="auto"/>
        <w:jc w:val="left"/>
        <w:rPr>
          <w:rFonts w:ascii="宋体" w:hAnsi="宋体"/>
          <w:color w:val="auto"/>
          <w:kern w:val="0"/>
          <w:highlight w:val="none"/>
        </w:rPr>
      </w:pPr>
    </w:p>
    <w:p>
      <w:pPr>
        <w:tabs>
          <w:tab w:val="left" w:pos="1680"/>
          <w:tab w:val="left" w:pos="4215"/>
          <w:tab w:val="left" w:pos="4305"/>
          <w:tab w:val="left" w:pos="8000"/>
        </w:tabs>
        <w:autoSpaceDE w:val="0"/>
        <w:autoSpaceDN w:val="0"/>
        <w:adjustRightInd w:val="0"/>
        <w:snapToGrid w:val="0"/>
        <w:spacing w:line="360" w:lineRule="auto"/>
        <w:ind w:firstLine="411" w:firstLineChars="196"/>
        <w:jc w:val="left"/>
        <w:rPr>
          <w:rFonts w:ascii="宋体" w:hAnsi="宋体"/>
          <w:color w:val="auto"/>
          <w:kern w:val="0"/>
          <w:szCs w:val="21"/>
          <w:highlight w:val="none"/>
        </w:rPr>
      </w:pPr>
      <w:r>
        <w:rPr>
          <w:color w:val="auto"/>
          <w:highlight w:val="none"/>
        </w:rPr>
        <w:t>注：法定代表人身份证明需按上述格式填写完整，不可缺少内容。在此基础上增加内容的不影响其有效性</w:t>
      </w:r>
      <w:bookmarkEnd w:id="1115"/>
      <w:bookmarkEnd w:id="1116"/>
      <w:bookmarkEnd w:id="1117"/>
      <w:bookmarkEnd w:id="1118"/>
      <w:bookmarkEnd w:id="1119"/>
      <w:r>
        <w:rPr>
          <w:rFonts w:hint="eastAsia" w:ascii="宋体" w:hAnsi="宋体"/>
          <w:color w:val="auto"/>
          <w:kern w:val="0"/>
          <w:szCs w:val="21"/>
          <w:highlight w:val="none"/>
        </w:rPr>
        <w:t>。</w:t>
      </w:r>
    </w:p>
    <w:p>
      <w:pPr>
        <w:tabs>
          <w:tab w:val="left" w:pos="1680"/>
          <w:tab w:val="left" w:pos="4215"/>
          <w:tab w:val="left" w:pos="4305"/>
          <w:tab w:val="left" w:pos="8000"/>
        </w:tabs>
        <w:autoSpaceDE w:val="0"/>
        <w:autoSpaceDN w:val="0"/>
        <w:adjustRightInd w:val="0"/>
        <w:snapToGrid w:val="0"/>
        <w:spacing w:line="360" w:lineRule="auto"/>
        <w:jc w:val="center"/>
        <w:rPr>
          <w:rFonts w:ascii="宋体" w:hAnsi="宋体"/>
          <w:color w:val="auto"/>
          <w:kern w:val="0"/>
          <w:sz w:val="20"/>
          <w:szCs w:val="20"/>
          <w:highlight w:val="none"/>
        </w:rPr>
      </w:pPr>
      <w:r>
        <w:rPr>
          <w:rFonts w:ascii="宋体" w:hAnsi="宋体"/>
          <w:b/>
          <w:color w:val="auto"/>
          <w:kern w:val="0"/>
          <w:sz w:val="28"/>
          <w:szCs w:val="28"/>
          <w:highlight w:val="none"/>
        </w:rPr>
        <w:br w:type="page"/>
      </w:r>
      <w:r>
        <w:rPr>
          <w:rFonts w:ascii="宋体" w:hAnsi="宋体"/>
          <w:snapToGrid w:val="0"/>
          <w:color w:val="auto"/>
          <w:kern w:val="0"/>
          <w:sz w:val="32"/>
          <w:szCs w:val="32"/>
          <w:highlight w:val="none"/>
        </w:rPr>
        <w:t>授权委托书</w:t>
      </w:r>
    </w:p>
    <w:p>
      <w:pPr>
        <w:tabs>
          <w:tab w:val="left" w:pos="1680"/>
          <w:tab w:val="left" w:pos="4215"/>
          <w:tab w:val="left" w:pos="4305"/>
          <w:tab w:val="left" w:pos="8000"/>
        </w:tabs>
        <w:autoSpaceDE w:val="0"/>
        <w:autoSpaceDN w:val="0"/>
        <w:adjustRightInd w:val="0"/>
        <w:snapToGrid w:val="0"/>
        <w:spacing w:line="480" w:lineRule="auto"/>
        <w:ind w:firstLine="420"/>
        <w:jc w:val="left"/>
        <w:rPr>
          <w:rFonts w:ascii="宋体" w:hAnsi="宋体"/>
          <w:color w:val="auto"/>
          <w:kern w:val="0"/>
          <w:szCs w:val="21"/>
          <w:highlight w:val="none"/>
        </w:rPr>
      </w:pPr>
      <w:r>
        <w:rPr>
          <w:rFonts w:ascii="宋体" w:hAnsi="宋体"/>
          <w:color w:val="auto"/>
          <w:kern w:val="0"/>
          <w:szCs w:val="21"/>
          <w:highlight w:val="none"/>
        </w:rPr>
        <w:t>本人</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u w:val="single"/>
        </w:rPr>
        <w:t>（姓名）</w:t>
      </w:r>
      <w:r>
        <w:rPr>
          <w:rFonts w:ascii="宋体" w:hAnsi="宋体"/>
          <w:color w:val="auto"/>
          <w:kern w:val="0"/>
          <w:szCs w:val="21"/>
          <w:highlight w:val="none"/>
        </w:rPr>
        <w:t>系</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u w:val="single"/>
        </w:rPr>
        <w:t>（</w:t>
      </w:r>
      <w:r>
        <w:rPr>
          <w:rFonts w:hint="eastAsia" w:ascii="宋体" w:hAnsi="宋体"/>
          <w:color w:val="auto"/>
          <w:spacing w:val="-1"/>
          <w:kern w:val="0"/>
          <w:szCs w:val="21"/>
          <w:highlight w:val="none"/>
          <w:u w:val="single"/>
          <w:lang w:eastAsia="zh-CN"/>
        </w:rPr>
        <w:t>竞选人</w:t>
      </w:r>
      <w:r>
        <w:rPr>
          <w:rFonts w:ascii="宋体" w:hAnsi="宋体"/>
          <w:color w:val="auto"/>
          <w:kern w:val="0"/>
          <w:szCs w:val="21"/>
          <w:highlight w:val="none"/>
          <w:u w:val="single"/>
        </w:rPr>
        <w:t>名称</w:t>
      </w:r>
      <w:r>
        <w:rPr>
          <w:rFonts w:ascii="宋体" w:hAnsi="宋体"/>
          <w:color w:val="auto"/>
          <w:spacing w:val="1"/>
          <w:kern w:val="0"/>
          <w:szCs w:val="21"/>
          <w:highlight w:val="none"/>
          <w:u w:val="single"/>
        </w:rPr>
        <w:t>）</w:t>
      </w:r>
      <w:r>
        <w:rPr>
          <w:rFonts w:ascii="宋体" w:hAnsi="宋体"/>
          <w:color w:val="auto"/>
          <w:kern w:val="0"/>
          <w:szCs w:val="21"/>
          <w:highlight w:val="none"/>
        </w:rPr>
        <w:t>的法定代</w:t>
      </w:r>
      <w:r>
        <w:rPr>
          <w:rFonts w:ascii="宋体" w:hAnsi="宋体"/>
          <w:color w:val="auto"/>
          <w:spacing w:val="1"/>
          <w:kern w:val="0"/>
          <w:szCs w:val="21"/>
          <w:highlight w:val="none"/>
        </w:rPr>
        <w:t>表</w:t>
      </w:r>
      <w:r>
        <w:rPr>
          <w:rFonts w:ascii="宋体" w:hAnsi="宋体"/>
          <w:color w:val="auto"/>
          <w:kern w:val="0"/>
          <w:szCs w:val="21"/>
          <w:highlight w:val="none"/>
        </w:rPr>
        <w:t>人，现委托</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u w:val="single"/>
        </w:rPr>
        <w:t>（姓名）</w:t>
      </w:r>
      <w:r>
        <w:rPr>
          <w:rFonts w:ascii="宋体" w:hAnsi="宋体"/>
          <w:color w:val="auto"/>
          <w:kern w:val="0"/>
          <w:szCs w:val="21"/>
          <w:highlight w:val="none"/>
        </w:rPr>
        <w:t>为我方代理人。代理人根据授权，以我方名义签署、澄清、说明、补正、递交、撤回、 修改</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u w:val="single"/>
        </w:rPr>
        <w:t>（项</w:t>
      </w:r>
      <w:r>
        <w:rPr>
          <w:rFonts w:ascii="宋体" w:hAnsi="宋体"/>
          <w:color w:val="auto"/>
          <w:spacing w:val="-1"/>
          <w:kern w:val="0"/>
          <w:szCs w:val="21"/>
          <w:highlight w:val="none"/>
          <w:u w:val="single"/>
        </w:rPr>
        <w:t>目</w:t>
      </w:r>
      <w:r>
        <w:rPr>
          <w:rFonts w:ascii="宋体" w:hAnsi="宋体"/>
          <w:color w:val="auto"/>
          <w:kern w:val="0"/>
          <w:szCs w:val="21"/>
          <w:highlight w:val="none"/>
          <w:u w:val="single"/>
        </w:rPr>
        <w:t>名称）</w:t>
      </w:r>
      <w:r>
        <w:rPr>
          <w:rFonts w:hint="eastAsia" w:ascii="宋体" w:hAnsi="宋体"/>
          <w:color w:val="auto"/>
          <w:kern w:val="0"/>
          <w:szCs w:val="21"/>
          <w:highlight w:val="none"/>
          <w:lang w:eastAsia="zh-CN"/>
        </w:rPr>
        <w:t>竞选文件</w:t>
      </w:r>
      <w:r>
        <w:rPr>
          <w:rFonts w:ascii="宋体" w:hAnsi="宋体"/>
          <w:color w:val="auto"/>
          <w:kern w:val="0"/>
          <w:szCs w:val="21"/>
          <w:highlight w:val="none"/>
        </w:rPr>
        <w:t>、签订合同和处理有关事宜， 其法律后果由我方承担。</w:t>
      </w:r>
    </w:p>
    <w:p>
      <w:pPr>
        <w:tabs>
          <w:tab w:val="left" w:pos="1680"/>
          <w:tab w:val="left" w:pos="4200"/>
          <w:tab w:val="left" w:pos="4305"/>
          <w:tab w:val="left" w:pos="8000"/>
        </w:tabs>
        <w:autoSpaceDE w:val="0"/>
        <w:autoSpaceDN w:val="0"/>
        <w:adjustRightInd w:val="0"/>
        <w:snapToGrid w:val="0"/>
        <w:spacing w:line="480" w:lineRule="auto"/>
        <w:ind w:firstLine="420"/>
        <w:rPr>
          <w:rFonts w:ascii="宋体" w:hAnsi="宋体"/>
          <w:color w:val="auto"/>
          <w:kern w:val="0"/>
          <w:szCs w:val="21"/>
          <w:highlight w:val="none"/>
        </w:rPr>
      </w:pPr>
      <w:r>
        <w:rPr>
          <w:rFonts w:ascii="宋体" w:hAnsi="宋体"/>
          <w:color w:val="auto"/>
          <w:kern w:val="0"/>
          <w:szCs w:val="21"/>
          <w:highlight w:val="none"/>
        </w:rPr>
        <w:t>委托</w:t>
      </w:r>
      <w:r>
        <w:rPr>
          <w:rFonts w:ascii="宋体" w:hAnsi="宋体"/>
          <w:color w:val="auto"/>
          <w:spacing w:val="-1"/>
          <w:kern w:val="0"/>
          <w:szCs w:val="21"/>
          <w:highlight w:val="none"/>
        </w:rPr>
        <w:t>期</w:t>
      </w:r>
      <w:r>
        <w:rPr>
          <w:rFonts w:ascii="宋体" w:hAnsi="宋体"/>
          <w:color w:val="auto"/>
          <w:kern w:val="0"/>
          <w:szCs w:val="21"/>
          <w:highlight w:val="none"/>
        </w:rPr>
        <w:t>限：</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 xml:space="preserve">。 </w:t>
      </w:r>
    </w:p>
    <w:p>
      <w:pPr>
        <w:tabs>
          <w:tab w:val="left" w:pos="1680"/>
          <w:tab w:val="left" w:pos="4200"/>
          <w:tab w:val="left" w:pos="4305"/>
          <w:tab w:val="left" w:pos="8000"/>
        </w:tabs>
        <w:autoSpaceDE w:val="0"/>
        <w:autoSpaceDN w:val="0"/>
        <w:adjustRightInd w:val="0"/>
        <w:snapToGrid w:val="0"/>
        <w:spacing w:line="480" w:lineRule="auto"/>
        <w:ind w:firstLine="420"/>
        <w:rPr>
          <w:rFonts w:ascii="宋体" w:hAnsi="宋体"/>
          <w:color w:val="auto"/>
          <w:kern w:val="0"/>
          <w:szCs w:val="21"/>
          <w:highlight w:val="none"/>
        </w:rPr>
      </w:pPr>
      <w:r>
        <w:rPr>
          <w:rFonts w:ascii="宋体" w:hAnsi="宋体"/>
          <w:color w:val="auto"/>
          <w:kern w:val="0"/>
          <w:szCs w:val="21"/>
          <w:highlight w:val="none"/>
        </w:rPr>
        <w:t>代理人无转委托权。</w:t>
      </w:r>
    </w:p>
    <w:p>
      <w:pPr>
        <w:tabs>
          <w:tab w:val="left" w:pos="1680"/>
          <w:tab w:val="left" w:pos="4200"/>
          <w:tab w:val="left" w:pos="4305"/>
          <w:tab w:val="left" w:pos="8000"/>
        </w:tabs>
        <w:autoSpaceDE w:val="0"/>
        <w:autoSpaceDN w:val="0"/>
        <w:adjustRightInd w:val="0"/>
        <w:snapToGrid w:val="0"/>
        <w:spacing w:line="480" w:lineRule="auto"/>
        <w:ind w:firstLine="420"/>
        <w:rPr>
          <w:rFonts w:ascii="宋体" w:hAnsi="宋体"/>
          <w:color w:val="auto"/>
          <w:kern w:val="0"/>
          <w:szCs w:val="21"/>
          <w:highlight w:val="none"/>
        </w:rPr>
      </w:pPr>
    </w:p>
    <w:p>
      <w:pPr>
        <w:tabs>
          <w:tab w:val="left" w:pos="1680"/>
          <w:tab w:val="left" w:pos="4200"/>
          <w:tab w:val="left" w:pos="4305"/>
          <w:tab w:val="left" w:pos="8000"/>
        </w:tabs>
        <w:autoSpaceDE w:val="0"/>
        <w:autoSpaceDN w:val="0"/>
        <w:adjustRightInd w:val="0"/>
        <w:snapToGrid w:val="0"/>
        <w:spacing w:line="480" w:lineRule="auto"/>
        <w:ind w:firstLine="420"/>
        <w:rPr>
          <w:rFonts w:ascii="宋体" w:hAnsi="宋体"/>
          <w:color w:val="auto"/>
          <w:kern w:val="0"/>
          <w:szCs w:val="21"/>
          <w:highlight w:val="none"/>
        </w:rPr>
      </w:pPr>
      <w:r>
        <w:rPr>
          <w:rFonts w:hint="eastAsia" w:ascii="宋体" w:hAnsi="宋体"/>
          <w:color w:val="auto"/>
          <w:kern w:val="0"/>
          <w:szCs w:val="21"/>
          <w:highlight w:val="none"/>
          <w:lang w:val="en-US" w:eastAsia="zh-CN"/>
        </w:rPr>
        <w:t>竞选</w:t>
      </w:r>
      <w:r>
        <w:rPr>
          <w:rFonts w:ascii="宋体" w:hAnsi="宋体"/>
          <w:color w:val="auto"/>
          <w:kern w:val="0"/>
          <w:szCs w:val="21"/>
          <w:highlight w:val="none"/>
        </w:rPr>
        <w:t>人：</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ascii="宋体" w:hAnsi="宋体"/>
          <w:color w:val="auto"/>
          <w:kern w:val="0"/>
          <w:szCs w:val="21"/>
          <w:highlight w:val="none"/>
        </w:rPr>
        <w:t>（</w:t>
      </w:r>
      <w:r>
        <w:rPr>
          <w:rFonts w:ascii="宋体" w:hAnsi="宋体"/>
          <w:color w:val="auto"/>
          <w:spacing w:val="-1"/>
          <w:kern w:val="0"/>
          <w:szCs w:val="21"/>
          <w:highlight w:val="none"/>
        </w:rPr>
        <w:t>盖单位法人章</w:t>
      </w:r>
      <w:r>
        <w:rPr>
          <w:rFonts w:ascii="宋体" w:hAnsi="宋体"/>
          <w:color w:val="auto"/>
          <w:kern w:val="0"/>
          <w:szCs w:val="21"/>
          <w:highlight w:val="none"/>
        </w:rPr>
        <w:t>）</w:t>
      </w:r>
    </w:p>
    <w:p>
      <w:pPr>
        <w:tabs>
          <w:tab w:val="left" w:pos="6300"/>
        </w:tabs>
        <w:autoSpaceDE w:val="0"/>
        <w:autoSpaceDN w:val="0"/>
        <w:adjustRightInd w:val="0"/>
        <w:snapToGrid w:val="0"/>
        <w:spacing w:line="480" w:lineRule="auto"/>
        <w:ind w:firstLine="420" w:firstLineChars="200"/>
        <w:jc w:val="left"/>
        <w:rPr>
          <w:rFonts w:ascii="宋体" w:hAnsi="宋体"/>
          <w:color w:val="auto"/>
          <w:kern w:val="0"/>
          <w:szCs w:val="21"/>
          <w:highlight w:val="none"/>
        </w:rPr>
      </w:pPr>
      <w:r>
        <w:rPr>
          <w:rFonts w:ascii="宋体" w:hAnsi="宋体"/>
          <w:color w:val="auto"/>
          <w:kern w:val="0"/>
          <w:szCs w:val="21"/>
          <w:highlight w:val="none"/>
        </w:rPr>
        <w:t>法定代表人：</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w:t>
      </w:r>
      <w:r>
        <w:rPr>
          <w:rFonts w:hint="eastAsia" w:ascii="宋体" w:hAnsi="宋体"/>
          <w:color w:val="auto"/>
          <w:kern w:val="0"/>
          <w:szCs w:val="21"/>
          <w:highlight w:val="none"/>
        </w:rPr>
        <w:t>签名</w:t>
      </w:r>
      <w:r>
        <w:rPr>
          <w:rFonts w:ascii="宋体" w:hAnsi="宋体"/>
          <w:color w:val="auto"/>
          <w:kern w:val="0"/>
          <w:szCs w:val="21"/>
          <w:highlight w:val="none"/>
        </w:rPr>
        <w:t>或盖章）</w:t>
      </w:r>
    </w:p>
    <w:p>
      <w:pPr>
        <w:tabs>
          <w:tab w:val="left" w:pos="5260"/>
        </w:tabs>
        <w:autoSpaceDE w:val="0"/>
        <w:autoSpaceDN w:val="0"/>
        <w:adjustRightInd w:val="0"/>
        <w:snapToGrid w:val="0"/>
        <w:spacing w:line="480" w:lineRule="auto"/>
        <w:ind w:firstLine="420" w:firstLineChars="200"/>
        <w:jc w:val="left"/>
        <w:rPr>
          <w:rFonts w:ascii="宋体" w:hAnsi="宋体"/>
          <w:color w:val="auto"/>
          <w:kern w:val="0"/>
          <w:szCs w:val="21"/>
          <w:highlight w:val="none"/>
          <w:u w:val="single"/>
        </w:rPr>
      </w:pPr>
      <w:r>
        <w:rPr>
          <w:rFonts w:ascii="宋体" w:hAnsi="宋体"/>
          <w:color w:val="auto"/>
          <w:kern w:val="0"/>
          <w:szCs w:val="21"/>
          <w:highlight w:val="none"/>
        </w:rPr>
        <w:t>身份证号码：</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p>
    <w:p>
      <w:pPr>
        <w:tabs>
          <w:tab w:val="left" w:pos="5260"/>
        </w:tabs>
        <w:autoSpaceDE w:val="0"/>
        <w:autoSpaceDN w:val="0"/>
        <w:adjustRightInd w:val="0"/>
        <w:snapToGrid w:val="0"/>
        <w:spacing w:line="480" w:lineRule="auto"/>
        <w:ind w:firstLine="420" w:firstLineChars="200"/>
        <w:jc w:val="left"/>
        <w:rPr>
          <w:rFonts w:ascii="宋体" w:hAnsi="宋体"/>
          <w:color w:val="auto"/>
          <w:kern w:val="0"/>
          <w:szCs w:val="21"/>
          <w:highlight w:val="none"/>
        </w:rPr>
      </w:pPr>
      <w:r>
        <w:rPr>
          <w:rFonts w:ascii="宋体" w:hAnsi="宋体"/>
          <w:color w:val="auto"/>
          <w:kern w:val="0"/>
          <w:szCs w:val="21"/>
          <w:highlight w:val="none"/>
        </w:rPr>
        <w:t>委托代理人：</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ascii="宋体" w:hAnsi="宋体"/>
          <w:color w:val="auto"/>
          <w:kern w:val="0"/>
          <w:szCs w:val="21"/>
          <w:highlight w:val="none"/>
        </w:rPr>
        <w:t>（</w:t>
      </w:r>
      <w:r>
        <w:rPr>
          <w:rFonts w:hint="eastAsia" w:ascii="宋体" w:hAnsi="宋体"/>
          <w:color w:val="auto"/>
          <w:kern w:val="0"/>
          <w:szCs w:val="21"/>
          <w:highlight w:val="none"/>
        </w:rPr>
        <w:t>签名</w:t>
      </w:r>
      <w:r>
        <w:rPr>
          <w:rFonts w:ascii="宋体" w:hAnsi="宋体"/>
          <w:color w:val="auto"/>
          <w:kern w:val="0"/>
          <w:szCs w:val="21"/>
          <w:highlight w:val="none"/>
        </w:rPr>
        <w:t>）</w:t>
      </w:r>
    </w:p>
    <w:p>
      <w:pPr>
        <w:tabs>
          <w:tab w:val="left" w:pos="6825"/>
        </w:tabs>
        <w:autoSpaceDE w:val="0"/>
        <w:autoSpaceDN w:val="0"/>
        <w:adjustRightInd w:val="0"/>
        <w:snapToGrid w:val="0"/>
        <w:spacing w:line="480" w:lineRule="auto"/>
        <w:ind w:firstLine="420" w:firstLineChars="200"/>
        <w:jc w:val="left"/>
        <w:rPr>
          <w:rFonts w:ascii="宋体" w:hAnsi="宋体"/>
          <w:color w:val="auto"/>
          <w:w w:val="200"/>
          <w:kern w:val="0"/>
          <w:szCs w:val="21"/>
          <w:highlight w:val="none"/>
          <w:u w:val="single"/>
        </w:rPr>
      </w:pPr>
      <w:r>
        <w:rPr>
          <w:rFonts w:ascii="宋体" w:hAnsi="宋体"/>
          <w:color w:val="auto"/>
          <w:kern w:val="0"/>
          <w:szCs w:val="21"/>
          <w:highlight w:val="none"/>
        </w:rPr>
        <w:t>身份证号码：</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p>
    <w:p>
      <w:pPr>
        <w:tabs>
          <w:tab w:val="left" w:pos="6825"/>
        </w:tabs>
        <w:autoSpaceDE w:val="0"/>
        <w:autoSpaceDN w:val="0"/>
        <w:adjustRightInd w:val="0"/>
        <w:snapToGrid w:val="0"/>
        <w:spacing w:line="480" w:lineRule="auto"/>
        <w:ind w:firstLine="420" w:firstLineChars="200"/>
        <w:jc w:val="left"/>
        <w:rPr>
          <w:rFonts w:ascii="宋体" w:hAnsi="宋体"/>
          <w:color w:val="auto"/>
          <w:kern w:val="0"/>
          <w:szCs w:val="21"/>
          <w:highlight w:val="none"/>
          <w:u w:val="single"/>
        </w:rPr>
      </w:pPr>
      <w:r>
        <w:rPr>
          <w:rFonts w:hint="eastAsia" w:ascii="宋体" w:hAnsi="宋体"/>
          <w:color w:val="auto"/>
          <w:kern w:val="0"/>
          <w:szCs w:val="21"/>
          <w:highlight w:val="none"/>
        </w:rPr>
        <w:t>单位电话（座机）：</w:t>
      </w:r>
      <w:r>
        <w:rPr>
          <w:rFonts w:hint="eastAsia" w:ascii="宋体" w:hAnsi="宋体"/>
          <w:color w:val="auto"/>
          <w:kern w:val="0"/>
          <w:szCs w:val="21"/>
          <w:highlight w:val="none"/>
          <w:u w:val="single"/>
        </w:rPr>
        <w:t xml:space="preserve">                              </w:t>
      </w:r>
    </w:p>
    <w:p>
      <w:pPr>
        <w:tabs>
          <w:tab w:val="left" w:pos="5260"/>
        </w:tabs>
        <w:autoSpaceDE w:val="0"/>
        <w:autoSpaceDN w:val="0"/>
        <w:adjustRightInd w:val="0"/>
        <w:snapToGrid w:val="0"/>
        <w:spacing w:line="48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 xml:space="preserve">委托代理人电话（手机）：                                          </w:t>
      </w:r>
    </w:p>
    <w:p>
      <w:pPr>
        <w:autoSpaceDE w:val="0"/>
        <w:autoSpaceDN w:val="0"/>
        <w:adjustRightInd w:val="0"/>
        <w:snapToGrid w:val="0"/>
        <w:spacing w:line="480" w:lineRule="auto"/>
        <w:ind w:firstLine="810" w:firstLineChars="386"/>
        <w:jc w:val="left"/>
        <w:rPr>
          <w:rFonts w:ascii="宋体" w:hAnsi="宋体"/>
          <w:color w:val="auto"/>
          <w:kern w:val="0"/>
          <w:szCs w:val="21"/>
          <w:highlight w:val="none"/>
        </w:rPr>
      </w:pPr>
      <w:r>
        <w:rPr>
          <w:rFonts w:hint="eastAsia" w:ascii="宋体" w:hAnsi="宋体"/>
          <w:color w:val="auto"/>
          <w:kern w:val="0"/>
          <w:szCs w:val="21"/>
          <w:highlight w:val="none"/>
        </w:rPr>
        <w:t>附：法定代表人和委托代理人身份证复印件（双面）</w:t>
      </w:r>
    </w:p>
    <w:p>
      <w:pPr>
        <w:tabs>
          <w:tab w:val="left" w:pos="4005"/>
          <w:tab w:val="left" w:pos="4100"/>
          <w:tab w:val="left" w:pos="5040"/>
        </w:tabs>
        <w:wordWrap w:val="0"/>
        <w:autoSpaceDE w:val="0"/>
        <w:autoSpaceDN w:val="0"/>
        <w:adjustRightInd w:val="0"/>
        <w:snapToGrid w:val="0"/>
        <w:spacing w:line="360" w:lineRule="auto"/>
        <w:ind w:firstLine="3780"/>
        <w:jc w:val="right"/>
        <w:rPr>
          <w:rFonts w:ascii="宋体" w:hAnsi="宋体"/>
          <w:color w:val="auto"/>
          <w:w w:val="200"/>
          <w:kern w:val="0"/>
          <w:szCs w:val="21"/>
          <w:highlight w:val="none"/>
          <w:u w:val="single"/>
        </w:rPr>
      </w:pPr>
    </w:p>
    <w:p>
      <w:pPr>
        <w:tabs>
          <w:tab w:val="left" w:pos="4005"/>
          <w:tab w:val="left" w:pos="4100"/>
          <w:tab w:val="left" w:pos="5040"/>
        </w:tabs>
        <w:autoSpaceDE w:val="0"/>
        <w:autoSpaceDN w:val="0"/>
        <w:adjustRightInd w:val="0"/>
        <w:snapToGrid w:val="0"/>
        <w:spacing w:line="360" w:lineRule="auto"/>
        <w:ind w:firstLine="3780"/>
        <w:jc w:val="right"/>
        <w:rPr>
          <w:rFonts w:ascii="宋体" w:hAnsi="宋体"/>
          <w:color w:val="auto"/>
          <w:w w:val="200"/>
          <w:kern w:val="0"/>
          <w:szCs w:val="21"/>
          <w:highlight w:val="none"/>
          <w:u w:val="single"/>
        </w:rPr>
      </w:pPr>
    </w:p>
    <w:p>
      <w:pPr>
        <w:tabs>
          <w:tab w:val="left" w:pos="4005"/>
          <w:tab w:val="left" w:pos="4100"/>
          <w:tab w:val="left" w:pos="5040"/>
        </w:tabs>
        <w:autoSpaceDE w:val="0"/>
        <w:autoSpaceDN w:val="0"/>
        <w:adjustRightInd w:val="0"/>
        <w:snapToGrid w:val="0"/>
        <w:spacing w:line="360" w:lineRule="auto"/>
        <w:ind w:firstLine="3780"/>
        <w:jc w:val="right"/>
        <w:rPr>
          <w:rFonts w:ascii="宋体" w:hAnsi="宋体"/>
          <w:color w:val="auto"/>
          <w:w w:val="200"/>
          <w:kern w:val="0"/>
          <w:szCs w:val="21"/>
          <w:highlight w:val="none"/>
          <w:u w:val="single"/>
        </w:rPr>
      </w:pPr>
    </w:p>
    <w:p>
      <w:pPr>
        <w:tabs>
          <w:tab w:val="left" w:pos="4005"/>
          <w:tab w:val="left" w:pos="4100"/>
          <w:tab w:val="left" w:pos="5040"/>
        </w:tabs>
        <w:autoSpaceDE w:val="0"/>
        <w:autoSpaceDN w:val="0"/>
        <w:adjustRightInd w:val="0"/>
        <w:snapToGrid w:val="0"/>
        <w:spacing w:line="360" w:lineRule="auto"/>
        <w:ind w:firstLine="3780"/>
        <w:jc w:val="right"/>
        <w:rPr>
          <w:rFonts w:ascii="宋体" w:hAnsi="宋体"/>
          <w:color w:val="auto"/>
          <w:w w:val="200"/>
          <w:kern w:val="0"/>
          <w:szCs w:val="21"/>
          <w:highlight w:val="none"/>
          <w:u w:val="single"/>
        </w:rPr>
      </w:pPr>
    </w:p>
    <w:p>
      <w:pPr>
        <w:tabs>
          <w:tab w:val="left" w:pos="4005"/>
          <w:tab w:val="left" w:pos="4100"/>
          <w:tab w:val="left" w:pos="5040"/>
        </w:tabs>
        <w:autoSpaceDE w:val="0"/>
        <w:autoSpaceDN w:val="0"/>
        <w:adjustRightInd w:val="0"/>
        <w:snapToGrid w:val="0"/>
        <w:spacing w:line="360" w:lineRule="auto"/>
        <w:ind w:firstLine="3780"/>
        <w:jc w:val="right"/>
        <w:rPr>
          <w:rFonts w:ascii="宋体" w:hAnsi="宋体"/>
          <w:color w:val="auto"/>
          <w:w w:val="200"/>
          <w:kern w:val="0"/>
          <w:szCs w:val="21"/>
          <w:highlight w:val="none"/>
          <w:u w:val="single"/>
        </w:rPr>
      </w:pPr>
    </w:p>
    <w:p>
      <w:pPr>
        <w:tabs>
          <w:tab w:val="left" w:pos="6825"/>
        </w:tabs>
        <w:autoSpaceDE w:val="0"/>
        <w:autoSpaceDN w:val="0"/>
        <w:adjustRightInd w:val="0"/>
        <w:snapToGrid w:val="0"/>
        <w:spacing w:line="480" w:lineRule="auto"/>
        <w:ind w:firstLine="420" w:firstLineChars="200"/>
        <w:jc w:val="left"/>
        <w:rPr>
          <w:rFonts w:ascii="宋体" w:hAnsi="宋体"/>
          <w:color w:val="auto"/>
          <w:kern w:val="0"/>
          <w:szCs w:val="21"/>
          <w:highlight w:val="none"/>
        </w:rPr>
      </w:pPr>
    </w:p>
    <w:p>
      <w:pPr>
        <w:tabs>
          <w:tab w:val="left" w:pos="4005"/>
          <w:tab w:val="left" w:pos="4100"/>
          <w:tab w:val="left" w:pos="5040"/>
        </w:tabs>
        <w:wordWrap w:val="0"/>
        <w:autoSpaceDE w:val="0"/>
        <w:autoSpaceDN w:val="0"/>
        <w:adjustRightInd w:val="0"/>
        <w:snapToGrid w:val="0"/>
        <w:spacing w:line="360" w:lineRule="auto"/>
        <w:ind w:firstLine="3780"/>
        <w:jc w:val="right"/>
        <w:rPr>
          <w:rFonts w:ascii="宋体" w:hAnsi="宋体"/>
          <w:color w:val="auto"/>
          <w:kern w:val="0"/>
          <w:szCs w:val="21"/>
          <w:highlight w:val="none"/>
        </w:rPr>
      </w:pP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年</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月</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日</w:t>
      </w:r>
      <w:r>
        <w:rPr>
          <w:rFonts w:hint="eastAsia" w:ascii="宋体" w:hAnsi="宋体"/>
          <w:color w:val="auto"/>
          <w:kern w:val="0"/>
          <w:szCs w:val="21"/>
          <w:highlight w:val="none"/>
        </w:rPr>
        <w:t xml:space="preserve"> </w:t>
      </w:r>
    </w:p>
    <w:p>
      <w:pPr>
        <w:tabs>
          <w:tab w:val="left" w:pos="4005"/>
          <w:tab w:val="left" w:pos="4100"/>
          <w:tab w:val="left" w:pos="5040"/>
        </w:tabs>
        <w:autoSpaceDE w:val="0"/>
        <w:autoSpaceDN w:val="0"/>
        <w:adjustRightInd w:val="0"/>
        <w:snapToGrid w:val="0"/>
        <w:spacing w:line="360" w:lineRule="auto"/>
        <w:ind w:firstLine="3780"/>
        <w:jc w:val="right"/>
        <w:rPr>
          <w:rFonts w:ascii="宋体" w:hAnsi="宋体"/>
          <w:color w:val="auto"/>
          <w:kern w:val="0"/>
          <w:szCs w:val="21"/>
          <w:highlight w:val="none"/>
        </w:rPr>
      </w:pPr>
    </w:p>
    <w:p>
      <w:pPr>
        <w:tabs>
          <w:tab w:val="left" w:pos="5760"/>
        </w:tabs>
        <w:autoSpaceDE w:val="0"/>
        <w:autoSpaceDN w:val="0"/>
        <w:adjustRightInd w:val="0"/>
        <w:spacing w:line="360" w:lineRule="auto"/>
        <w:ind w:firstLine="420" w:firstLineChars="200"/>
        <w:rPr>
          <w:rFonts w:ascii="宋体" w:hAnsi="宋体"/>
          <w:color w:val="auto"/>
          <w:kern w:val="0"/>
          <w:szCs w:val="21"/>
          <w:highlight w:val="none"/>
        </w:rPr>
      </w:pPr>
      <w:r>
        <w:rPr>
          <w:rFonts w:ascii="宋体" w:hAnsi="宋体"/>
          <w:color w:val="auto"/>
          <w:kern w:val="0"/>
          <w:szCs w:val="21"/>
          <w:highlight w:val="none"/>
        </w:rPr>
        <w:t>注：1、法定代表人参加投标活动并签署文件的不需要授权委托书，只需提供法定代表人身份证明；非法定代表人参加投标活动及签署文件的除提供法定代表人身份证明外还须提供授权委托书。</w:t>
      </w:r>
    </w:p>
    <w:p>
      <w:pPr>
        <w:tabs>
          <w:tab w:val="left" w:pos="5760"/>
        </w:tabs>
        <w:autoSpaceDE w:val="0"/>
        <w:autoSpaceDN w:val="0"/>
        <w:adjustRightInd w:val="0"/>
        <w:spacing w:line="360" w:lineRule="auto"/>
        <w:ind w:firstLine="420" w:firstLineChars="200"/>
        <w:rPr>
          <w:rFonts w:ascii="宋体" w:hAnsi="宋体"/>
          <w:color w:val="auto"/>
          <w:kern w:val="0"/>
          <w:szCs w:val="21"/>
          <w:highlight w:val="none"/>
        </w:rPr>
      </w:pPr>
      <w:r>
        <w:rPr>
          <w:rFonts w:ascii="宋体" w:hAnsi="宋体"/>
          <w:color w:val="auto"/>
          <w:kern w:val="0"/>
          <w:szCs w:val="21"/>
          <w:highlight w:val="none"/>
        </w:rPr>
        <w:t>2、法定代表人身份证明及授权委托书原件装入</w:t>
      </w:r>
      <w:r>
        <w:rPr>
          <w:rFonts w:hint="eastAsia" w:ascii="宋体" w:hAnsi="宋体"/>
          <w:color w:val="auto"/>
          <w:kern w:val="0"/>
          <w:szCs w:val="21"/>
          <w:highlight w:val="none"/>
          <w:lang w:eastAsia="zh-CN"/>
        </w:rPr>
        <w:t>竞选文件</w:t>
      </w:r>
      <w:r>
        <w:rPr>
          <w:rFonts w:ascii="宋体" w:hAnsi="宋体"/>
          <w:color w:val="auto"/>
          <w:kern w:val="0"/>
          <w:szCs w:val="21"/>
          <w:highlight w:val="none"/>
        </w:rPr>
        <w:t>一并递交。另外须准备一份授权委托书原件在开标现场出具。</w:t>
      </w:r>
    </w:p>
    <w:p>
      <w:pPr>
        <w:spacing w:line="360" w:lineRule="auto"/>
        <w:ind w:firstLine="420" w:firstLineChars="200"/>
        <w:rPr>
          <w:rFonts w:ascii="宋体" w:hAnsi="宋体"/>
          <w:color w:val="auto"/>
          <w:highlight w:val="none"/>
        </w:rPr>
      </w:pPr>
      <w:r>
        <w:rPr>
          <w:rFonts w:hint="eastAsia" w:ascii="宋体" w:hAnsi="宋体"/>
          <w:color w:val="auto"/>
          <w:kern w:val="0"/>
          <w:szCs w:val="21"/>
          <w:highlight w:val="none"/>
        </w:rPr>
        <w:t>3.</w:t>
      </w:r>
      <w:r>
        <w:rPr>
          <w:rFonts w:hint="eastAsia" w:ascii="宋体" w:hAnsi="宋体"/>
          <w:color w:val="auto"/>
          <w:highlight w:val="none"/>
        </w:rPr>
        <w:t>授权委托书</w:t>
      </w:r>
      <w:r>
        <w:rPr>
          <w:rFonts w:ascii="宋体" w:hAnsi="宋体"/>
          <w:color w:val="auto"/>
          <w:highlight w:val="none"/>
        </w:rPr>
        <w:t>需按上述格式填写完整，不可缺少内容。在此基础上增加内容的不影响其有效性。</w:t>
      </w:r>
    </w:p>
    <w:p>
      <w:pPr>
        <w:pStyle w:val="5"/>
        <w:spacing w:before="0" w:after="0" w:line="240" w:lineRule="auto"/>
        <w:jc w:val="center"/>
        <w:rPr>
          <w:rFonts w:ascii="宋体" w:hAnsi="宋体"/>
          <w:color w:val="auto"/>
          <w:highlight w:val="none"/>
        </w:rPr>
      </w:pPr>
      <w:bookmarkStart w:id="1120" w:name="_Toc277082658"/>
      <w:bookmarkStart w:id="1121" w:name="_Toc224103512"/>
      <w:bookmarkStart w:id="1122" w:name="_Toc287620831"/>
      <w:bookmarkStart w:id="1123" w:name="_Toc287607884"/>
      <w:bookmarkStart w:id="1124" w:name="_Toc430530547"/>
      <w:bookmarkStart w:id="1125" w:name="_Toc29466"/>
      <w:r>
        <w:rPr>
          <w:color w:val="auto"/>
          <w:highlight w:val="none"/>
        </w:rPr>
        <w:t>（二）</w:t>
      </w:r>
      <w:bookmarkEnd w:id="1120"/>
      <w:bookmarkEnd w:id="1121"/>
      <w:bookmarkEnd w:id="1122"/>
      <w:bookmarkEnd w:id="1123"/>
      <w:bookmarkEnd w:id="1124"/>
      <w:bookmarkStart w:id="1126" w:name="_Toc277082659"/>
      <w:bookmarkStart w:id="1127" w:name="_Toc287607887"/>
      <w:r>
        <w:rPr>
          <w:rFonts w:hint="eastAsia" w:ascii="宋体" w:hAnsi="宋体"/>
          <w:b w:val="0"/>
          <w:bCs w:val="0"/>
          <w:color w:val="auto"/>
          <w:highlight w:val="none"/>
          <w:lang w:eastAsia="zh-CN"/>
        </w:rPr>
        <w:t>竞选人</w:t>
      </w:r>
      <w:r>
        <w:rPr>
          <w:rFonts w:hint="eastAsia" w:ascii="宋体" w:hAnsi="宋体"/>
          <w:b w:val="0"/>
          <w:bCs w:val="0"/>
          <w:color w:val="auto"/>
          <w:highlight w:val="none"/>
        </w:rPr>
        <w:t>基本情况表</w:t>
      </w:r>
      <w:bookmarkEnd w:id="1125"/>
    </w:p>
    <w:tbl>
      <w:tblPr>
        <w:tblStyle w:val="45"/>
        <w:tblW w:w="9469" w:type="dxa"/>
        <w:tblInd w:w="-10" w:type="dxa"/>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0" w:type="dxa"/>
          <w:bottom w:w="0" w:type="dxa"/>
          <w:right w:w="0" w:type="dxa"/>
        </w:tblCellMar>
      </w:tblPr>
      <w:tblGrid>
        <w:gridCol w:w="1862"/>
        <w:gridCol w:w="967"/>
        <w:gridCol w:w="1024"/>
        <w:gridCol w:w="904"/>
        <w:gridCol w:w="452"/>
        <w:gridCol w:w="103"/>
        <w:gridCol w:w="1392"/>
        <w:gridCol w:w="529"/>
        <w:gridCol w:w="925"/>
        <w:gridCol w:w="1311"/>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lang w:eastAsia="zh-CN"/>
              </w:rPr>
              <w:t>竞选人</w:t>
            </w:r>
            <w:r>
              <w:rPr>
                <w:rFonts w:hint="eastAsia" w:ascii="宋体" w:hAnsi="宋体" w:cs="MingLiU"/>
                <w:color w:val="auto"/>
                <w:kern w:val="0"/>
                <w:szCs w:val="21"/>
                <w:highlight w:val="none"/>
              </w:rPr>
              <w:t>名称</w:t>
            </w:r>
          </w:p>
        </w:tc>
        <w:tc>
          <w:tcPr>
            <w:tcW w:w="7607" w:type="dxa"/>
            <w:gridSpan w:val="9"/>
            <w:vAlign w:val="center"/>
          </w:tcPr>
          <w:p>
            <w:pPr>
              <w:autoSpaceDE w:val="0"/>
              <w:autoSpaceDN w:val="0"/>
              <w:adjustRightInd w:val="0"/>
              <w:snapToGrid w:val="0"/>
              <w:jc w:val="center"/>
              <w:rPr>
                <w:rFonts w:ascii="宋体" w:hAnsi="宋体"/>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注册地址</w:t>
            </w:r>
          </w:p>
        </w:tc>
        <w:tc>
          <w:tcPr>
            <w:tcW w:w="3450" w:type="dxa"/>
            <w:gridSpan w:val="5"/>
            <w:vAlign w:val="center"/>
          </w:tcPr>
          <w:p>
            <w:pPr>
              <w:autoSpaceDE w:val="0"/>
              <w:autoSpaceDN w:val="0"/>
              <w:adjustRightInd w:val="0"/>
              <w:snapToGrid w:val="0"/>
              <w:jc w:val="center"/>
              <w:rPr>
                <w:rFonts w:ascii="宋体" w:hAnsi="宋体"/>
                <w:color w:val="auto"/>
                <w:kern w:val="0"/>
                <w:szCs w:val="21"/>
                <w:highlight w:val="none"/>
              </w:rPr>
            </w:pPr>
          </w:p>
        </w:tc>
        <w:tc>
          <w:tcPr>
            <w:tcW w:w="139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邮政编码</w:t>
            </w:r>
          </w:p>
        </w:tc>
        <w:tc>
          <w:tcPr>
            <w:tcW w:w="2765" w:type="dxa"/>
            <w:gridSpan w:val="3"/>
            <w:vAlign w:val="center"/>
          </w:tcPr>
          <w:p>
            <w:pPr>
              <w:autoSpaceDE w:val="0"/>
              <w:autoSpaceDN w:val="0"/>
              <w:adjustRightInd w:val="0"/>
              <w:snapToGrid w:val="0"/>
              <w:jc w:val="center"/>
              <w:rPr>
                <w:rFonts w:ascii="宋体" w:hAnsi="宋体"/>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Merge w:val="restart"/>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联系方式</w:t>
            </w:r>
          </w:p>
        </w:tc>
        <w:tc>
          <w:tcPr>
            <w:tcW w:w="967"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联系人</w:t>
            </w:r>
          </w:p>
        </w:tc>
        <w:tc>
          <w:tcPr>
            <w:tcW w:w="2483" w:type="dxa"/>
            <w:gridSpan w:val="4"/>
            <w:vAlign w:val="center"/>
          </w:tcPr>
          <w:p>
            <w:pPr>
              <w:autoSpaceDE w:val="0"/>
              <w:autoSpaceDN w:val="0"/>
              <w:adjustRightInd w:val="0"/>
              <w:snapToGrid w:val="0"/>
              <w:jc w:val="center"/>
              <w:rPr>
                <w:rFonts w:ascii="宋体" w:hAnsi="宋体"/>
                <w:color w:val="auto"/>
                <w:kern w:val="0"/>
                <w:szCs w:val="21"/>
                <w:highlight w:val="none"/>
              </w:rPr>
            </w:pPr>
          </w:p>
        </w:tc>
        <w:tc>
          <w:tcPr>
            <w:tcW w:w="139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电话</w:t>
            </w:r>
          </w:p>
        </w:tc>
        <w:tc>
          <w:tcPr>
            <w:tcW w:w="2765" w:type="dxa"/>
            <w:gridSpan w:val="3"/>
            <w:vAlign w:val="center"/>
          </w:tcPr>
          <w:p>
            <w:pPr>
              <w:autoSpaceDE w:val="0"/>
              <w:autoSpaceDN w:val="0"/>
              <w:adjustRightInd w:val="0"/>
              <w:snapToGrid w:val="0"/>
              <w:jc w:val="center"/>
              <w:rPr>
                <w:rFonts w:ascii="宋体" w:hAnsi="宋体"/>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Merge w:val="continue"/>
            <w:vAlign w:val="center"/>
          </w:tcPr>
          <w:p>
            <w:pPr>
              <w:autoSpaceDE w:val="0"/>
              <w:autoSpaceDN w:val="0"/>
              <w:adjustRightInd w:val="0"/>
              <w:snapToGrid w:val="0"/>
              <w:jc w:val="center"/>
              <w:rPr>
                <w:rFonts w:ascii="宋体" w:hAnsi="宋体"/>
                <w:color w:val="auto"/>
                <w:kern w:val="0"/>
                <w:szCs w:val="21"/>
                <w:highlight w:val="none"/>
              </w:rPr>
            </w:pPr>
          </w:p>
        </w:tc>
        <w:tc>
          <w:tcPr>
            <w:tcW w:w="967" w:type="dxa"/>
            <w:vAlign w:val="center"/>
          </w:tcPr>
          <w:p>
            <w:pPr>
              <w:tabs>
                <w:tab w:val="left" w:pos="540"/>
              </w:tabs>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传  真</w:t>
            </w:r>
          </w:p>
        </w:tc>
        <w:tc>
          <w:tcPr>
            <w:tcW w:w="2483" w:type="dxa"/>
            <w:gridSpan w:val="4"/>
            <w:vAlign w:val="center"/>
          </w:tcPr>
          <w:p>
            <w:pPr>
              <w:autoSpaceDE w:val="0"/>
              <w:autoSpaceDN w:val="0"/>
              <w:adjustRightInd w:val="0"/>
              <w:snapToGrid w:val="0"/>
              <w:jc w:val="center"/>
              <w:rPr>
                <w:rFonts w:ascii="宋体" w:hAnsi="宋体"/>
                <w:color w:val="auto"/>
                <w:kern w:val="0"/>
                <w:szCs w:val="21"/>
                <w:highlight w:val="none"/>
              </w:rPr>
            </w:pPr>
          </w:p>
        </w:tc>
        <w:tc>
          <w:tcPr>
            <w:tcW w:w="139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网址</w:t>
            </w:r>
          </w:p>
        </w:tc>
        <w:tc>
          <w:tcPr>
            <w:tcW w:w="2765" w:type="dxa"/>
            <w:gridSpan w:val="3"/>
            <w:vAlign w:val="center"/>
          </w:tcPr>
          <w:p>
            <w:pPr>
              <w:autoSpaceDE w:val="0"/>
              <w:autoSpaceDN w:val="0"/>
              <w:adjustRightInd w:val="0"/>
              <w:snapToGrid w:val="0"/>
              <w:jc w:val="center"/>
              <w:rPr>
                <w:rFonts w:ascii="宋体" w:hAnsi="宋体"/>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组织结构</w:t>
            </w:r>
          </w:p>
        </w:tc>
        <w:tc>
          <w:tcPr>
            <w:tcW w:w="7607" w:type="dxa"/>
            <w:gridSpan w:val="9"/>
            <w:vAlign w:val="center"/>
          </w:tcPr>
          <w:p>
            <w:pPr>
              <w:autoSpaceDE w:val="0"/>
              <w:autoSpaceDN w:val="0"/>
              <w:adjustRightInd w:val="0"/>
              <w:snapToGrid w:val="0"/>
              <w:jc w:val="center"/>
              <w:rPr>
                <w:rFonts w:ascii="宋体" w:hAnsi="宋体"/>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法定代表人</w:t>
            </w:r>
          </w:p>
        </w:tc>
        <w:tc>
          <w:tcPr>
            <w:tcW w:w="967"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姓  名</w:t>
            </w:r>
          </w:p>
        </w:tc>
        <w:tc>
          <w:tcPr>
            <w:tcW w:w="1024" w:type="dxa"/>
            <w:vAlign w:val="center"/>
          </w:tcPr>
          <w:p>
            <w:pPr>
              <w:autoSpaceDE w:val="0"/>
              <w:autoSpaceDN w:val="0"/>
              <w:adjustRightInd w:val="0"/>
              <w:snapToGrid w:val="0"/>
              <w:jc w:val="center"/>
              <w:rPr>
                <w:rFonts w:ascii="宋体" w:hAnsi="宋体"/>
                <w:color w:val="auto"/>
                <w:kern w:val="0"/>
                <w:szCs w:val="21"/>
                <w:highlight w:val="none"/>
              </w:rPr>
            </w:pPr>
          </w:p>
        </w:tc>
        <w:tc>
          <w:tcPr>
            <w:tcW w:w="1356" w:type="dxa"/>
            <w:gridSpan w:val="2"/>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技术职称</w:t>
            </w:r>
          </w:p>
        </w:tc>
        <w:tc>
          <w:tcPr>
            <w:tcW w:w="2024" w:type="dxa"/>
            <w:gridSpan w:val="3"/>
            <w:vAlign w:val="center"/>
          </w:tcPr>
          <w:p>
            <w:pPr>
              <w:autoSpaceDE w:val="0"/>
              <w:autoSpaceDN w:val="0"/>
              <w:adjustRightInd w:val="0"/>
              <w:snapToGrid w:val="0"/>
              <w:jc w:val="center"/>
              <w:rPr>
                <w:rFonts w:ascii="宋体" w:hAnsi="宋体"/>
                <w:color w:val="auto"/>
                <w:kern w:val="0"/>
                <w:szCs w:val="21"/>
                <w:highlight w:val="none"/>
              </w:rPr>
            </w:pPr>
          </w:p>
        </w:tc>
        <w:tc>
          <w:tcPr>
            <w:tcW w:w="925"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电  话</w:t>
            </w:r>
          </w:p>
        </w:tc>
        <w:tc>
          <w:tcPr>
            <w:tcW w:w="1311" w:type="dxa"/>
            <w:vAlign w:val="center"/>
          </w:tcPr>
          <w:p>
            <w:pPr>
              <w:autoSpaceDE w:val="0"/>
              <w:autoSpaceDN w:val="0"/>
              <w:adjustRightInd w:val="0"/>
              <w:snapToGrid w:val="0"/>
              <w:jc w:val="center"/>
              <w:rPr>
                <w:rFonts w:ascii="宋体" w:hAnsi="宋体"/>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技术负责人</w:t>
            </w:r>
          </w:p>
        </w:tc>
        <w:tc>
          <w:tcPr>
            <w:tcW w:w="967"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姓  名</w:t>
            </w:r>
          </w:p>
        </w:tc>
        <w:tc>
          <w:tcPr>
            <w:tcW w:w="1024" w:type="dxa"/>
            <w:vAlign w:val="center"/>
          </w:tcPr>
          <w:p>
            <w:pPr>
              <w:autoSpaceDE w:val="0"/>
              <w:autoSpaceDN w:val="0"/>
              <w:adjustRightInd w:val="0"/>
              <w:snapToGrid w:val="0"/>
              <w:jc w:val="center"/>
              <w:rPr>
                <w:rFonts w:ascii="宋体" w:hAnsi="宋体"/>
                <w:color w:val="auto"/>
                <w:kern w:val="0"/>
                <w:szCs w:val="21"/>
                <w:highlight w:val="none"/>
              </w:rPr>
            </w:pPr>
          </w:p>
        </w:tc>
        <w:tc>
          <w:tcPr>
            <w:tcW w:w="1356" w:type="dxa"/>
            <w:gridSpan w:val="2"/>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技术职称</w:t>
            </w:r>
          </w:p>
        </w:tc>
        <w:tc>
          <w:tcPr>
            <w:tcW w:w="2024" w:type="dxa"/>
            <w:gridSpan w:val="3"/>
            <w:vAlign w:val="center"/>
          </w:tcPr>
          <w:p>
            <w:pPr>
              <w:autoSpaceDE w:val="0"/>
              <w:autoSpaceDN w:val="0"/>
              <w:adjustRightInd w:val="0"/>
              <w:snapToGrid w:val="0"/>
              <w:jc w:val="center"/>
              <w:rPr>
                <w:rFonts w:ascii="宋体" w:hAnsi="宋体"/>
                <w:color w:val="auto"/>
                <w:kern w:val="0"/>
                <w:szCs w:val="21"/>
                <w:highlight w:val="none"/>
              </w:rPr>
            </w:pPr>
          </w:p>
        </w:tc>
        <w:tc>
          <w:tcPr>
            <w:tcW w:w="925"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电  话</w:t>
            </w:r>
          </w:p>
        </w:tc>
        <w:tc>
          <w:tcPr>
            <w:tcW w:w="1311" w:type="dxa"/>
            <w:vAlign w:val="center"/>
          </w:tcPr>
          <w:p>
            <w:pPr>
              <w:autoSpaceDE w:val="0"/>
              <w:autoSpaceDN w:val="0"/>
              <w:adjustRightInd w:val="0"/>
              <w:snapToGrid w:val="0"/>
              <w:jc w:val="center"/>
              <w:rPr>
                <w:rFonts w:ascii="宋体" w:hAnsi="宋体"/>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成立时间</w:t>
            </w:r>
          </w:p>
        </w:tc>
        <w:tc>
          <w:tcPr>
            <w:tcW w:w="1991" w:type="dxa"/>
            <w:gridSpan w:val="2"/>
            <w:vAlign w:val="center"/>
          </w:tcPr>
          <w:p>
            <w:pPr>
              <w:autoSpaceDE w:val="0"/>
              <w:autoSpaceDN w:val="0"/>
              <w:adjustRightInd w:val="0"/>
              <w:snapToGrid w:val="0"/>
              <w:jc w:val="center"/>
              <w:rPr>
                <w:rFonts w:ascii="宋体" w:hAnsi="宋体"/>
                <w:color w:val="auto"/>
                <w:kern w:val="0"/>
                <w:szCs w:val="21"/>
                <w:highlight w:val="none"/>
              </w:rPr>
            </w:pPr>
          </w:p>
        </w:tc>
        <w:tc>
          <w:tcPr>
            <w:tcW w:w="5616" w:type="dxa"/>
            <w:gridSpan w:val="7"/>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员工总人数：</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企业资质等级</w:t>
            </w:r>
          </w:p>
        </w:tc>
        <w:tc>
          <w:tcPr>
            <w:tcW w:w="1991" w:type="dxa"/>
            <w:gridSpan w:val="2"/>
            <w:vAlign w:val="center"/>
          </w:tcPr>
          <w:p>
            <w:pPr>
              <w:autoSpaceDE w:val="0"/>
              <w:autoSpaceDN w:val="0"/>
              <w:adjustRightInd w:val="0"/>
              <w:snapToGrid w:val="0"/>
              <w:jc w:val="center"/>
              <w:rPr>
                <w:rFonts w:ascii="宋体" w:hAnsi="宋体"/>
                <w:color w:val="auto"/>
                <w:kern w:val="0"/>
                <w:szCs w:val="21"/>
                <w:highlight w:val="none"/>
              </w:rPr>
            </w:pPr>
          </w:p>
        </w:tc>
        <w:tc>
          <w:tcPr>
            <w:tcW w:w="904" w:type="dxa"/>
            <w:vMerge w:val="restart"/>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其中</w:t>
            </w:r>
          </w:p>
        </w:tc>
        <w:tc>
          <w:tcPr>
            <w:tcW w:w="2476" w:type="dxa"/>
            <w:gridSpan w:val="4"/>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项目经理</w:t>
            </w:r>
          </w:p>
        </w:tc>
        <w:tc>
          <w:tcPr>
            <w:tcW w:w="2236" w:type="dxa"/>
            <w:gridSpan w:val="2"/>
            <w:vAlign w:val="center"/>
          </w:tcPr>
          <w:p>
            <w:pPr>
              <w:autoSpaceDE w:val="0"/>
              <w:autoSpaceDN w:val="0"/>
              <w:adjustRightInd w:val="0"/>
              <w:snapToGrid w:val="0"/>
              <w:jc w:val="center"/>
              <w:rPr>
                <w:rFonts w:ascii="宋体" w:hAnsi="宋体"/>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统一社会信用代码</w:t>
            </w:r>
          </w:p>
        </w:tc>
        <w:tc>
          <w:tcPr>
            <w:tcW w:w="1991" w:type="dxa"/>
            <w:gridSpan w:val="2"/>
            <w:vAlign w:val="center"/>
          </w:tcPr>
          <w:p>
            <w:pPr>
              <w:autoSpaceDE w:val="0"/>
              <w:autoSpaceDN w:val="0"/>
              <w:adjustRightInd w:val="0"/>
              <w:snapToGrid w:val="0"/>
              <w:jc w:val="center"/>
              <w:rPr>
                <w:rFonts w:ascii="宋体" w:hAnsi="宋体"/>
                <w:color w:val="auto"/>
                <w:kern w:val="0"/>
                <w:szCs w:val="21"/>
                <w:highlight w:val="none"/>
              </w:rPr>
            </w:pPr>
          </w:p>
        </w:tc>
        <w:tc>
          <w:tcPr>
            <w:tcW w:w="904" w:type="dxa"/>
            <w:vMerge w:val="continue"/>
            <w:vAlign w:val="center"/>
          </w:tcPr>
          <w:p>
            <w:pPr>
              <w:autoSpaceDE w:val="0"/>
              <w:autoSpaceDN w:val="0"/>
              <w:adjustRightInd w:val="0"/>
              <w:snapToGrid w:val="0"/>
              <w:jc w:val="center"/>
              <w:rPr>
                <w:rFonts w:ascii="宋体" w:hAnsi="宋体"/>
                <w:color w:val="auto"/>
                <w:kern w:val="0"/>
                <w:szCs w:val="21"/>
                <w:highlight w:val="none"/>
              </w:rPr>
            </w:pPr>
          </w:p>
        </w:tc>
        <w:tc>
          <w:tcPr>
            <w:tcW w:w="2476" w:type="dxa"/>
            <w:gridSpan w:val="4"/>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高级职称人员</w:t>
            </w:r>
          </w:p>
        </w:tc>
        <w:tc>
          <w:tcPr>
            <w:tcW w:w="2236" w:type="dxa"/>
            <w:gridSpan w:val="2"/>
            <w:vAlign w:val="center"/>
          </w:tcPr>
          <w:p>
            <w:pPr>
              <w:autoSpaceDE w:val="0"/>
              <w:autoSpaceDN w:val="0"/>
              <w:adjustRightInd w:val="0"/>
              <w:snapToGrid w:val="0"/>
              <w:jc w:val="center"/>
              <w:rPr>
                <w:rFonts w:ascii="宋体" w:hAnsi="宋体"/>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注册资金</w:t>
            </w:r>
          </w:p>
        </w:tc>
        <w:tc>
          <w:tcPr>
            <w:tcW w:w="1991" w:type="dxa"/>
            <w:gridSpan w:val="2"/>
            <w:vAlign w:val="center"/>
          </w:tcPr>
          <w:p>
            <w:pPr>
              <w:autoSpaceDE w:val="0"/>
              <w:autoSpaceDN w:val="0"/>
              <w:adjustRightInd w:val="0"/>
              <w:snapToGrid w:val="0"/>
              <w:jc w:val="center"/>
              <w:rPr>
                <w:rFonts w:ascii="宋体" w:hAnsi="宋体"/>
                <w:color w:val="auto"/>
                <w:kern w:val="0"/>
                <w:szCs w:val="21"/>
                <w:highlight w:val="none"/>
              </w:rPr>
            </w:pPr>
          </w:p>
        </w:tc>
        <w:tc>
          <w:tcPr>
            <w:tcW w:w="904" w:type="dxa"/>
            <w:vMerge w:val="continue"/>
            <w:vAlign w:val="center"/>
          </w:tcPr>
          <w:p>
            <w:pPr>
              <w:autoSpaceDE w:val="0"/>
              <w:autoSpaceDN w:val="0"/>
              <w:adjustRightInd w:val="0"/>
              <w:snapToGrid w:val="0"/>
              <w:jc w:val="center"/>
              <w:rPr>
                <w:rFonts w:ascii="宋体" w:hAnsi="宋体"/>
                <w:color w:val="auto"/>
                <w:kern w:val="0"/>
                <w:szCs w:val="21"/>
                <w:highlight w:val="none"/>
              </w:rPr>
            </w:pPr>
          </w:p>
        </w:tc>
        <w:tc>
          <w:tcPr>
            <w:tcW w:w="2476" w:type="dxa"/>
            <w:gridSpan w:val="4"/>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中级职称人员</w:t>
            </w:r>
          </w:p>
        </w:tc>
        <w:tc>
          <w:tcPr>
            <w:tcW w:w="2236" w:type="dxa"/>
            <w:gridSpan w:val="2"/>
            <w:vAlign w:val="center"/>
          </w:tcPr>
          <w:p>
            <w:pPr>
              <w:autoSpaceDE w:val="0"/>
              <w:autoSpaceDN w:val="0"/>
              <w:adjustRightInd w:val="0"/>
              <w:snapToGrid w:val="0"/>
              <w:jc w:val="center"/>
              <w:rPr>
                <w:rFonts w:ascii="宋体" w:hAnsi="宋体"/>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开户银行</w:t>
            </w:r>
          </w:p>
        </w:tc>
        <w:tc>
          <w:tcPr>
            <w:tcW w:w="1991" w:type="dxa"/>
            <w:gridSpan w:val="2"/>
            <w:vAlign w:val="center"/>
          </w:tcPr>
          <w:p>
            <w:pPr>
              <w:autoSpaceDE w:val="0"/>
              <w:autoSpaceDN w:val="0"/>
              <w:adjustRightInd w:val="0"/>
              <w:snapToGrid w:val="0"/>
              <w:jc w:val="center"/>
              <w:rPr>
                <w:rFonts w:ascii="宋体" w:hAnsi="宋体"/>
                <w:color w:val="auto"/>
                <w:kern w:val="0"/>
                <w:szCs w:val="21"/>
                <w:highlight w:val="none"/>
              </w:rPr>
            </w:pPr>
          </w:p>
        </w:tc>
        <w:tc>
          <w:tcPr>
            <w:tcW w:w="904" w:type="dxa"/>
            <w:vMerge w:val="continue"/>
            <w:vAlign w:val="center"/>
          </w:tcPr>
          <w:p>
            <w:pPr>
              <w:autoSpaceDE w:val="0"/>
              <w:autoSpaceDN w:val="0"/>
              <w:adjustRightInd w:val="0"/>
              <w:snapToGrid w:val="0"/>
              <w:jc w:val="center"/>
              <w:rPr>
                <w:rFonts w:ascii="宋体" w:hAnsi="宋体"/>
                <w:color w:val="auto"/>
                <w:kern w:val="0"/>
                <w:szCs w:val="21"/>
                <w:highlight w:val="none"/>
              </w:rPr>
            </w:pPr>
          </w:p>
        </w:tc>
        <w:tc>
          <w:tcPr>
            <w:tcW w:w="2476" w:type="dxa"/>
            <w:gridSpan w:val="4"/>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初级职称人员</w:t>
            </w:r>
          </w:p>
        </w:tc>
        <w:tc>
          <w:tcPr>
            <w:tcW w:w="2236" w:type="dxa"/>
            <w:gridSpan w:val="2"/>
            <w:vAlign w:val="center"/>
          </w:tcPr>
          <w:p>
            <w:pPr>
              <w:autoSpaceDE w:val="0"/>
              <w:autoSpaceDN w:val="0"/>
              <w:adjustRightInd w:val="0"/>
              <w:snapToGrid w:val="0"/>
              <w:jc w:val="center"/>
              <w:rPr>
                <w:rFonts w:ascii="宋体" w:hAnsi="宋体"/>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olor w:val="auto"/>
                <w:kern w:val="0"/>
                <w:szCs w:val="21"/>
                <w:highlight w:val="none"/>
              </w:rPr>
              <w:t>账号</w:t>
            </w:r>
          </w:p>
        </w:tc>
        <w:tc>
          <w:tcPr>
            <w:tcW w:w="1991" w:type="dxa"/>
            <w:gridSpan w:val="2"/>
            <w:vAlign w:val="center"/>
          </w:tcPr>
          <w:p>
            <w:pPr>
              <w:autoSpaceDE w:val="0"/>
              <w:autoSpaceDN w:val="0"/>
              <w:adjustRightInd w:val="0"/>
              <w:snapToGrid w:val="0"/>
              <w:jc w:val="center"/>
              <w:rPr>
                <w:rFonts w:ascii="宋体" w:hAnsi="宋体"/>
                <w:color w:val="auto"/>
                <w:kern w:val="0"/>
                <w:szCs w:val="21"/>
                <w:highlight w:val="none"/>
              </w:rPr>
            </w:pPr>
          </w:p>
        </w:tc>
        <w:tc>
          <w:tcPr>
            <w:tcW w:w="904" w:type="dxa"/>
            <w:vMerge w:val="continue"/>
            <w:vAlign w:val="center"/>
          </w:tcPr>
          <w:p>
            <w:pPr>
              <w:autoSpaceDE w:val="0"/>
              <w:autoSpaceDN w:val="0"/>
              <w:adjustRightInd w:val="0"/>
              <w:snapToGrid w:val="0"/>
              <w:jc w:val="center"/>
              <w:rPr>
                <w:rFonts w:ascii="宋体" w:hAnsi="宋体"/>
                <w:color w:val="auto"/>
                <w:kern w:val="0"/>
                <w:szCs w:val="21"/>
                <w:highlight w:val="none"/>
              </w:rPr>
            </w:pPr>
          </w:p>
        </w:tc>
        <w:tc>
          <w:tcPr>
            <w:tcW w:w="2476" w:type="dxa"/>
            <w:gridSpan w:val="4"/>
            <w:vAlign w:val="center"/>
          </w:tcPr>
          <w:p>
            <w:pPr>
              <w:tabs>
                <w:tab w:val="left" w:pos="1240"/>
              </w:tabs>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技</w:t>
            </w:r>
            <w:r>
              <w:rPr>
                <w:rFonts w:ascii="宋体" w:hAnsi="宋体"/>
                <w:color w:val="auto"/>
                <w:kern w:val="0"/>
                <w:szCs w:val="21"/>
                <w:highlight w:val="none"/>
              </w:rPr>
              <w:tab/>
            </w:r>
            <w:r>
              <w:rPr>
                <w:rFonts w:hint="eastAsia" w:ascii="宋体" w:hAnsi="宋体" w:cs="MingLiU"/>
                <w:color w:val="auto"/>
                <w:kern w:val="0"/>
                <w:szCs w:val="21"/>
                <w:highlight w:val="none"/>
              </w:rPr>
              <w:t>工</w:t>
            </w:r>
          </w:p>
        </w:tc>
        <w:tc>
          <w:tcPr>
            <w:tcW w:w="2236" w:type="dxa"/>
            <w:gridSpan w:val="2"/>
            <w:vAlign w:val="center"/>
          </w:tcPr>
          <w:p>
            <w:pPr>
              <w:autoSpaceDE w:val="0"/>
              <w:autoSpaceDN w:val="0"/>
              <w:adjustRightInd w:val="0"/>
              <w:snapToGrid w:val="0"/>
              <w:jc w:val="center"/>
              <w:rPr>
                <w:rFonts w:ascii="宋体" w:hAnsi="宋体"/>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经营范围</w:t>
            </w:r>
          </w:p>
        </w:tc>
        <w:tc>
          <w:tcPr>
            <w:tcW w:w="7607" w:type="dxa"/>
            <w:gridSpan w:val="9"/>
            <w:vAlign w:val="center"/>
          </w:tcPr>
          <w:p>
            <w:pPr>
              <w:autoSpaceDE w:val="0"/>
              <w:autoSpaceDN w:val="0"/>
              <w:adjustRightInd w:val="0"/>
              <w:snapToGrid w:val="0"/>
              <w:jc w:val="center"/>
              <w:rPr>
                <w:rFonts w:ascii="宋体" w:hAnsi="宋体"/>
                <w:color w:val="auto"/>
                <w:kern w:val="0"/>
                <w:szCs w:val="21"/>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51" w:hRule="exact"/>
        </w:trPr>
        <w:tc>
          <w:tcPr>
            <w:tcW w:w="1862" w:type="dxa"/>
            <w:vAlign w:val="center"/>
          </w:tcPr>
          <w:p>
            <w:pPr>
              <w:autoSpaceDE w:val="0"/>
              <w:autoSpaceDN w:val="0"/>
              <w:adjustRightInd w:val="0"/>
              <w:snapToGrid w:val="0"/>
              <w:jc w:val="center"/>
              <w:rPr>
                <w:rFonts w:ascii="宋体" w:hAnsi="宋体"/>
                <w:color w:val="auto"/>
                <w:kern w:val="0"/>
                <w:szCs w:val="21"/>
                <w:highlight w:val="none"/>
              </w:rPr>
            </w:pPr>
            <w:r>
              <w:rPr>
                <w:rFonts w:hint="eastAsia" w:ascii="宋体" w:hAnsi="宋体" w:cs="MingLiU"/>
                <w:color w:val="auto"/>
                <w:kern w:val="0"/>
                <w:szCs w:val="21"/>
                <w:highlight w:val="none"/>
              </w:rPr>
              <w:t>备注</w:t>
            </w:r>
          </w:p>
        </w:tc>
        <w:tc>
          <w:tcPr>
            <w:tcW w:w="7607" w:type="dxa"/>
            <w:gridSpan w:val="9"/>
            <w:vAlign w:val="center"/>
          </w:tcPr>
          <w:p>
            <w:pPr>
              <w:autoSpaceDE w:val="0"/>
              <w:autoSpaceDN w:val="0"/>
              <w:adjustRightInd w:val="0"/>
              <w:snapToGrid w:val="0"/>
              <w:jc w:val="center"/>
              <w:rPr>
                <w:rFonts w:ascii="宋体" w:hAnsi="宋体"/>
                <w:color w:val="auto"/>
                <w:kern w:val="0"/>
                <w:szCs w:val="21"/>
                <w:highlight w:val="none"/>
              </w:rPr>
            </w:pPr>
          </w:p>
        </w:tc>
      </w:tr>
    </w:tbl>
    <w:p>
      <w:pPr>
        <w:spacing w:line="360" w:lineRule="auto"/>
        <w:jc w:val="center"/>
        <w:rPr>
          <w:rFonts w:ascii="宋体" w:hAnsi="宋体"/>
          <w:color w:val="auto"/>
          <w:szCs w:val="21"/>
          <w:highlight w:val="none"/>
        </w:rPr>
      </w:pPr>
    </w:p>
    <w:p>
      <w:pPr>
        <w:pStyle w:val="5"/>
        <w:spacing w:before="0" w:after="0" w:line="240" w:lineRule="auto"/>
        <w:jc w:val="center"/>
        <w:rPr>
          <w:rFonts w:ascii="宋体" w:hAnsi="宋体"/>
          <w:b w:val="0"/>
          <w:bCs w:val="0"/>
          <w:color w:val="auto"/>
          <w:highlight w:val="none"/>
        </w:rPr>
      </w:pPr>
      <w:r>
        <w:rPr>
          <w:rFonts w:ascii="宋体" w:hAnsi="宋体"/>
          <w:color w:val="auto"/>
          <w:szCs w:val="21"/>
          <w:highlight w:val="none"/>
        </w:rPr>
        <w:br w:type="page"/>
      </w:r>
      <w:bookmarkEnd w:id="1126"/>
      <w:bookmarkEnd w:id="1127"/>
      <w:bookmarkStart w:id="1128" w:name="_Toc509218863"/>
      <w:bookmarkStart w:id="1129" w:name="_Toc534185840"/>
      <w:bookmarkStart w:id="1130" w:name="_Toc32263"/>
      <w:bookmarkStart w:id="1131" w:name="_Toc430530552"/>
      <w:bookmarkStart w:id="1132" w:name="_Toc287607893"/>
      <w:bookmarkStart w:id="1133" w:name="_Toc277082663"/>
      <w:bookmarkStart w:id="1134" w:name="_Toc287620839"/>
      <w:bookmarkStart w:id="1135" w:name="_Toc224103520"/>
      <w:bookmarkStart w:id="1136" w:name="_Toc509218866"/>
      <w:bookmarkStart w:id="1137" w:name="_Toc534185843"/>
      <w:r>
        <w:rPr>
          <w:rFonts w:hint="eastAsia" w:ascii="宋体" w:hAnsi="宋体"/>
          <w:b w:val="0"/>
          <w:bCs w:val="0"/>
          <w:color w:val="auto"/>
          <w:highlight w:val="none"/>
        </w:rPr>
        <w:t>（</w:t>
      </w:r>
      <w:r>
        <w:rPr>
          <w:rFonts w:hint="eastAsia" w:ascii="宋体" w:hAnsi="宋体"/>
          <w:b w:val="0"/>
          <w:bCs w:val="0"/>
          <w:color w:val="auto"/>
          <w:highlight w:val="none"/>
          <w:lang w:val="en-US" w:eastAsia="zh-CN"/>
        </w:rPr>
        <w:t>三</w:t>
      </w:r>
      <w:r>
        <w:rPr>
          <w:rFonts w:hint="eastAsia" w:ascii="宋体" w:hAnsi="宋体"/>
          <w:b w:val="0"/>
          <w:bCs w:val="0"/>
          <w:color w:val="auto"/>
          <w:highlight w:val="none"/>
        </w:rPr>
        <w:t>）项目管理机构</w:t>
      </w:r>
      <w:bookmarkEnd w:id="1128"/>
      <w:bookmarkEnd w:id="1129"/>
      <w:bookmarkEnd w:id="1130"/>
    </w:p>
    <w:p>
      <w:pPr>
        <w:spacing w:line="360" w:lineRule="auto"/>
        <w:rPr>
          <w:rFonts w:ascii="宋体" w:hAnsi="宋体"/>
          <w:color w:val="auto"/>
          <w:highlight w:val="none"/>
        </w:rPr>
      </w:pPr>
    </w:p>
    <w:p>
      <w:pPr>
        <w:autoSpaceDE w:val="0"/>
        <w:autoSpaceDN w:val="0"/>
        <w:adjustRightInd w:val="0"/>
        <w:snapToGrid w:val="0"/>
        <w:spacing w:line="360" w:lineRule="auto"/>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“江南春城-阳光水岸项目土石方工程”</w:t>
      </w:r>
      <w:r>
        <w:rPr>
          <w:rFonts w:hint="eastAsia" w:ascii="仿宋" w:hAnsi="仿宋" w:eastAsia="仿宋" w:cs="仿宋"/>
          <w:color w:val="auto"/>
          <w:kern w:val="0"/>
          <w:sz w:val="24"/>
          <w:szCs w:val="24"/>
          <w:highlight w:val="none"/>
        </w:rPr>
        <w:t>项目管理机构组成表</w:t>
      </w:r>
    </w:p>
    <w:tbl>
      <w:tblPr>
        <w:tblStyle w:val="45"/>
        <w:tblW w:w="10024" w:type="dxa"/>
        <w:tblInd w:w="-397" w:type="dxa"/>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0" w:type="dxa"/>
          <w:bottom w:w="0" w:type="dxa"/>
          <w:right w:w="0" w:type="dxa"/>
        </w:tblCellMar>
      </w:tblPr>
      <w:tblGrid>
        <w:gridCol w:w="1398"/>
        <w:gridCol w:w="734"/>
        <w:gridCol w:w="776"/>
        <w:gridCol w:w="1167"/>
        <w:gridCol w:w="776"/>
        <w:gridCol w:w="778"/>
        <w:gridCol w:w="776"/>
        <w:gridCol w:w="2723"/>
        <w:gridCol w:w="896"/>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vMerge w:val="restart"/>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职务</w:t>
            </w:r>
          </w:p>
        </w:tc>
        <w:tc>
          <w:tcPr>
            <w:tcW w:w="734" w:type="dxa"/>
            <w:vMerge w:val="restart"/>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姓名</w:t>
            </w:r>
          </w:p>
        </w:tc>
        <w:tc>
          <w:tcPr>
            <w:tcW w:w="776" w:type="dxa"/>
            <w:vMerge w:val="restart"/>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职称</w:t>
            </w:r>
          </w:p>
        </w:tc>
        <w:tc>
          <w:tcPr>
            <w:tcW w:w="6220" w:type="dxa"/>
            <w:gridSpan w:val="5"/>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执业或职业资格证明</w:t>
            </w:r>
          </w:p>
        </w:tc>
        <w:tc>
          <w:tcPr>
            <w:tcW w:w="896"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备注</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vMerge w:val="continue"/>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vMerge w:val="continue"/>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vMerge w:val="continue"/>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证书名称</w:t>
            </w:r>
          </w:p>
        </w:tc>
        <w:tc>
          <w:tcPr>
            <w:tcW w:w="776"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级别</w:t>
            </w:r>
          </w:p>
        </w:tc>
        <w:tc>
          <w:tcPr>
            <w:tcW w:w="778"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证号</w:t>
            </w:r>
          </w:p>
        </w:tc>
        <w:tc>
          <w:tcPr>
            <w:tcW w:w="776"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专业</w:t>
            </w:r>
          </w:p>
        </w:tc>
        <w:tc>
          <w:tcPr>
            <w:tcW w:w="2723"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养老保险</w:t>
            </w: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项目经理</w:t>
            </w: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03" w:hRule="exact"/>
        </w:trPr>
        <w:tc>
          <w:tcPr>
            <w:tcW w:w="1398"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项目技术负责人</w:t>
            </w: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bl>
    <w:p>
      <w:pPr>
        <w:spacing w:line="20" w:lineRule="exact"/>
        <w:jc w:val="center"/>
        <w:rPr>
          <w:rFonts w:hint="eastAsia" w:ascii="仿宋" w:hAnsi="仿宋" w:eastAsia="仿宋" w:cs="仿宋"/>
          <w:color w:val="auto"/>
          <w:sz w:val="24"/>
          <w:szCs w:val="24"/>
          <w:highlight w:val="none"/>
        </w:rPr>
      </w:pPr>
    </w:p>
    <w:p>
      <w:pPr>
        <w:spacing w:line="360" w:lineRule="auto"/>
        <w:ind w:firstLine="480" w:firstLineChars="200"/>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备注：本表仅填项目经理、项目技术负责人相关信息</w:t>
      </w:r>
    </w:p>
    <w:p>
      <w:pPr>
        <w:autoSpaceDE w:val="0"/>
        <w:autoSpaceDN w:val="0"/>
        <w:adjustRightInd w:val="0"/>
        <w:snapToGrid w:val="0"/>
        <w:spacing w:line="360" w:lineRule="auto"/>
        <w:jc w:val="center"/>
        <w:rPr>
          <w:rFonts w:hint="eastAsia" w:ascii="方正仿宋_GBK" w:hAnsi="宋体" w:eastAsia="方正仿宋_GBK" w:cs="Times New Roman"/>
          <w:color w:val="auto"/>
          <w:sz w:val="24"/>
          <w:szCs w:val="24"/>
          <w:highlight w:val="none"/>
          <w:lang w:val="en-US" w:eastAsia="zh-CN"/>
        </w:rPr>
      </w:pPr>
    </w:p>
    <w:p>
      <w:pPr>
        <w:autoSpaceDE w:val="0"/>
        <w:autoSpaceDN w:val="0"/>
        <w:adjustRightInd w:val="0"/>
        <w:snapToGrid w:val="0"/>
        <w:spacing w:line="360" w:lineRule="auto"/>
        <w:jc w:val="center"/>
        <w:rPr>
          <w:rFonts w:hint="eastAsia" w:ascii="方正仿宋_GBK" w:hAnsi="宋体" w:eastAsia="方正仿宋_GBK" w:cs="Times New Roman"/>
          <w:color w:val="auto"/>
          <w:sz w:val="24"/>
          <w:szCs w:val="24"/>
          <w:highlight w:val="none"/>
          <w:lang w:val="en-US" w:eastAsia="zh-CN"/>
        </w:rPr>
      </w:pPr>
    </w:p>
    <w:p>
      <w:pPr>
        <w:pStyle w:val="2"/>
        <w:rPr>
          <w:rFonts w:hint="eastAsia"/>
          <w:color w:val="auto"/>
          <w:highlight w:val="none"/>
          <w:lang w:val="en-US" w:eastAsia="zh-CN"/>
        </w:rPr>
      </w:pPr>
    </w:p>
    <w:p>
      <w:pPr>
        <w:autoSpaceDE w:val="0"/>
        <w:autoSpaceDN w:val="0"/>
        <w:adjustRightInd w:val="0"/>
        <w:snapToGrid w:val="0"/>
        <w:spacing w:line="360" w:lineRule="auto"/>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“江南春城-水木兰亭项目土石方工程”</w:t>
      </w:r>
      <w:r>
        <w:rPr>
          <w:rFonts w:hint="eastAsia" w:ascii="仿宋" w:hAnsi="仿宋" w:eastAsia="仿宋" w:cs="仿宋"/>
          <w:color w:val="auto"/>
          <w:kern w:val="0"/>
          <w:sz w:val="24"/>
          <w:szCs w:val="24"/>
          <w:highlight w:val="none"/>
        </w:rPr>
        <w:t>项目管理机构组成表</w:t>
      </w:r>
    </w:p>
    <w:tbl>
      <w:tblPr>
        <w:tblStyle w:val="45"/>
        <w:tblW w:w="10024" w:type="dxa"/>
        <w:tblInd w:w="-397" w:type="dxa"/>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0" w:type="dxa"/>
          <w:bottom w:w="0" w:type="dxa"/>
          <w:right w:w="0" w:type="dxa"/>
        </w:tblCellMar>
      </w:tblPr>
      <w:tblGrid>
        <w:gridCol w:w="1398"/>
        <w:gridCol w:w="734"/>
        <w:gridCol w:w="776"/>
        <w:gridCol w:w="1167"/>
        <w:gridCol w:w="776"/>
        <w:gridCol w:w="778"/>
        <w:gridCol w:w="776"/>
        <w:gridCol w:w="2723"/>
        <w:gridCol w:w="896"/>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vMerge w:val="restart"/>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职务</w:t>
            </w:r>
          </w:p>
        </w:tc>
        <w:tc>
          <w:tcPr>
            <w:tcW w:w="734" w:type="dxa"/>
            <w:vMerge w:val="restart"/>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姓名</w:t>
            </w:r>
          </w:p>
        </w:tc>
        <w:tc>
          <w:tcPr>
            <w:tcW w:w="776" w:type="dxa"/>
            <w:vMerge w:val="restart"/>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职称</w:t>
            </w:r>
          </w:p>
        </w:tc>
        <w:tc>
          <w:tcPr>
            <w:tcW w:w="6220" w:type="dxa"/>
            <w:gridSpan w:val="5"/>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执业或职业资格证明</w:t>
            </w:r>
          </w:p>
        </w:tc>
        <w:tc>
          <w:tcPr>
            <w:tcW w:w="896"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备注</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vMerge w:val="continue"/>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vMerge w:val="continue"/>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vMerge w:val="continue"/>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证书名称</w:t>
            </w:r>
          </w:p>
        </w:tc>
        <w:tc>
          <w:tcPr>
            <w:tcW w:w="776"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级别</w:t>
            </w:r>
          </w:p>
        </w:tc>
        <w:tc>
          <w:tcPr>
            <w:tcW w:w="778"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证号</w:t>
            </w:r>
          </w:p>
        </w:tc>
        <w:tc>
          <w:tcPr>
            <w:tcW w:w="776"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专业</w:t>
            </w:r>
          </w:p>
        </w:tc>
        <w:tc>
          <w:tcPr>
            <w:tcW w:w="2723"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养老保险</w:t>
            </w: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项目经理</w:t>
            </w: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03" w:hRule="exact"/>
        </w:trPr>
        <w:tc>
          <w:tcPr>
            <w:tcW w:w="1398"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项目技术负责人</w:t>
            </w: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bl>
    <w:p>
      <w:pPr>
        <w:spacing w:line="20" w:lineRule="exact"/>
        <w:jc w:val="center"/>
        <w:rPr>
          <w:rFonts w:hint="eastAsia" w:ascii="仿宋" w:hAnsi="仿宋" w:eastAsia="仿宋" w:cs="仿宋"/>
          <w:color w:val="auto"/>
          <w:sz w:val="24"/>
          <w:szCs w:val="24"/>
          <w:highlight w:val="none"/>
        </w:rPr>
      </w:pPr>
    </w:p>
    <w:p>
      <w:pPr>
        <w:spacing w:line="360" w:lineRule="auto"/>
        <w:ind w:firstLine="480" w:firstLineChars="200"/>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备注：本表仅填项目经理、项目技术负责人相关信息</w:t>
      </w:r>
    </w:p>
    <w:p>
      <w:pPr>
        <w:autoSpaceDE w:val="0"/>
        <w:autoSpaceDN w:val="0"/>
        <w:adjustRightInd w:val="0"/>
        <w:snapToGrid w:val="0"/>
        <w:spacing w:line="360" w:lineRule="auto"/>
        <w:jc w:val="center"/>
        <w:rPr>
          <w:rFonts w:hint="eastAsia" w:ascii="方正仿宋_GBK" w:hAnsi="宋体" w:eastAsia="方正仿宋_GBK" w:cs="Times New Roman"/>
          <w:color w:val="auto"/>
          <w:sz w:val="24"/>
          <w:szCs w:val="24"/>
          <w:highlight w:val="none"/>
          <w:lang w:val="en-US" w:eastAsia="zh-CN"/>
        </w:rPr>
      </w:pPr>
    </w:p>
    <w:p>
      <w:pPr>
        <w:autoSpaceDE w:val="0"/>
        <w:autoSpaceDN w:val="0"/>
        <w:adjustRightInd w:val="0"/>
        <w:snapToGrid w:val="0"/>
        <w:spacing w:line="360" w:lineRule="auto"/>
        <w:jc w:val="center"/>
        <w:rPr>
          <w:rFonts w:hint="eastAsia" w:ascii="方正仿宋_GBK" w:hAnsi="宋体" w:eastAsia="方正仿宋_GBK" w:cs="Times New Roman"/>
          <w:color w:val="auto"/>
          <w:sz w:val="24"/>
          <w:szCs w:val="24"/>
          <w:highlight w:val="none"/>
          <w:lang w:val="en-US" w:eastAsia="zh-CN"/>
        </w:rPr>
      </w:pPr>
    </w:p>
    <w:p>
      <w:pPr>
        <w:autoSpaceDE w:val="0"/>
        <w:autoSpaceDN w:val="0"/>
        <w:adjustRightInd w:val="0"/>
        <w:snapToGrid w:val="0"/>
        <w:spacing w:line="360" w:lineRule="auto"/>
        <w:jc w:val="center"/>
        <w:rPr>
          <w:rFonts w:hint="eastAsia" w:ascii="方正仿宋_GBK" w:hAnsi="宋体" w:eastAsia="方正仿宋_GBK" w:cs="Times New Roman"/>
          <w:color w:val="auto"/>
          <w:sz w:val="24"/>
          <w:szCs w:val="24"/>
          <w:highlight w:val="none"/>
          <w:lang w:val="en-US" w:eastAsia="zh-CN"/>
        </w:rPr>
      </w:pPr>
    </w:p>
    <w:p>
      <w:pPr>
        <w:pStyle w:val="2"/>
        <w:rPr>
          <w:rFonts w:hint="eastAsia"/>
          <w:color w:val="auto"/>
          <w:highlight w:val="none"/>
          <w:lang w:val="en-US" w:eastAsia="zh-CN"/>
        </w:rPr>
      </w:pPr>
    </w:p>
    <w:p>
      <w:pPr>
        <w:rPr>
          <w:rFonts w:hint="eastAsia"/>
          <w:color w:val="auto"/>
          <w:highlight w:val="none"/>
          <w:lang w:val="en-US" w:eastAsia="zh-CN"/>
        </w:rPr>
      </w:pPr>
    </w:p>
    <w:p>
      <w:pPr>
        <w:autoSpaceDE w:val="0"/>
        <w:autoSpaceDN w:val="0"/>
        <w:adjustRightInd w:val="0"/>
        <w:snapToGrid w:val="0"/>
        <w:spacing w:line="360" w:lineRule="auto"/>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“广滨壹号-江枫苑项目土石方工程”</w:t>
      </w:r>
      <w:r>
        <w:rPr>
          <w:rFonts w:hint="eastAsia" w:ascii="仿宋" w:hAnsi="仿宋" w:eastAsia="仿宋" w:cs="仿宋"/>
          <w:color w:val="auto"/>
          <w:kern w:val="0"/>
          <w:sz w:val="24"/>
          <w:szCs w:val="24"/>
          <w:highlight w:val="none"/>
        </w:rPr>
        <w:t>项目管理机构组成表</w:t>
      </w:r>
    </w:p>
    <w:tbl>
      <w:tblPr>
        <w:tblStyle w:val="45"/>
        <w:tblW w:w="10024" w:type="dxa"/>
        <w:tblInd w:w="-397" w:type="dxa"/>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0" w:type="dxa"/>
          <w:bottom w:w="0" w:type="dxa"/>
          <w:right w:w="0" w:type="dxa"/>
        </w:tblCellMar>
      </w:tblPr>
      <w:tblGrid>
        <w:gridCol w:w="1398"/>
        <w:gridCol w:w="734"/>
        <w:gridCol w:w="776"/>
        <w:gridCol w:w="1167"/>
        <w:gridCol w:w="776"/>
        <w:gridCol w:w="778"/>
        <w:gridCol w:w="776"/>
        <w:gridCol w:w="2723"/>
        <w:gridCol w:w="896"/>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vMerge w:val="restart"/>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职务</w:t>
            </w:r>
          </w:p>
        </w:tc>
        <w:tc>
          <w:tcPr>
            <w:tcW w:w="734" w:type="dxa"/>
            <w:vMerge w:val="restart"/>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姓名</w:t>
            </w:r>
          </w:p>
        </w:tc>
        <w:tc>
          <w:tcPr>
            <w:tcW w:w="776" w:type="dxa"/>
            <w:vMerge w:val="restart"/>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职称</w:t>
            </w:r>
          </w:p>
        </w:tc>
        <w:tc>
          <w:tcPr>
            <w:tcW w:w="6220" w:type="dxa"/>
            <w:gridSpan w:val="5"/>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执业或职业资格证明</w:t>
            </w:r>
          </w:p>
        </w:tc>
        <w:tc>
          <w:tcPr>
            <w:tcW w:w="896"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备注</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vMerge w:val="continue"/>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vMerge w:val="continue"/>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vMerge w:val="continue"/>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证书名称</w:t>
            </w:r>
          </w:p>
        </w:tc>
        <w:tc>
          <w:tcPr>
            <w:tcW w:w="776"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级别</w:t>
            </w:r>
          </w:p>
        </w:tc>
        <w:tc>
          <w:tcPr>
            <w:tcW w:w="778"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证号</w:t>
            </w:r>
          </w:p>
        </w:tc>
        <w:tc>
          <w:tcPr>
            <w:tcW w:w="776"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专业</w:t>
            </w:r>
          </w:p>
        </w:tc>
        <w:tc>
          <w:tcPr>
            <w:tcW w:w="2723"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养老保险</w:t>
            </w: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项目经理</w:t>
            </w: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803" w:hRule="exact"/>
        </w:trPr>
        <w:tc>
          <w:tcPr>
            <w:tcW w:w="1398" w:type="dxa"/>
            <w:noWrap w:val="0"/>
            <w:vAlign w:val="center"/>
          </w:tcPr>
          <w:p>
            <w:pPr>
              <w:autoSpaceDE w:val="0"/>
              <w:autoSpaceDN w:val="0"/>
              <w:adjustRightInd w:val="0"/>
              <w:snapToGrid w:val="0"/>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项目技术负责人</w:t>
            </w: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0" w:type="dxa"/>
            <w:bottom w:w="0" w:type="dxa"/>
            <w:right w:w="0" w:type="dxa"/>
          </w:tblCellMar>
        </w:tblPrEx>
        <w:trPr>
          <w:trHeight w:val="508" w:hRule="exact"/>
        </w:trPr>
        <w:tc>
          <w:tcPr>
            <w:tcW w:w="139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34"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1167"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8"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77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2723"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c>
          <w:tcPr>
            <w:tcW w:w="896" w:type="dxa"/>
            <w:noWrap w:val="0"/>
            <w:vAlign w:val="top"/>
          </w:tcPr>
          <w:p>
            <w:pPr>
              <w:autoSpaceDE w:val="0"/>
              <w:autoSpaceDN w:val="0"/>
              <w:adjustRightInd w:val="0"/>
              <w:snapToGrid w:val="0"/>
              <w:jc w:val="left"/>
              <w:rPr>
                <w:rFonts w:hint="eastAsia" w:ascii="仿宋" w:hAnsi="仿宋" w:eastAsia="仿宋" w:cs="仿宋"/>
                <w:color w:val="auto"/>
                <w:kern w:val="0"/>
                <w:sz w:val="24"/>
                <w:szCs w:val="24"/>
                <w:highlight w:val="none"/>
              </w:rPr>
            </w:pPr>
          </w:p>
        </w:tc>
      </w:tr>
    </w:tbl>
    <w:p>
      <w:pPr>
        <w:spacing w:line="20" w:lineRule="exact"/>
        <w:jc w:val="center"/>
        <w:rPr>
          <w:rFonts w:hint="eastAsia" w:ascii="仿宋" w:hAnsi="仿宋" w:eastAsia="仿宋" w:cs="仿宋"/>
          <w:color w:val="auto"/>
          <w:sz w:val="24"/>
          <w:szCs w:val="24"/>
          <w:highlight w:val="none"/>
        </w:rPr>
      </w:pPr>
    </w:p>
    <w:p>
      <w:pPr>
        <w:spacing w:line="360" w:lineRule="auto"/>
        <w:ind w:firstLine="480" w:firstLineChars="200"/>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备注：本表仅填项目经理、项目技术负责人相关信息</w:t>
      </w:r>
    </w:p>
    <w:p>
      <w:pPr>
        <w:pStyle w:val="5"/>
        <w:spacing w:before="0" w:line="240" w:lineRule="auto"/>
        <w:jc w:val="center"/>
        <w:rPr>
          <w:rFonts w:ascii="宋体" w:hAnsi="宋体"/>
          <w:b w:val="0"/>
          <w:color w:val="auto"/>
          <w:highlight w:val="none"/>
        </w:rPr>
      </w:pPr>
      <w:r>
        <w:rPr>
          <w:rFonts w:hint="eastAsia" w:ascii="仿宋" w:hAnsi="仿宋" w:eastAsia="仿宋" w:cs="仿宋"/>
          <w:b w:val="0"/>
          <w:color w:val="auto"/>
          <w:kern w:val="2"/>
          <w:sz w:val="24"/>
          <w:szCs w:val="24"/>
          <w:highlight w:val="none"/>
          <w:lang w:val="en-US" w:eastAsia="zh-CN" w:bidi="ar-SA"/>
        </w:rPr>
        <w:br w:type="page"/>
      </w:r>
      <w:bookmarkStart w:id="1138" w:name="_Toc287607888"/>
      <w:bookmarkStart w:id="1139" w:name="_Toc224103515"/>
      <w:bookmarkStart w:id="1140" w:name="_Toc287620834"/>
      <w:bookmarkStart w:id="1141" w:name="_Toc22309"/>
      <w:bookmarkStart w:id="1142" w:name="_Toc430530550"/>
      <w:bookmarkStart w:id="1143" w:name="_Toc509218864"/>
      <w:bookmarkStart w:id="1144" w:name="_Toc534185841"/>
      <w:bookmarkStart w:id="1145" w:name="_Toc277082660"/>
      <w:r>
        <w:rPr>
          <w:rFonts w:hint="eastAsia" w:ascii="宋体" w:hAnsi="宋体"/>
          <w:b w:val="0"/>
          <w:color w:val="auto"/>
          <w:highlight w:val="none"/>
        </w:rPr>
        <w:t>（</w:t>
      </w:r>
      <w:r>
        <w:rPr>
          <w:rFonts w:hint="eastAsia" w:ascii="宋体" w:hAnsi="宋体"/>
          <w:b w:val="0"/>
          <w:color w:val="auto"/>
          <w:highlight w:val="none"/>
          <w:lang w:val="en-US" w:eastAsia="zh-CN"/>
        </w:rPr>
        <w:t>四</w:t>
      </w:r>
      <w:r>
        <w:rPr>
          <w:rFonts w:hint="eastAsia" w:ascii="宋体" w:hAnsi="宋体"/>
          <w:b w:val="0"/>
          <w:color w:val="auto"/>
          <w:highlight w:val="none"/>
        </w:rPr>
        <w:t>）近年财务状况表</w:t>
      </w:r>
      <w:bookmarkEnd w:id="1138"/>
      <w:bookmarkEnd w:id="1139"/>
      <w:bookmarkEnd w:id="1140"/>
      <w:bookmarkEnd w:id="1141"/>
      <w:bookmarkEnd w:id="1142"/>
      <w:bookmarkEnd w:id="1143"/>
      <w:bookmarkEnd w:id="1144"/>
      <w:bookmarkEnd w:id="1145"/>
    </w:p>
    <w:p>
      <w:pPr>
        <w:adjustRightInd w:val="0"/>
        <w:snapToGrid w:val="0"/>
        <w:spacing w:line="360" w:lineRule="auto"/>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rFonts w:ascii="宋体" w:hAnsi="宋体"/>
          <w:color w:val="auto"/>
          <w:highlight w:val="none"/>
        </w:rPr>
      </w:pPr>
    </w:p>
    <w:p>
      <w:pPr>
        <w:pStyle w:val="2"/>
        <w:rPr>
          <w:rFonts w:ascii="宋体" w:hAnsi="宋体"/>
          <w:color w:val="auto"/>
          <w:highlight w:val="none"/>
        </w:rPr>
      </w:pPr>
    </w:p>
    <w:p>
      <w:pPr>
        <w:rPr>
          <w:color w:val="auto"/>
          <w:highlight w:val="none"/>
        </w:rPr>
      </w:pPr>
    </w:p>
    <w:bookmarkEnd w:id="1131"/>
    <w:bookmarkEnd w:id="1132"/>
    <w:bookmarkEnd w:id="1133"/>
    <w:bookmarkEnd w:id="1134"/>
    <w:bookmarkEnd w:id="1135"/>
    <w:p>
      <w:pPr>
        <w:rPr>
          <w:rFonts w:ascii="宋体" w:hAnsi="宋体"/>
          <w:color w:val="auto"/>
          <w:highlight w:val="none"/>
        </w:rPr>
      </w:pPr>
    </w:p>
    <w:p>
      <w:pPr>
        <w:pStyle w:val="5"/>
        <w:spacing w:before="0" w:after="0" w:line="360" w:lineRule="auto"/>
        <w:jc w:val="center"/>
        <w:rPr>
          <w:rFonts w:ascii="宋体" w:hAnsi="宋体"/>
          <w:b w:val="0"/>
          <w:color w:val="auto"/>
          <w:highlight w:val="none"/>
        </w:rPr>
      </w:pPr>
      <w:bookmarkStart w:id="1146" w:name="_Toc10128"/>
      <w:r>
        <w:rPr>
          <w:rFonts w:ascii="宋体" w:hAnsi="宋体"/>
          <w:b w:val="0"/>
          <w:color w:val="auto"/>
          <w:highlight w:val="none"/>
        </w:rPr>
        <w:t>（</w:t>
      </w:r>
      <w:r>
        <w:rPr>
          <w:rFonts w:hint="eastAsia" w:ascii="宋体" w:hAnsi="宋体"/>
          <w:b w:val="0"/>
          <w:color w:val="auto"/>
          <w:highlight w:val="none"/>
          <w:lang w:val="en-US" w:eastAsia="zh-CN"/>
        </w:rPr>
        <w:t>五</w:t>
      </w:r>
      <w:r>
        <w:rPr>
          <w:rFonts w:ascii="宋体" w:hAnsi="宋体"/>
          <w:b w:val="0"/>
          <w:color w:val="auto"/>
          <w:highlight w:val="none"/>
        </w:rPr>
        <w:t>）</w:t>
      </w:r>
      <w:r>
        <w:rPr>
          <w:rFonts w:hint="eastAsia" w:ascii="宋体" w:hAnsi="宋体"/>
          <w:b w:val="0"/>
          <w:color w:val="auto"/>
          <w:highlight w:val="none"/>
        </w:rPr>
        <w:t>承诺</w:t>
      </w:r>
      <w:bookmarkEnd w:id="1146"/>
    </w:p>
    <w:p>
      <w:pPr>
        <w:snapToGrid w:val="0"/>
        <w:spacing w:line="380" w:lineRule="exact"/>
        <w:rPr>
          <w:rFonts w:ascii="宋体" w:hAnsi="宋体"/>
          <w:color w:val="auto"/>
          <w:szCs w:val="21"/>
          <w:highlight w:val="none"/>
          <w:u w:val="single"/>
        </w:rPr>
      </w:pPr>
      <w:r>
        <w:rPr>
          <w:rFonts w:hint="eastAsia" w:ascii="宋体" w:hAnsi="宋体"/>
          <w:color w:val="auto"/>
          <w:szCs w:val="21"/>
          <w:highlight w:val="none"/>
          <w:u w:val="single"/>
        </w:rPr>
        <w:t xml:space="preserve">        （</w:t>
      </w:r>
      <w:r>
        <w:rPr>
          <w:rFonts w:hint="eastAsia" w:ascii="宋体" w:hAnsi="宋体"/>
          <w:color w:val="auto"/>
          <w:szCs w:val="21"/>
          <w:highlight w:val="none"/>
          <w:u w:val="single"/>
          <w:lang w:eastAsia="zh-CN"/>
        </w:rPr>
        <w:t>比选人</w:t>
      </w:r>
      <w:r>
        <w:rPr>
          <w:rFonts w:hint="eastAsia" w:ascii="宋体" w:hAnsi="宋体"/>
          <w:color w:val="auto"/>
          <w:szCs w:val="21"/>
          <w:highlight w:val="none"/>
          <w:u w:val="single"/>
        </w:rPr>
        <w:t>名称）</w:t>
      </w:r>
      <w:r>
        <w:rPr>
          <w:rFonts w:hint="eastAsia" w:ascii="宋体" w:hAnsi="宋体"/>
          <w:color w:val="auto"/>
          <w:szCs w:val="21"/>
          <w:highlight w:val="none"/>
        </w:rPr>
        <w:t>：</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我公司</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val="en-US" w:eastAsia="zh-CN"/>
        </w:rPr>
        <w:t>竞选</w:t>
      </w:r>
      <w:r>
        <w:rPr>
          <w:rFonts w:hint="eastAsia" w:ascii="宋体" w:hAnsi="宋体"/>
          <w:color w:val="auto"/>
          <w:szCs w:val="21"/>
          <w:highlight w:val="none"/>
          <w:u w:val="single"/>
        </w:rPr>
        <w:t>人名称）</w:t>
      </w:r>
      <w:r>
        <w:rPr>
          <w:rFonts w:hint="eastAsia" w:ascii="宋体" w:hAnsi="宋体"/>
          <w:color w:val="auto"/>
          <w:szCs w:val="21"/>
          <w:highlight w:val="none"/>
        </w:rPr>
        <w:t>参加了贵单位</w:t>
      </w:r>
      <w:r>
        <w:rPr>
          <w:rFonts w:hint="eastAsia" w:ascii="宋体" w:hAnsi="宋体"/>
          <w:color w:val="auto"/>
          <w:szCs w:val="21"/>
          <w:highlight w:val="none"/>
          <w:u w:val="single"/>
        </w:rPr>
        <w:t xml:space="preserve">        （项目名称）</w:t>
      </w:r>
      <w:r>
        <w:rPr>
          <w:rFonts w:hint="eastAsia" w:ascii="宋体" w:hAnsi="宋体"/>
          <w:color w:val="auto"/>
          <w:szCs w:val="21"/>
          <w:highlight w:val="none"/>
        </w:rPr>
        <w:t>的投标，自愿作出以下承诺：</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1、我公司投标截止日投标资格情况不存在下列情形之一：</w:t>
      </w:r>
    </w:p>
    <w:p>
      <w:pPr>
        <w:snapToGrid w:val="0"/>
        <w:spacing w:line="380" w:lineRule="exact"/>
        <w:ind w:firstLine="420" w:firstLineChars="200"/>
        <w:jc w:val="left"/>
        <w:rPr>
          <w:rFonts w:ascii="宋体" w:hAnsi="宋体"/>
          <w:color w:val="auto"/>
          <w:szCs w:val="21"/>
          <w:highlight w:val="none"/>
        </w:rPr>
      </w:pPr>
      <w:r>
        <w:rPr>
          <w:rFonts w:hint="eastAsia" w:ascii="宋体" w:hAnsi="宋体"/>
          <w:color w:val="auto"/>
          <w:szCs w:val="21"/>
          <w:highlight w:val="none"/>
        </w:rPr>
        <w:t>（1）被人民法院列入失信被执行人名单且在被执行期内；</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（2）被列入《重庆市工程建设领域招标投标信用管理暂行办法》规定的重点关注名单且记分达到12分且在记分有效期内；</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（3）被列入《重庆市工程建设领域招标投标信用管理暂行办法》规定的黑名单且在记分有效期内；</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（4）被国家、重庆市（含市或任意区县）有关行政部门处以暂停投标资格行政处罚，且在处罚期限内；</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（5）被重庆市</w:t>
      </w:r>
      <w:r>
        <w:rPr>
          <w:rFonts w:hint="eastAsia" w:ascii="宋体" w:hAnsi="宋体"/>
          <w:color w:val="auto"/>
          <w:szCs w:val="21"/>
          <w:highlight w:val="none"/>
          <w:lang w:eastAsia="zh-CN"/>
        </w:rPr>
        <w:t>市级有关行业</w:t>
      </w:r>
      <w:r>
        <w:rPr>
          <w:rFonts w:hint="eastAsia" w:ascii="宋体" w:hAnsi="宋体"/>
          <w:color w:val="auto"/>
          <w:szCs w:val="21"/>
          <w:highlight w:val="none"/>
        </w:rPr>
        <w:t>主管部门暂停在渝承揽新业务且在暂停期内。</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2、我公司拟派的项目经理按注册建造师的相关规定到岗履职和未被禁止参与投标。</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2.1拟派的项目经理中标后在本项目任职，签订合同时拟派的项目经理必须与投标文件中的项目经理一致，并满足办理施工许可手续的相关要求。不能按承诺到岗履约的，按合同相关条款处罚并上报行政主管部门，给贵单位造成损失的，我公司依法承担违约赔偿责任。拟派的项目经理中标后不得随意更换。</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2.2拟派的项目经理未被重庆市</w:t>
      </w:r>
      <w:r>
        <w:rPr>
          <w:rFonts w:hint="eastAsia" w:ascii="宋体" w:hAnsi="宋体"/>
          <w:color w:val="auto"/>
          <w:szCs w:val="21"/>
          <w:highlight w:val="none"/>
          <w:lang w:eastAsia="zh-CN"/>
        </w:rPr>
        <w:t>市级有关行业</w:t>
      </w:r>
      <w:r>
        <w:rPr>
          <w:rFonts w:hint="eastAsia" w:ascii="宋体" w:hAnsi="宋体"/>
          <w:color w:val="auto"/>
          <w:szCs w:val="21"/>
          <w:highlight w:val="none"/>
        </w:rPr>
        <w:t>主管部门暂停在渝承揽新业务，若被暂停且参加投标的投标将被否决；已取得中标候选人资格或中标资格的，贵单位有权取消我公司中标候选人资格或中标资格；给贵单位造成损失的，我公司依法承担违约赔偿责任。</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2.3为保证我公司拟派的项目经理到本项目到岗履职，我公司还承诺：</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若我公司拟派本项目的项目经理有在其他项目任职的情形的（或有在其他项目中标或拟中标的情形的），应在收到中标通知书后</w:t>
      </w:r>
      <w:r>
        <w:rPr>
          <w:rFonts w:hint="eastAsia" w:ascii="宋体" w:hAnsi="宋体"/>
          <w:color w:val="auto"/>
          <w:szCs w:val="21"/>
          <w:highlight w:val="none"/>
          <w:u w:val="single"/>
        </w:rPr>
        <w:t xml:space="preserve"> 14 </w:t>
      </w:r>
      <w:r>
        <w:rPr>
          <w:rFonts w:hint="eastAsia" w:ascii="宋体" w:hAnsi="宋体"/>
          <w:color w:val="auto"/>
          <w:szCs w:val="21"/>
          <w:highlight w:val="none"/>
        </w:rPr>
        <w:t>日（7～30日）内，办理完成放弃在其他项目任职的手续（或办理完成放弃在其他项目中标或拟中标的手续），贵单位在合同签订前有权对我公司拟派项目经理在其他项目的任职情形（或在其他项目的中标或拟中标情形）进行核查，若与我公司承诺内容不符或我公司未在上述时间内按照招标文件规定递交放弃在其他项目任职、中标或拟中标的相关资料，我公司自愿放弃中标资格，贵单位不退还我公司的投标保证金。在合同签订时，我公司确保拟派项目经理符合《建筑施工企业项目经理资质管理办法》规定的项目经理任职条件，否则我公司自愿放弃中标资格，贵单位不退还我公司的投标保证金。</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若我公司拟派项目经理放弃在其他项目任职的将提供：①经业主或建设单位同意任职变更的文件；②负责项目监管的行业行政主管部门出具同意任职变更的证明材料。</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若我公司拟派项目经理放弃在其他项目中标或拟中标的将提供：①经中标或拟中标的其他项目建设单位同意的放弃中标函。</w:t>
      </w:r>
    </w:p>
    <w:p>
      <w:pPr>
        <w:numPr>
          <w:ilvl w:val="0"/>
          <w:numId w:val="8"/>
        </w:num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我公司若中标，在签订合同之前，将按照建设行政主管部门的要求组建施工项目部，</w:t>
      </w:r>
      <w:r>
        <w:rPr>
          <w:rFonts w:hint="eastAsia" w:ascii="方正仿宋_GBK" w:hAnsi="宋体" w:eastAsia="方正仿宋_GBK" w:cs="Times New Roman"/>
          <w:color w:val="auto"/>
          <w:sz w:val="24"/>
          <w:szCs w:val="24"/>
          <w:highlight w:val="none"/>
          <w:lang w:val="en-US" w:eastAsia="zh-CN"/>
        </w:rPr>
        <w:t>分别为“江南春城-阳光水岸项目土石方工程”、“江南春城-水木兰亭项目土石方工程”、“广滨壹号-江枫苑项目土石方工程”</w:t>
      </w:r>
      <w:r>
        <w:rPr>
          <w:rFonts w:hint="eastAsia" w:ascii="方正仿宋_GBK" w:hAnsi="宋体" w:eastAsia="方正仿宋_GBK" w:cs="Times New Roman"/>
          <w:color w:val="auto"/>
          <w:sz w:val="24"/>
          <w:szCs w:val="24"/>
          <w:highlight w:val="none"/>
        </w:rPr>
        <w:t>进行</w:t>
      </w:r>
      <w:r>
        <w:rPr>
          <w:rFonts w:hint="eastAsia" w:ascii="宋体" w:hAnsi="宋体"/>
          <w:color w:val="auto"/>
          <w:szCs w:val="21"/>
          <w:highlight w:val="none"/>
        </w:rPr>
        <w:t>配置项目管理班子，出具任命文件。任命文件应当明确施工项目部的职责、岗位设置、人员配备，并书面通知</w:t>
      </w:r>
      <w:r>
        <w:rPr>
          <w:rFonts w:hint="eastAsia" w:ascii="宋体" w:hAnsi="宋体"/>
          <w:color w:val="auto"/>
          <w:szCs w:val="21"/>
          <w:highlight w:val="none"/>
          <w:lang w:val="en-US" w:eastAsia="zh-CN"/>
        </w:rPr>
        <w:t>贵单位</w:t>
      </w:r>
      <w:r>
        <w:rPr>
          <w:rFonts w:hint="eastAsia" w:ascii="宋体" w:hAnsi="宋体"/>
          <w:color w:val="auto"/>
          <w:szCs w:val="21"/>
          <w:highlight w:val="none"/>
        </w:rPr>
        <w:t>。相关岗位管理人员应持有建设行政主管部门要求的岗位证书，并提供我公司为其缴纳的养老保险证明材料。中标后不能满足该要求的，取消我公司中标资格，给</w:t>
      </w:r>
      <w:r>
        <w:rPr>
          <w:rFonts w:hint="eastAsia" w:ascii="宋体" w:hAnsi="宋体"/>
          <w:color w:val="auto"/>
          <w:szCs w:val="21"/>
          <w:highlight w:val="none"/>
          <w:lang w:val="en-US" w:eastAsia="zh-CN"/>
        </w:rPr>
        <w:t>贵单位</w:t>
      </w:r>
      <w:r>
        <w:rPr>
          <w:rFonts w:hint="eastAsia" w:ascii="宋体" w:hAnsi="宋体"/>
          <w:color w:val="auto"/>
          <w:szCs w:val="21"/>
          <w:highlight w:val="none"/>
        </w:rPr>
        <w:t>造成损失的，我公司依法承担违约赔偿责任。</w:t>
      </w:r>
    </w:p>
    <w:p>
      <w:pPr>
        <w:numPr>
          <w:ilvl w:val="0"/>
          <w:numId w:val="8"/>
        </w:num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我公司承诺：已标价工程量清单符合第五章“工程量清单”给出的范围及数量，招标文件中规定工程量清单不允许修改的内容不得修改，每项工程量清单综合单价报价不得高于对应工程量清单综合单价最高限价。</w:t>
      </w:r>
      <w:r>
        <w:rPr>
          <w:rFonts w:hint="eastAsia" w:ascii="宋体" w:hAnsi="宋体"/>
          <w:color w:val="auto"/>
          <w:szCs w:val="21"/>
          <w:highlight w:val="none"/>
          <w:lang w:val="en-US" w:eastAsia="zh-CN"/>
        </w:rPr>
        <w:t>贵单位</w:t>
      </w:r>
      <w:r>
        <w:rPr>
          <w:rFonts w:hint="eastAsia" w:ascii="宋体" w:hAnsi="宋体"/>
          <w:color w:val="auto"/>
          <w:szCs w:val="21"/>
          <w:highlight w:val="none"/>
        </w:rPr>
        <w:t>可在合同签订前对我公司已标价工程量清单进行清标。若发现我公司的工程量清单综合单价报价超过招标时给出的工程量清单综合单价最高限价的，在工程结算时</w:t>
      </w:r>
      <w:r>
        <w:rPr>
          <w:rFonts w:hint="eastAsia" w:ascii="宋体" w:hAnsi="宋体"/>
          <w:color w:val="auto"/>
          <w:szCs w:val="21"/>
          <w:highlight w:val="none"/>
          <w:lang w:val="en-US" w:eastAsia="zh-CN"/>
        </w:rPr>
        <w:t>贵单位</w:t>
      </w:r>
      <w:r>
        <w:rPr>
          <w:rFonts w:hint="eastAsia" w:ascii="宋体" w:hAnsi="宋体"/>
          <w:color w:val="auto"/>
          <w:szCs w:val="21"/>
          <w:highlight w:val="none"/>
        </w:rPr>
        <w:t>以发出的工程量清单综合单价最高限价为基础，按照我公司的中标总报价与本工程的总价最高限价的下浮比例进行同比例下调，我公司无条件接受，否则按我公司违约处理。</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5、我公司在资格审查部分中提供的相关证明材料真实有效，不存在弄虚作假情形。</w:t>
      </w:r>
      <w:r>
        <w:rPr>
          <w:rFonts w:hint="eastAsia" w:ascii="宋体" w:hAnsi="宋体"/>
          <w:color w:val="auto"/>
          <w:szCs w:val="21"/>
          <w:highlight w:val="none"/>
          <w:u w:val="single"/>
          <w:lang w:val="en-US" w:eastAsia="zh-CN"/>
        </w:rPr>
        <w:t>贵单位</w:t>
      </w:r>
      <w:r>
        <w:rPr>
          <w:rFonts w:hint="eastAsia" w:ascii="宋体" w:hAnsi="宋体"/>
          <w:color w:val="auto"/>
          <w:szCs w:val="21"/>
          <w:highlight w:val="none"/>
          <w:u w:val="single"/>
        </w:rPr>
        <w:t>在合同签订前均有权对我</w:t>
      </w:r>
      <w:r>
        <w:rPr>
          <w:rFonts w:hint="eastAsia" w:ascii="宋体" w:hAnsi="宋体"/>
          <w:color w:val="auto"/>
          <w:szCs w:val="21"/>
          <w:highlight w:val="none"/>
          <w:u w:val="single"/>
          <w:lang w:val="en-US" w:eastAsia="zh-CN"/>
        </w:rPr>
        <w:t>公</w:t>
      </w:r>
      <w:r>
        <w:rPr>
          <w:rFonts w:hint="eastAsia" w:ascii="宋体" w:hAnsi="宋体"/>
          <w:color w:val="auto"/>
          <w:szCs w:val="21"/>
          <w:highlight w:val="none"/>
          <w:u w:val="single"/>
        </w:rPr>
        <w:t>司提供的资料进行核实，若发现弄虚作假，</w:t>
      </w:r>
      <w:r>
        <w:rPr>
          <w:rFonts w:hint="eastAsia" w:ascii="宋体" w:hAnsi="宋体"/>
          <w:color w:val="auto"/>
          <w:szCs w:val="21"/>
          <w:highlight w:val="none"/>
          <w:u w:val="single"/>
          <w:lang w:val="en-US" w:eastAsia="zh-CN"/>
        </w:rPr>
        <w:t>按相关规定</w:t>
      </w:r>
      <w:r>
        <w:rPr>
          <w:rFonts w:hint="eastAsia" w:ascii="宋体" w:hAnsi="宋体"/>
          <w:color w:val="auto"/>
          <w:szCs w:val="21"/>
          <w:highlight w:val="none"/>
          <w:u w:val="single"/>
        </w:rPr>
        <w:t>取消</w:t>
      </w:r>
      <w:r>
        <w:rPr>
          <w:rFonts w:hint="eastAsia" w:ascii="宋体" w:hAnsi="宋体"/>
          <w:color w:val="auto"/>
          <w:szCs w:val="21"/>
          <w:highlight w:val="none"/>
          <w:u w:val="single"/>
          <w:lang w:val="en-US" w:eastAsia="zh-CN"/>
        </w:rPr>
        <w:t>我公司</w:t>
      </w:r>
      <w:r>
        <w:rPr>
          <w:rFonts w:hint="eastAsia" w:ascii="宋体" w:hAnsi="宋体"/>
          <w:color w:val="auto"/>
          <w:szCs w:val="21"/>
          <w:highlight w:val="none"/>
          <w:u w:val="single"/>
        </w:rPr>
        <w:t>中标资格，并按相关法律法规报招标投标监督部门，投标保证金不予退还，我</w:t>
      </w:r>
      <w:r>
        <w:rPr>
          <w:rFonts w:hint="eastAsia" w:ascii="宋体" w:hAnsi="宋体"/>
          <w:color w:val="auto"/>
          <w:szCs w:val="21"/>
          <w:highlight w:val="none"/>
          <w:u w:val="single"/>
          <w:lang w:val="en-US" w:eastAsia="zh-CN"/>
        </w:rPr>
        <w:t>公</w:t>
      </w:r>
      <w:r>
        <w:rPr>
          <w:rFonts w:hint="eastAsia" w:ascii="宋体" w:hAnsi="宋体"/>
          <w:color w:val="auto"/>
          <w:szCs w:val="21"/>
          <w:highlight w:val="none"/>
          <w:u w:val="single"/>
        </w:rPr>
        <w:t>司自愿承担因此造成的相关责任并赔偿相应损失</w:t>
      </w:r>
      <w:r>
        <w:rPr>
          <w:rFonts w:hint="eastAsia" w:ascii="宋体" w:hAnsi="宋体"/>
          <w:color w:val="auto"/>
          <w:szCs w:val="21"/>
          <w:highlight w:val="none"/>
        </w:rPr>
        <w:t>。</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6、我公司不存在第二章 投标人须知第 1.4.3 项规定的任何一种情形。</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7、我公司的投标文件符合第二章 投标人须知第 1.3.1 项的规定。</w:t>
      </w:r>
    </w:p>
    <w:p>
      <w:pPr>
        <w:snapToGrid w:val="0"/>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8、我公司的投标文件符合第四章 合同条款及格式规定，投标文件中没有</w:t>
      </w:r>
      <w:r>
        <w:rPr>
          <w:rFonts w:hint="eastAsia" w:ascii="宋体" w:hAnsi="宋体"/>
          <w:color w:val="auto"/>
          <w:szCs w:val="21"/>
          <w:highlight w:val="none"/>
          <w:lang w:val="en-US" w:eastAsia="zh-CN"/>
        </w:rPr>
        <w:t>贵单位</w:t>
      </w:r>
      <w:r>
        <w:rPr>
          <w:rFonts w:hint="eastAsia" w:ascii="宋体" w:hAnsi="宋体"/>
          <w:color w:val="auto"/>
          <w:szCs w:val="21"/>
          <w:highlight w:val="none"/>
        </w:rPr>
        <w:t>不能接受的条件。</w:t>
      </w:r>
    </w:p>
    <w:p>
      <w:pPr>
        <w:keepNext w:val="0"/>
        <w:keepLines w:val="0"/>
        <w:pageBreakBefore w:val="0"/>
        <w:widowControl w:val="0"/>
        <w:kinsoku/>
        <w:wordWrap/>
        <w:overflowPunct/>
        <w:topLinePunct w:val="0"/>
        <w:bidi w:val="0"/>
        <w:snapToGrid w:val="0"/>
        <w:spacing w:line="380" w:lineRule="exact"/>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9、我公司的投标文件符合第七章 技术标准和要求（如有）。</w:t>
      </w:r>
    </w:p>
    <w:p>
      <w:pPr>
        <w:keepNext w:val="0"/>
        <w:keepLines w:val="0"/>
        <w:pageBreakBefore w:val="0"/>
        <w:widowControl w:val="0"/>
        <w:kinsoku/>
        <w:wordWrap/>
        <w:overflowPunct/>
        <w:topLinePunct w:val="0"/>
        <w:bidi w:val="0"/>
        <w:snapToGrid w:val="0"/>
        <w:spacing w:line="380" w:lineRule="exact"/>
        <w:ind w:firstLine="420" w:firstLineChars="200"/>
        <w:textAlignment w:val="auto"/>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10、我公司接受招标文件中关于“不平衡报价”的相关约定（如有）。</w:t>
      </w:r>
    </w:p>
    <w:p>
      <w:pPr>
        <w:keepNext w:val="0"/>
        <w:keepLines w:val="0"/>
        <w:pageBreakBefore w:val="0"/>
        <w:widowControl w:val="0"/>
        <w:kinsoku/>
        <w:wordWrap/>
        <w:overflowPunct/>
        <w:topLinePunct w:val="0"/>
        <w:bidi w:val="0"/>
        <w:snapToGrid w:val="0"/>
        <w:spacing w:line="380" w:lineRule="exact"/>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lang w:val="en-US" w:eastAsia="zh-CN"/>
        </w:rPr>
        <w:t>11、我公司接受招标文件中关于“不允许负数报价”的相关要求（如有）</w:t>
      </w:r>
      <w:r>
        <w:rPr>
          <w:rFonts w:hint="eastAsia" w:ascii="宋体" w:hAnsi="宋体"/>
          <w:color w:val="auto"/>
          <w:szCs w:val="21"/>
          <w:highlight w:val="none"/>
        </w:rPr>
        <w:t>。</w:t>
      </w:r>
    </w:p>
    <w:p>
      <w:pPr>
        <w:tabs>
          <w:tab w:val="left" w:pos="4200"/>
          <w:tab w:val="left" w:pos="4620"/>
        </w:tabs>
        <w:autoSpaceDE w:val="0"/>
        <w:autoSpaceDN w:val="0"/>
        <w:adjustRightInd w:val="0"/>
        <w:snapToGrid w:val="0"/>
        <w:spacing w:line="360" w:lineRule="auto"/>
        <w:jc w:val="left"/>
        <w:rPr>
          <w:rFonts w:ascii="宋体" w:hAnsi="宋体"/>
          <w:color w:val="auto"/>
          <w:kern w:val="0"/>
          <w:szCs w:val="21"/>
          <w:highlight w:val="none"/>
        </w:rPr>
      </w:pPr>
    </w:p>
    <w:bookmarkEnd w:id="1136"/>
    <w:bookmarkEnd w:id="1137"/>
    <w:p>
      <w:pPr>
        <w:tabs>
          <w:tab w:val="left" w:pos="4200"/>
          <w:tab w:val="left" w:pos="4620"/>
        </w:tabs>
        <w:autoSpaceDE w:val="0"/>
        <w:autoSpaceDN w:val="0"/>
        <w:adjustRightInd w:val="0"/>
        <w:snapToGrid w:val="0"/>
        <w:spacing w:line="360" w:lineRule="auto"/>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lang w:val="en-US" w:eastAsia="zh-CN"/>
        </w:rPr>
        <w:t>竞  选</w:t>
      </w:r>
      <w:r>
        <w:rPr>
          <w:rFonts w:ascii="宋体" w:hAnsi="宋体"/>
          <w:color w:val="auto"/>
          <w:kern w:val="0"/>
          <w:szCs w:val="21"/>
          <w:highlight w:val="none"/>
        </w:rPr>
        <w:t xml:space="preserve">  人：</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ascii="宋体" w:hAnsi="宋体"/>
          <w:color w:val="auto"/>
          <w:kern w:val="0"/>
          <w:szCs w:val="21"/>
          <w:highlight w:val="none"/>
        </w:rPr>
        <w:t>（</w:t>
      </w:r>
      <w:r>
        <w:rPr>
          <w:rFonts w:ascii="宋体" w:hAnsi="宋体"/>
          <w:color w:val="auto"/>
          <w:spacing w:val="-1"/>
          <w:kern w:val="0"/>
          <w:szCs w:val="21"/>
          <w:highlight w:val="none"/>
        </w:rPr>
        <w:t>盖单位法人章</w:t>
      </w:r>
      <w:r>
        <w:rPr>
          <w:rFonts w:ascii="宋体" w:hAnsi="宋体"/>
          <w:color w:val="auto"/>
          <w:kern w:val="0"/>
          <w:szCs w:val="21"/>
          <w:highlight w:val="none"/>
        </w:rPr>
        <w:t>）</w:t>
      </w:r>
    </w:p>
    <w:p>
      <w:pPr>
        <w:tabs>
          <w:tab w:val="left" w:pos="6300"/>
        </w:tabs>
        <w:autoSpaceDE w:val="0"/>
        <w:autoSpaceDN w:val="0"/>
        <w:adjustRightInd w:val="0"/>
        <w:snapToGrid w:val="0"/>
        <w:spacing w:line="360" w:lineRule="auto"/>
        <w:ind w:firstLine="420" w:firstLineChars="200"/>
        <w:jc w:val="left"/>
        <w:rPr>
          <w:rFonts w:ascii="宋体" w:hAnsi="宋体"/>
          <w:color w:val="auto"/>
          <w:kern w:val="0"/>
          <w:szCs w:val="21"/>
          <w:highlight w:val="none"/>
        </w:rPr>
      </w:pPr>
      <w:r>
        <w:rPr>
          <w:rFonts w:ascii="宋体" w:hAnsi="宋体"/>
          <w:color w:val="auto"/>
          <w:kern w:val="0"/>
          <w:szCs w:val="21"/>
          <w:highlight w:val="none"/>
        </w:rPr>
        <w:t>法定代表人：</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w w:val="200"/>
          <w:kern w:val="0"/>
          <w:szCs w:val="21"/>
          <w:highlight w:val="none"/>
          <w:u w:val="single"/>
        </w:rPr>
        <w:t xml:space="preserve">   </w:t>
      </w:r>
      <w:r>
        <w:rPr>
          <w:rFonts w:hint="eastAsia" w:ascii="宋体" w:hAnsi="宋体"/>
          <w:color w:val="auto"/>
          <w:w w:val="200"/>
          <w:kern w:val="0"/>
          <w:szCs w:val="21"/>
          <w:highlight w:val="none"/>
          <w:u w:val="single"/>
        </w:rPr>
        <w:t xml:space="preserve"> </w:t>
      </w:r>
      <w:r>
        <w:rPr>
          <w:rFonts w:ascii="宋体" w:hAnsi="宋体"/>
          <w:color w:val="auto"/>
          <w:kern w:val="0"/>
          <w:szCs w:val="21"/>
          <w:highlight w:val="none"/>
        </w:rPr>
        <w:t>（</w:t>
      </w:r>
      <w:r>
        <w:rPr>
          <w:rFonts w:hint="eastAsia" w:ascii="宋体" w:hAnsi="宋体"/>
          <w:color w:val="auto"/>
          <w:kern w:val="0"/>
          <w:szCs w:val="21"/>
          <w:highlight w:val="none"/>
        </w:rPr>
        <w:t>签名</w:t>
      </w:r>
      <w:r>
        <w:rPr>
          <w:rFonts w:ascii="宋体" w:hAnsi="宋体"/>
          <w:color w:val="auto"/>
          <w:kern w:val="0"/>
          <w:szCs w:val="21"/>
          <w:highlight w:val="none"/>
        </w:rPr>
        <w:t>或盖章）</w:t>
      </w:r>
    </w:p>
    <w:p>
      <w:pPr>
        <w:tabs>
          <w:tab w:val="left" w:pos="6300"/>
        </w:tabs>
        <w:autoSpaceDE w:val="0"/>
        <w:autoSpaceDN w:val="0"/>
        <w:adjustRightInd w:val="0"/>
        <w:snapToGrid w:val="0"/>
        <w:spacing w:line="360" w:lineRule="auto"/>
        <w:ind w:firstLine="420" w:firstLineChars="200"/>
        <w:jc w:val="left"/>
        <w:rPr>
          <w:rFonts w:ascii="宋体" w:hAnsi="宋体"/>
          <w:color w:val="auto"/>
          <w:kern w:val="0"/>
          <w:szCs w:val="21"/>
          <w:highlight w:val="none"/>
        </w:rPr>
      </w:pPr>
    </w:p>
    <w:p>
      <w:pPr>
        <w:tabs>
          <w:tab w:val="left" w:pos="6300"/>
        </w:tabs>
        <w:autoSpaceDE w:val="0"/>
        <w:autoSpaceDN w:val="0"/>
        <w:adjustRightInd w:val="0"/>
        <w:snapToGrid w:val="0"/>
        <w:ind w:firstLine="420" w:firstLineChars="200"/>
        <w:jc w:val="right"/>
        <w:rPr>
          <w:rFonts w:ascii="宋体" w:hAnsi="宋体"/>
          <w:b/>
          <w:color w:val="auto"/>
          <w:highlight w:val="none"/>
        </w:rPr>
      </w:pPr>
      <w:r>
        <w:rPr>
          <w:rFonts w:hint="eastAsia" w:ascii="宋体" w:hAnsi="宋体"/>
          <w:color w:val="auto"/>
          <w:kern w:val="0"/>
          <w:szCs w:val="21"/>
          <w:highlight w:val="none"/>
          <w:u w:val="single"/>
        </w:rPr>
        <w:t xml:space="preserve">    </w:t>
      </w:r>
      <w:r>
        <w:rPr>
          <w:rFonts w:ascii="宋体" w:hAnsi="宋体"/>
          <w:color w:val="auto"/>
          <w:kern w:val="0"/>
          <w:szCs w:val="21"/>
          <w:highlight w:val="none"/>
        </w:rPr>
        <w:t>年</w:t>
      </w:r>
      <w:r>
        <w:rPr>
          <w:rFonts w:hint="eastAsia" w:ascii="宋体" w:hAnsi="宋体"/>
          <w:color w:val="auto"/>
          <w:kern w:val="0"/>
          <w:szCs w:val="21"/>
          <w:highlight w:val="none"/>
          <w:u w:val="single"/>
        </w:rPr>
        <w:t xml:space="preserve">    </w:t>
      </w:r>
      <w:r>
        <w:rPr>
          <w:rFonts w:ascii="宋体" w:hAnsi="宋体"/>
          <w:color w:val="auto"/>
          <w:kern w:val="0"/>
          <w:szCs w:val="21"/>
          <w:highlight w:val="none"/>
        </w:rPr>
        <w:t>月</w:t>
      </w:r>
      <w:r>
        <w:rPr>
          <w:rFonts w:hint="eastAsia" w:ascii="宋体" w:hAnsi="宋体"/>
          <w:color w:val="auto"/>
          <w:kern w:val="0"/>
          <w:szCs w:val="21"/>
          <w:highlight w:val="none"/>
          <w:u w:val="single"/>
        </w:rPr>
        <w:t xml:space="preserve">    日</w:t>
      </w:r>
    </w:p>
    <w:p>
      <w:pPr>
        <w:rPr>
          <w:color w:val="auto"/>
          <w:highlight w:val="none"/>
        </w:rPr>
      </w:pPr>
      <w:r>
        <w:rPr>
          <w:color w:val="auto"/>
          <w:highlight w:val="none"/>
        </w:rPr>
        <w:br w:type="page"/>
      </w:r>
    </w:p>
    <w:p>
      <w:pPr>
        <w:pStyle w:val="5"/>
        <w:spacing w:before="0" w:line="360" w:lineRule="auto"/>
        <w:jc w:val="center"/>
        <w:rPr>
          <w:rFonts w:ascii="宋体" w:hAnsi="宋体"/>
          <w:b w:val="0"/>
          <w:color w:val="auto"/>
          <w:highlight w:val="none"/>
        </w:rPr>
      </w:pPr>
      <w:bookmarkStart w:id="1147" w:name="_Toc1711"/>
      <w:r>
        <w:rPr>
          <w:rFonts w:hint="eastAsia" w:ascii="宋体" w:hAnsi="宋体"/>
          <w:b w:val="0"/>
          <w:color w:val="auto"/>
          <w:highlight w:val="none"/>
        </w:rPr>
        <w:t>（</w:t>
      </w:r>
      <w:r>
        <w:rPr>
          <w:rFonts w:hint="eastAsia" w:ascii="宋体" w:hAnsi="宋体"/>
          <w:b w:val="0"/>
          <w:color w:val="auto"/>
          <w:highlight w:val="none"/>
          <w:lang w:val="en-US" w:eastAsia="zh-CN"/>
        </w:rPr>
        <w:t>六</w:t>
      </w:r>
      <w:r>
        <w:rPr>
          <w:rFonts w:hint="eastAsia" w:ascii="宋体" w:hAnsi="宋体"/>
          <w:b w:val="0"/>
          <w:color w:val="auto"/>
          <w:highlight w:val="none"/>
        </w:rPr>
        <w:t>）其他资料</w:t>
      </w:r>
      <w:bookmarkEnd w:id="1147"/>
    </w:p>
    <w:p>
      <w:pPr>
        <w:rPr>
          <w:color w:val="auto"/>
          <w:highlight w:val="none"/>
        </w:rPr>
      </w:pPr>
    </w:p>
    <w:bookmarkEnd w:id="351"/>
    <w:bookmarkEnd w:id="352"/>
    <w:bookmarkEnd w:id="353"/>
    <w:p>
      <w:pPr>
        <w:rPr>
          <w:rFonts w:ascii="宋体" w:hAnsi="宋体"/>
          <w:b/>
          <w:color w:val="auto"/>
          <w:highlight w:val="none"/>
        </w:rPr>
        <w:sectPr>
          <w:footerReference r:id="rId9" w:type="default"/>
          <w:pgSz w:w="11906" w:h="16838"/>
          <w:pgMar w:top="1304" w:right="1134" w:bottom="1304" w:left="1304" w:header="851" w:footer="992" w:gutter="0"/>
          <w:cols w:space="720" w:num="1"/>
          <w:docGrid w:type="lines" w:linePitch="312" w:charSpace="0"/>
        </w:sectPr>
      </w:pPr>
    </w:p>
    <w:p>
      <w:pPr>
        <w:rPr>
          <w:rFonts w:ascii="宋体" w:hAnsi="宋体"/>
          <w:b/>
          <w:color w:val="auto"/>
          <w:highlight w:val="none"/>
        </w:rPr>
      </w:pPr>
      <w:r>
        <w:rPr>
          <w:color w:val="auto"/>
          <w:highlight w:val="none"/>
        </w:rPr>
        <mc:AlternateContent>
          <mc:Choice Requires="wps">
            <w:drawing>
              <wp:anchor distT="0" distB="0" distL="0" distR="0" simplePos="0" relativeHeight="251659264" behindDoc="0" locked="0" layoutInCell="1" allowOverlap="1">
                <wp:simplePos x="0" y="0"/>
                <wp:positionH relativeFrom="character">
                  <wp:posOffset>1805305</wp:posOffset>
                </wp:positionH>
                <wp:positionV relativeFrom="line">
                  <wp:posOffset>1351280</wp:posOffset>
                </wp:positionV>
                <wp:extent cx="2134235" cy="792480"/>
                <wp:effectExtent l="0" t="0" r="0" b="0"/>
                <wp:wrapNone/>
                <wp:docPr id="1027" name="矩形 111"/>
                <wp:cNvGraphicFramePr/>
                <a:graphic xmlns:a="http://schemas.openxmlformats.org/drawingml/2006/main">
                  <a:graphicData uri="http://schemas.microsoft.com/office/word/2010/wordprocessingShape">
                    <wps:wsp>
                      <wps:cNvSpPr/>
                      <wps:spPr>
                        <a:xfrm>
                          <a:off x="0" y="0"/>
                          <a:ext cx="2134235" cy="792479"/>
                        </a:xfrm>
                        <a:prstGeom prst="rect">
                          <a:avLst/>
                        </a:prstGeom>
                        <a:ln>
                          <a:noFill/>
                        </a:ln>
                      </wps:spPr>
                      <wps:txbx>
                        <w:txbxContent>
                          <w:p>
                            <w:pPr>
                              <w:jc w:val="center"/>
                              <w:rPr>
                                <w:rFonts w:ascii="仿宋" w:hAnsi="仿宋" w:eastAsia="仿宋" w:cs="仿宋"/>
                                <w:sz w:val="84"/>
                                <w:szCs w:val="84"/>
                              </w:rPr>
                            </w:pPr>
                            <w:r>
                              <w:rPr>
                                <w:rFonts w:hint="eastAsia" w:ascii="仿宋" w:hAnsi="仿宋" w:eastAsia="仿宋" w:cs="仿宋"/>
                                <w:color w:val="000000"/>
                                <w:sz w:val="84"/>
                                <w:szCs w:val="84"/>
                              </w:rPr>
                              <w:t>技术方案</w:t>
                            </w:r>
                          </w:p>
                        </w:txbxContent>
                      </wps:txbx>
                      <wps:bodyPr wrap="none" lIns="0" tIns="0" rIns="0" bIns="0" upright="1">
                        <a:spAutoFit/>
                      </wps:bodyPr>
                    </wps:wsp>
                  </a:graphicData>
                </a:graphic>
              </wp:anchor>
            </w:drawing>
          </mc:Choice>
          <mc:Fallback>
            <w:pict>
              <v:rect id="矩形 111" o:spid="_x0000_s1026" o:spt="1" style="position:absolute;left:0pt;margin-left:142.15pt;margin-top:106.4pt;height:62.4pt;width:168.05pt;mso-position-horizontal-relative:char;mso-position-vertical-relative:line;mso-wrap-style:none;z-index:251659264;mso-width-relative:page;mso-height-relative:page;" filled="f" stroked="f" coordsize="21600,21600" o:gfxdata="UEsDBAoAAAAAAIdO4kAAAAAAAAAAAAAAAAAEAAAAZHJzL1BLAwQUAAAACACHTuJA3EXN19gAAAAL&#10;AQAADwAAAGRycy9kb3ducmV2LnhtbE2Py07DMBBF90j8gzVI7KgdpwpRiNMFUiVAbJr2A9x48hB+&#10;RLHblL9nWMFuRnN059x6d3OWXXGJU/AKso0Ahr4LZvKDgtNx/1QCi0l7o23wqOAbI+ya+7taVyas&#10;/oDXNg2MQnystIIxpbniPHYjOh03YUZPtz4sTidal4GbRa8U7iyXQhTc6cnTh1HP+Dpi99VenAJ+&#10;bPdr2dpFhA/Zf9r3t0OPQanHh0y8AEt4S38w/OqTOjTkdA4XbyKzCmS5zQmlIZPUgYhCii2ws4I8&#10;fy6ANzX/36H5AVBLAwQUAAAACACHTuJACnCOEcYBAACFAwAADgAAAGRycy9lMm9Eb2MueG1srVPN&#10;jtMwEL4j8Q6W7zRNdqFs1HSFVC1CQrDSwgO4jtNY8p9m3CZ9GiRuPASPg3gNxk7aRctlD1zcsWf6&#10;zfd9M1nfjtawowLU3jW8XCw5U076Vrt9w79+uXv1ljOMwrXCeKcaflLIbzcvX6yHUKvK9960ChiB&#10;OKyH0PA+xlAXBcpeWYELH5SjZOfBikhX2BctiIHQrSmq5fJNMXhoA3ipEOl1OyX5jAjPAfRdp6Xa&#10;enmwysUJFZQRkSRhrwPyTWbbdUrGz12HKjLTcFIa80lNKN6ls9isRb0HEXotZwriORSeaLJCO2p6&#10;gdqKKNgB9D9QVkvw6Lu4kN4Wk5DsCKkol0+8eehFUFkLWY3hYjr+P1j56XgPTLe0CctqxZkTlmb+&#10;+9uPXz+/s7Isk0FDwJrqHsI9zDekMKkdO7Dpl3SwMZt6upiqxsgkPVbl1XV19ZozSbnVTXW9ukmg&#10;xeO/A2B8r7xlKWg40NCyl+L4EeNUei5JzYxLp/N32pgpm16KxHLilaI47saZ7M63J9I40JAb7min&#10;OTMfHHmY9uEcwDnYnYNDAL3viU+ZyWB4d4jUMxNKHSbYuTFNJ0uaNymN/+97rnr8ej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NxFzdfYAAAACwEAAA8AAAAAAAAAAQAgAAAAIgAAAGRycy9kb3du&#10;cmV2LnhtbFBLAQIUABQAAAAIAIdO4kAKcI4RxgEAAIUDAAAOAAAAAAAAAAEAIAAAACcBAABkcnMv&#10;ZTJvRG9jLnhtbFBLBQYAAAAABgAGAFkBAABfBQAAAAA=&#10;">
                <v:fill on="f" focussize="0,0"/>
                <v:stroke on="f"/>
                <v:imagedata o:title=""/>
                <o:lock v:ext="edit" aspectratio="f"/>
                <v:textbox inset="0mm,0mm,0mm,0mm" style="mso-fit-shape-to-text:t;">
                  <w:txbxContent>
                    <w:p>
                      <w:pPr>
                        <w:jc w:val="center"/>
                        <w:rPr>
                          <w:rFonts w:ascii="仿宋" w:hAnsi="仿宋" w:eastAsia="仿宋" w:cs="仿宋"/>
                          <w:sz w:val="84"/>
                          <w:szCs w:val="84"/>
                        </w:rPr>
                      </w:pPr>
                      <w:r>
                        <w:rPr>
                          <w:rFonts w:hint="eastAsia" w:ascii="仿宋" w:hAnsi="仿宋" w:eastAsia="仿宋" w:cs="仿宋"/>
                          <w:color w:val="000000"/>
                          <w:sz w:val="84"/>
                          <w:szCs w:val="84"/>
                        </w:rPr>
                        <w:t>技术方案</w:t>
                      </w:r>
                    </w:p>
                  </w:txbxContent>
                </v:textbox>
              </v:rect>
            </w:pict>
          </mc:Fallback>
        </mc:AlternateContent>
      </w:r>
      <w:r>
        <w:rPr>
          <w:color w:val="auto"/>
          <w:highlight w:val="none"/>
        </w:rPr>
        <mc:AlternateContent>
          <mc:Choice Requires="wps">
            <w:drawing>
              <wp:anchor distT="0" distB="0" distL="0" distR="0" simplePos="0" relativeHeight="251659264" behindDoc="0" locked="0" layoutInCell="1" allowOverlap="1">
                <wp:simplePos x="0" y="0"/>
                <wp:positionH relativeFrom="character">
                  <wp:posOffset>3884295</wp:posOffset>
                </wp:positionH>
                <wp:positionV relativeFrom="line">
                  <wp:posOffset>9352915</wp:posOffset>
                </wp:positionV>
                <wp:extent cx="419735" cy="198120"/>
                <wp:effectExtent l="0" t="0" r="0" b="0"/>
                <wp:wrapNone/>
                <wp:docPr id="1028" name="矩形 114"/>
                <wp:cNvGraphicFramePr/>
                <a:graphic xmlns:a="http://schemas.openxmlformats.org/drawingml/2006/main">
                  <a:graphicData uri="http://schemas.microsoft.com/office/word/2010/wordprocessingShape">
                    <wps:wsp>
                      <wps:cNvSpPr/>
                      <wps:spPr>
                        <a:xfrm rot="-2640000">
                          <a:off x="0" y="0"/>
                          <a:ext cx="419734" cy="198119"/>
                        </a:xfrm>
                        <a:prstGeom prst="rect">
                          <a:avLst/>
                        </a:prstGeom>
                        <a:ln>
                          <a:noFill/>
                        </a:ln>
                      </wps:spPr>
                      <wps:txbx>
                        <w:txbxContent>
                          <w:p>
                            <w:pPr>
                              <w:rPr>
                                <w:sz w:val="20"/>
                              </w:rPr>
                            </w:pPr>
                            <w:r>
                              <w:rPr>
                                <w:rFonts w:hint="eastAsia" w:ascii="宋体" w:cs="宋体"/>
                                <w:bCs/>
                                <w:color w:val="000000"/>
                                <w:sz w:val="22"/>
                              </w:rPr>
                              <w:t>密封线</w:t>
                            </w:r>
                          </w:p>
                        </w:txbxContent>
                      </wps:txbx>
                      <wps:bodyPr wrap="none" lIns="0" tIns="0" rIns="0" bIns="0" upright="1">
                        <a:spAutoFit/>
                      </wps:bodyPr>
                    </wps:wsp>
                  </a:graphicData>
                </a:graphic>
              </wp:anchor>
            </w:drawing>
          </mc:Choice>
          <mc:Fallback>
            <w:pict>
              <v:rect id="矩形 114" o:spid="_x0000_s1026" o:spt="1" style="position:absolute;left:0pt;margin-left:305.85pt;margin-top:736.45pt;height:15.6pt;width:33.05pt;mso-position-horizontal-relative:char;mso-position-vertical-relative:line;mso-wrap-style:none;rotation:-2883584f;z-index:251659264;mso-width-relative:page;mso-height-relative:page;" filled="f" stroked="f" coordsize="21600,21600" o:gfxdata="UEsDBAoAAAAAAIdO4kAAAAAAAAAAAAAAAAAEAAAAZHJzL1BLAwQUAAAACACHTuJA1hgYZNkAAAAN&#10;AQAADwAAAGRycy9kb3ducmV2LnhtbE2PQU+EMBCF7yb+h2ZMvLltV4RdpGyiiYleTEC8d+kIRNoS&#10;WnbRX+940uO89+XNe8VhtSM74RwG7xTIjQCGrvVmcJ2C5u3pZgcsRO2MHr1DBV8Y4FBeXhQ6N/7s&#10;KjzVsWMU4kKuFfQxTjnnoe3R6rDxEzryPvxsdaRz7riZ9ZnC7ci3QqTc6sHRh15P+Nhj+1kvVsFL&#10;WzXY3Cbv9lvEdXxeqtc6PCh1fSXFPbCIa/yD4bc+VYeSOh394kxgo4JUyoxQMpJsuwdGSJpltOZI&#10;0p1IJPCy4P9XlD9QSwMEFAAAAAgAh07iQMZx1mfPAQAAkwMAAA4AAABkcnMvZTJvRG9jLnhtbK1T&#10;zYrbMBC+F/oOQveN7TRsNyHOshC2FEq7sNsHUGQ5FuiPGSV2nqbQWx+ij1P6Gh3JTlq2lz2sD2Kk&#10;Gb75vm/G69vBGnZUgNq7mlezkjPlpG+029f869P91Q1nGIVrhPFO1fykkN9u3r5Z92Gl5r7zplHA&#10;CMThqg8172IMq6JA2SkrcOaDcpRsPVgR6Qr7ogHRE7o1xbwsr4veQxPAS4VIr9sxySdEeAmgb1st&#10;1dbLg1UujqigjIgkCTsdkG8y27ZVMn5pW1SRmZqT0phPakLxLp3FZi1WexCh03KiIF5C4ZkmK7Sj&#10;pheorYiCHUD/B2W1BI++jTPpbTEKyY6Qiqp85s1jJ4LKWshqDBfT8fVg5efjAzDd0CaUc5q8E5Zm&#10;/vvbj18/v7OqWiSD+oArqnsMDzDdkMKkdmjBMvDk6tX8elHSl00gWWzIHp8uHqshMkmPi2r5/t2C&#10;M0mpanlTVcvUohixEmYAjB+UtywFNQcaYQYVx08Yx9JzSSo3Lp3O32tjxmx6KRLnkWWK4rAbJuo7&#10;35xIcU8jr7mjDefMfHTkaNqOcwDnYHcODgH0viM+VSaD4e4QqWcmlDqMsFNjmlWWNO1VWoZ/77nq&#10;77+0+Q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WGBhk2QAAAA0BAAAPAAAAAAAAAAEAIAAAACIA&#10;AABkcnMvZG93bnJldi54bWxQSwECFAAUAAAACACHTuJAxnHWZ88BAACTAwAADgAAAAAAAAABACAA&#10;AAAoAQAAZHJzL2Uyb0RvYy54bWxQSwUGAAAAAAYABgBZAQAAaQUAAAAA&#10;">
                <v:fill on="f" focussize="0,0"/>
                <v:stroke on="f"/>
                <v:imagedata o:title=""/>
                <o:lock v:ext="edit" aspectratio="f"/>
                <v:textbox inset="0mm,0mm,0mm,0mm" style="mso-fit-shape-to-text:t;">
                  <w:txbxContent>
                    <w:p>
                      <w:pPr>
                        <w:rPr>
                          <w:sz w:val="20"/>
                        </w:rPr>
                      </w:pPr>
                      <w:r>
                        <w:rPr>
                          <w:rFonts w:hint="eastAsia" w:ascii="宋体" w:cs="宋体"/>
                          <w:bCs/>
                          <w:color w:val="000000"/>
                          <w:sz w:val="22"/>
                        </w:rPr>
                        <w:t>密封线</w:t>
                      </w:r>
                    </w:p>
                  </w:txbxContent>
                </v:textbox>
              </v:rect>
            </w:pict>
          </mc:Fallback>
        </mc:AlternateContent>
      </w:r>
      <w:r>
        <w:rPr>
          <w:color w:val="auto"/>
          <w:highlight w:val="none"/>
        </w:rPr>
        <mc:AlternateContent>
          <mc:Choice Requires="wps">
            <w:drawing>
              <wp:anchor distT="0" distB="0" distL="0" distR="0" simplePos="0" relativeHeight="251659264" behindDoc="0" locked="0" layoutInCell="1" allowOverlap="1">
                <wp:simplePos x="0" y="0"/>
                <wp:positionH relativeFrom="character">
                  <wp:posOffset>3668395</wp:posOffset>
                </wp:positionH>
                <wp:positionV relativeFrom="line">
                  <wp:posOffset>6773545</wp:posOffset>
                </wp:positionV>
                <wp:extent cx="3175" cy="3128010"/>
                <wp:effectExtent l="0" t="0" r="0" b="0"/>
                <wp:wrapNone/>
                <wp:docPr id="1029" name="直线 132"/>
                <wp:cNvGraphicFramePr/>
                <a:graphic xmlns:a="http://schemas.openxmlformats.org/drawingml/2006/main">
                  <a:graphicData uri="http://schemas.microsoft.com/office/word/2010/wordprocessingShape">
                    <wps:wsp>
                      <wps:cNvCnPr/>
                      <wps:spPr>
                        <a:xfrm flipH="1" flipV="1">
                          <a:off x="0" y="0"/>
                          <a:ext cx="3175" cy="3128009"/>
                        </a:xfrm>
                        <a:prstGeom prst="line">
                          <a:avLst/>
                        </a:prstGeom>
                        <a:ln w="9525" cap="flat" cmpd="sng">
                          <a:solidFill>
                            <a:srgbClr val="000000"/>
                          </a:solidFill>
                          <a:prstDash val="dash"/>
                          <a:miter/>
                          <a:headEnd type="none" w="med" len="med"/>
                          <a:tailEnd type="none" w="med" len="med"/>
                        </a:ln>
                      </wps:spPr>
                      <wps:bodyPr/>
                    </wps:wsp>
                  </a:graphicData>
                </a:graphic>
              </wp:anchor>
            </w:drawing>
          </mc:Choice>
          <mc:Fallback>
            <w:pict>
              <v:line id="直线 132" o:spid="_x0000_s1026" o:spt="20" style="position:absolute;left:0pt;flip:x y;margin-left:288.85pt;margin-top:533.35pt;height:246.3pt;width:0.25pt;mso-position-horizontal-relative:char;mso-position-vertical-relative:line;z-index:251659264;mso-width-relative:page;mso-height-relative:page;" filled="f" stroked="t" coordsize="21600,21600" o:gfxdata="UEsDBAoAAAAAAIdO4kAAAAAAAAAAAAAAAAAEAAAAZHJzL1BLAwQUAAAACACHTuJA8M0SINwAAAAN&#10;AQAADwAAAGRycy9kb3ducmV2LnhtbE2PzU7DMBCE70i8g7VI3KjdosRtiNMDqKoQEhItEhzdeHEi&#10;4h/FblPenuVEb7s7o9lv6vXZDeyEY+qDVzCfCWDo22B6bxW87zd3S2Apa2/0EDwq+MEE6+b6qtaV&#10;CZN/w9MuW0YhPlVaQZdzrDhPbYdOp1mI6En7CqPTmdbRcjPqicLdwBdClNzp3tOHTkd87LD93h2d&#10;gudy2ksbN/Hp9SWvotDbzw+7Ver2Zi4egGU8538z/OETOjTEdAhHbxIbFBRSSrKSIMqSJrIUcrkA&#10;dqBTUazugTc1v2zR/AJQSwMEFAAAAAgAh07iQBphHcL2AQAA9AMAAA4AAABkcnMvZTJvRG9jLnht&#10;bK1TS44TMRDdI3EHy3vSnY4GJq3pzGLCwAJBJD77iu1OW/JPLk86OQvXYMWG48w1KLtDgGGTBb2w&#10;yvV5Ve91+eb2YA3bq4jau47PZzVnygkvtdt1/POn+xfXnGECJ8F4pzp+VMhvV8+f3YyhVY0fvJEq&#10;MgJx2I6h40NKoa0qFIOygDMflKNg76OFRNe4q2SEkdCtqZq6flmNPsoQvVCI5F1PQX5CjJcA+r7X&#10;Qq29eLDKpQk1KgOJKOGgA/JVmbbvlUgf+h5VYqbjxDSVk5qQvc1ntbqBdhchDFqcRoBLRnjCyYJ2&#10;1PQMtYYE7CHqf6CsFtGj79NMeFtNRIoixGJeP9Hm4wBBFS4kNYaz6Pj/YMX7/SYyLWkT6mbJmQNL&#10;//zx67fH7z/YfNFkgcaALeXduU083TBsYmZ76KNlvdHhLdXzYn3JVo4RN3YoQh/PQqtDYoKci/mr&#10;K84EBRbz5rqul7lNNeHl2hAxvVHesmx03GiXZYAW9u8wTam/UrLbODZ2fHnVZFCgnexpF8i0gXih&#10;25Va9EbLe21MrsC4296ZyPaQ96J8pxH+SstN1oDDlCfJylnQWp1U1gLaQYF87SRLx0C6OXoxPM9i&#10;leTMKHpg2SqZCbS5JJNkMI7UyKpPOmdr6+WxyF/8tAxFr9Pi5m37816qfz/W1U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wzRIg3AAAAA0BAAAPAAAAAAAAAAEAIAAAACIAAABkcnMvZG93bnJldi54&#10;bWxQSwECFAAUAAAACACHTuJAGmEdwvYBAAD0AwAADgAAAAAAAAABACAAAAArAQAAZHJzL2Uyb0Rv&#10;Yy54bWxQSwUGAAAAAAYABgBZAQAAkwUAAAAA&#10;">
                <v:fill on="f" focussize="0,0"/>
                <v:stroke color="#000000" joinstyle="miter" dashstyle="dash"/>
                <v:imagedata o:title=""/>
                <o:lock v:ext="edit" aspectratio="f"/>
              </v:line>
            </w:pict>
          </mc:Fallback>
        </mc:AlternateContent>
      </w:r>
      <w:r>
        <w:rPr>
          <w:color w:val="auto"/>
          <w:highlight w:val="none"/>
        </w:rPr>
        <mc:AlternateContent>
          <mc:Choice Requires="wps">
            <w:drawing>
              <wp:anchor distT="0" distB="0" distL="0" distR="0" simplePos="0" relativeHeight="251659264" behindDoc="0" locked="0" layoutInCell="1" allowOverlap="1">
                <wp:simplePos x="0" y="0"/>
                <wp:positionH relativeFrom="character">
                  <wp:posOffset>3685540</wp:posOffset>
                </wp:positionH>
                <wp:positionV relativeFrom="line">
                  <wp:posOffset>6776720</wp:posOffset>
                </wp:positionV>
                <wp:extent cx="3077210" cy="4445"/>
                <wp:effectExtent l="0" t="0" r="0" b="0"/>
                <wp:wrapNone/>
                <wp:docPr id="1030" name="直接连接符 112"/>
                <wp:cNvGraphicFramePr/>
                <a:graphic xmlns:a="http://schemas.openxmlformats.org/drawingml/2006/main">
                  <a:graphicData uri="http://schemas.microsoft.com/office/word/2010/wordprocessingShape">
                    <wps:wsp>
                      <wps:cNvCnPr/>
                      <wps:spPr>
                        <a:xfrm flipV="1">
                          <a:off x="0" y="0"/>
                          <a:ext cx="3077209" cy="4444"/>
                        </a:xfrm>
                        <a:prstGeom prst="straightConnector1">
                          <a:avLst/>
                        </a:prstGeom>
                        <a:ln w="9525" cap="flat" cmpd="sng">
                          <a:solidFill>
                            <a:srgbClr val="000000"/>
                          </a:solidFill>
                          <a:prstDash val="dash"/>
                          <a:miter/>
                          <a:headEnd type="none" w="med" len="med"/>
                          <a:tailEnd type="none" w="med" len="med"/>
                        </a:ln>
                      </wps:spPr>
                      <wps:bodyPr/>
                    </wps:wsp>
                  </a:graphicData>
                </a:graphic>
              </wp:anchor>
            </w:drawing>
          </mc:Choice>
          <mc:Fallback>
            <w:pict>
              <v:shape id="直接连接符 112" o:spid="_x0000_s1026" o:spt="32" type="#_x0000_t32" style="position:absolute;left:0pt;flip:y;margin-left:290.2pt;margin-top:533.6pt;height:0.35pt;width:242.3pt;mso-position-horizontal-relative:char;mso-position-vertical-relative:line;z-index:251659264;mso-width-relative:page;mso-height-relative:page;" filled="f" stroked="t" coordsize="21600,21600" o:gfxdata="UEsDBAoAAAAAAIdO4kAAAAAAAAAAAAAAAAAEAAAAZHJzL1BLAwQUAAAACACHTuJAu99OtdoAAAAO&#10;AQAADwAAAGRycy9kb3ducmV2LnhtbE2PzU7DMBCE70i8g7VI3Kjdqg0hxKkEggviQBsEVzfexlHj&#10;dYjdH96erTjAcWc+zc6Uy5PvxQHH2AXSMJ0oEEhNsB21Gt7r55scREyGrOkDoYZvjLCsLi9KU9hw&#10;pBUe1qkVHEKxMBpcSkMhZWwcehMnYUBibxtGbxKfYyvtaI4c7ns5UyqT3nTEH5wZ8NFhs1vvvQb1&#10;Ge22fn2TH1/zF/ewSk95HXZaX19N1T2IhKf0B8O5PleHijttwp5sFL2GRa7mjLKhstsZiDOisgXv&#10;2/xqdyCrUv6fUf0AUEsDBBQAAAAIAIdO4kDAUDblBgIAAAEEAAAOAAAAZHJzL2Uyb0RvYy54bWyt&#10;U72OEzEQ7pF4B8s92U2O47hVNlckHA2Ck/jpJ7Z315L/5PHl5yV4ASQ6qCjpeRuOx2DsDQGOJgUu&#10;rLE98818n2fmVztr2EZF1N61fDqpOVNOeKld3/K3b64fPeUMEzgJxjvV8r1CfrV4+GC+DY2a+cEb&#10;qSIjEIfNNrR8SCk0VYViUBZw4oNy9Nj5aCHRMfaVjLAldGuqWV0/qbY+yhC9UIh0uxof+QExngLo&#10;u04LtfLi1iqXRtSoDCSihIMOyBel2q5TIr3qOlSJmZYT01R2SkL2Ou/VYg5NHyEMWhxKgFNKuMfJ&#10;gnaU9Ai1ggTsNup/oKwW0aPv0kR4W41EiiLEYlrf0+b1AEEVLiQ1hqPo+P9gxcvNTWRaUifUZySK&#10;A0t/fvfh6/f3n358+0j73ZfPbDqdZaW2ARsKWLqbeDhhuImZ9q6LlnVGh3cEVIQgamxXdN4fdVa7&#10;xARdntUXF7P6kjNBb49pZfBqRMloIWJ6rrxl2Wg5pgi6H9LSO0cf6uOYATYvMI2BvwJysHFs2/LL&#10;89k54QM1aEeNQaYNRBJdX6pDb7S81sbkCIz9emki20BukrIOBf3llpOsAIfRT5KVvaCxOqmsBzSD&#10;AvnMSZb2gUR0ND4812KV5MwomrZsFc8E2pziSaIYR9pk5Uets7X2cl++oNxTZxT1Dl2cW+/Pc4n+&#10;PbmL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vfTrXaAAAADgEAAA8AAAAAAAAAAQAgAAAAIgAA&#10;AGRycy9kb3ducmV2LnhtbFBLAQIUABQAAAAIAIdO4kDAUDblBgIAAAEEAAAOAAAAAAAAAAEAIAAA&#10;ACkBAABkcnMvZTJvRG9jLnhtbFBLBQYAAAAABgAGAFkBAAChBQAAAAA=&#10;">
                <v:fill on="f" focussize="0,0"/>
                <v:stroke color="#000000" joinstyle="miter" dashstyle="dash"/>
                <v:imagedata o:title=""/>
                <o:lock v:ext="edit" aspectratio="f"/>
              </v:shape>
            </w:pict>
          </mc:Fallback>
        </mc:AlternateContent>
      </w:r>
      <w:r>
        <w:rPr>
          <w:color w:val="auto"/>
          <w:highlight w:val="none"/>
        </w:rPr>
        <mc:AlternateContent>
          <mc:Choice Requires="wps">
            <w:drawing>
              <wp:anchor distT="0" distB="0" distL="0" distR="0" simplePos="0" relativeHeight="251659264" behindDoc="0" locked="0" layoutInCell="1" allowOverlap="1">
                <wp:simplePos x="0" y="0"/>
                <wp:positionH relativeFrom="character">
                  <wp:posOffset>3689985</wp:posOffset>
                </wp:positionH>
                <wp:positionV relativeFrom="line">
                  <wp:posOffset>6782435</wp:posOffset>
                </wp:positionV>
                <wp:extent cx="3057525" cy="3085465"/>
                <wp:effectExtent l="3175" t="3175" r="6350" b="16510"/>
                <wp:wrapNone/>
                <wp:docPr id="1031" name="直线 134"/>
                <wp:cNvGraphicFramePr/>
                <a:graphic xmlns:a="http://schemas.openxmlformats.org/drawingml/2006/main">
                  <a:graphicData uri="http://schemas.microsoft.com/office/word/2010/wordprocessingShape">
                    <wps:wsp>
                      <wps:cNvCnPr/>
                      <wps:spPr>
                        <a:xfrm flipV="1">
                          <a:off x="0" y="0"/>
                          <a:ext cx="3057525" cy="3085465"/>
                        </a:xfrm>
                        <a:prstGeom prst="line">
                          <a:avLst/>
                        </a:prstGeom>
                        <a:ln w="9525" cap="flat" cmpd="sng">
                          <a:solidFill>
                            <a:srgbClr val="000000"/>
                          </a:solidFill>
                          <a:prstDash val="dashDot"/>
                          <a:miter/>
                          <a:headEnd type="none" w="med" len="med"/>
                          <a:tailEnd type="none" w="med" len="med"/>
                        </a:ln>
                      </wps:spPr>
                      <wps:bodyPr/>
                    </wps:wsp>
                  </a:graphicData>
                </a:graphic>
              </wp:anchor>
            </w:drawing>
          </mc:Choice>
          <mc:Fallback>
            <w:pict>
              <v:line id="直线 134" o:spid="_x0000_s1026" o:spt="20" style="position:absolute;left:0pt;flip:y;margin-left:290.55pt;margin-top:534.05pt;height:242.95pt;width:240.75pt;mso-position-horizontal-relative:char;mso-position-vertical-relative:line;z-index:251659264;mso-width-relative:page;mso-height-relative:page;" filled="f" stroked="t" coordsize="21600,21600" o:gfxdata="UEsDBAoAAAAAAIdO4kAAAAAAAAAAAAAAAAAEAAAAZHJzL1BLAwQUAAAACACHTuJAcXf55NoAAAAO&#10;AQAADwAAAGRycy9kb3ducmV2LnhtbE2PwU7DMBBE70j8g7VI3KidiIQoxKkEggpxa6Gc3XgbR8R2&#10;ZLtN4evZnuhtVvM0O9MsT3ZkRwxx8E5CthDA0HVeD66X8PnxelcBi0k5rUbvUMIPRli211eNqrWf&#10;3RqPm9QzCnGxVhJMSlPNeewMWhUXfkJH3t4HqxKdoec6qJnC7chzIUpu1eDog1ETPhvsvjcHK2F+&#10;Ev1+tZq2L1v9Fh6+inX+/mukvL3JxCOwhKf0D8O5PlWHljrt/MHpyEYJRZVlhJIhyorUGRFlXgLb&#10;kSqKewG8bfjljPYPUEsDBBQAAAAIAIdO4kAwUT5r9gEAAPADAAAOAAAAZHJzL2Uyb0RvYy54bWyt&#10;U0uOEzEQ3SNxB8t70p1kMgytdGYxYdggiDTAvmK705b8k8uTTs7CNVix4ThzDcruEGDYZEEvrHL5&#10;1XO91+Xl7cEatlcRtXctn05qzpQTXmq3a/nnT/evbjjDBE6C8U61/KiQ365evlgOoVEz33sjVWRE&#10;4rAZQsv7lEJTVSh6ZQEnPihHh52PFhJt466SEQZit6aa1fV1NfgoQ/RCIVJ2PR7yE2O8hNB3nRZq&#10;7cWjVS6NrFEZSCQJex2Qr0q3XadE+th1qBIzLSelqax0CcXbvFarJTS7CKHX4tQCXNLCM00WtKNL&#10;z1RrSMAeo/6HymoRPfouTYS31SikOEIqpvUzbx56CKpoIasxnE3H/0crPuw3kWlJk1DPp5w5sPTP&#10;n75+e/r+g03nV9mgIWBDuDu3iacdhk3Mag9dtKwzOnyh+qKfFLFDsfd4tlcdEhOUnNeL14vZgjNB&#10;Z/P6ZnF1vcj81UiUCUPE9E55y3LQcqNd1g8N7N9jGqG/IDltHBta/mYkBRrGjoaA+G0gQeh2pRa9&#10;0fJeG5MrMO62dyayPeSBKN+phb9g+ZI1YD/iJEVrnzIQGquTyj5A0yuQb51k6RjIM0evhed2rJKc&#10;GUWPK0cFmUCbS5DkhHFkSHZ89DhHWy+PxfqSp0Eolp2GNk/an/tS/fuhrn4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cXf55NoAAAAOAQAADwAAAAAAAAABACAAAAAiAAAAZHJzL2Rvd25yZXYueG1s&#10;UEsBAhQAFAAAAAgAh07iQDBRPmv2AQAA8AMAAA4AAAAAAAAAAQAgAAAAKQEAAGRycy9lMm9Eb2Mu&#10;eG1sUEsFBgAAAAAGAAYAWQEAAJEFAAAAAA==&#10;">
                <v:fill on="f" focussize="0,0"/>
                <v:stroke color="#000000" joinstyle="miter" dashstyle="dashDot"/>
                <v:imagedata o:title=""/>
                <o:lock v:ext="edit" aspectratio="f"/>
              </v:line>
            </w:pict>
          </mc:Fallback>
        </mc:AlternateContent>
      </w:r>
      <w:r>
        <w:rPr>
          <w:color w:val="auto"/>
          <w:highlight w:val="none"/>
        </w:rPr>
        <mc:AlternateContent>
          <mc:Choice Requires="wps">
            <w:drawing>
              <wp:anchor distT="0" distB="0" distL="0" distR="0" simplePos="0" relativeHeight="251659264" behindDoc="0" locked="0" layoutInCell="1" allowOverlap="1">
                <wp:simplePos x="0" y="0"/>
                <wp:positionH relativeFrom="character">
                  <wp:posOffset>4256405</wp:posOffset>
                </wp:positionH>
                <wp:positionV relativeFrom="line">
                  <wp:posOffset>7359015</wp:posOffset>
                </wp:positionV>
                <wp:extent cx="1857375" cy="1856740"/>
                <wp:effectExtent l="5080" t="5080" r="4445" b="5080"/>
                <wp:wrapNone/>
                <wp:docPr id="1032" name="椭圆 115"/>
                <wp:cNvGraphicFramePr/>
                <a:graphic xmlns:a="http://schemas.openxmlformats.org/drawingml/2006/main">
                  <a:graphicData uri="http://schemas.microsoft.com/office/word/2010/wordprocessingShape">
                    <wps:wsp>
                      <wps:cNvSpPr/>
                      <wps:spPr>
                        <a:xfrm>
                          <a:off x="0" y="0"/>
                          <a:ext cx="1857375" cy="1856740"/>
                        </a:xfrm>
                        <a:prstGeom prst="ellipse">
                          <a:avLst/>
                        </a:prstGeom>
                        <a:ln w="9525" cap="flat" cmpd="sng">
                          <a:solidFill>
                            <a:srgbClr val="000000"/>
                          </a:solidFill>
                          <a:prstDash val="dashDot"/>
                          <a:miter/>
                          <a:headEnd type="none" w="med" len="med"/>
                          <a:tailEnd type="none" w="med" len="med"/>
                        </a:ln>
                      </wps:spPr>
                      <wps:txbx>
                        <w:txbxContent>
                          <w:p/>
                        </w:txbxContent>
                      </wps:txbx>
                      <wps:bodyPr wrap="square" upright="1"/>
                    </wps:wsp>
                  </a:graphicData>
                </a:graphic>
              </wp:anchor>
            </w:drawing>
          </mc:Choice>
          <mc:Fallback>
            <w:pict>
              <v:shape id="椭圆 115" o:spid="_x0000_s1026" o:spt="3" type="#_x0000_t3" style="position:absolute;left:0pt;margin-left:335.15pt;margin-top:579.45pt;height:146.2pt;width:146.25pt;mso-position-horizontal-relative:char;mso-position-vertical-relative:line;z-index:251659264;mso-width-relative:page;mso-height-relative:page;" filled="f" stroked="t" coordsize="21600,21600" o:gfxdata="UEsDBAoAAAAAAIdO4kAAAAAAAAAAAAAAAAAEAAAAZHJzL1BLAwQUAAAACACHTuJAbQONv9oAAAAN&#10;AQAADwAAAGRycy9kb3ducmV2LnhtbE2PzU7DMBCE70i8g7VIXBB1fkjahjiVACFxpa04u/E2ibDX&#10;Uey05e1ZTvS4M59mZ+rNxVlxwikMnhSkiwQEUuvNQJ2C/e79cQUiRE1GW0+o4AcDbJrbm1pXxp/p&#10;E0/b2AkOoVBpBX2MYyVlaHt0Oiz8iMTe0U9ORz6nTppJnzncWZklSSmdHog/9HrE1x7b7+3sFNhi&#10;Geey3duHt+zF4e7L58fsQ6n7uzR5BhHxEv9h+KvP1aHhTgc/kwnCKiiXSc4oG2mxWoNgZF1mvObA&#10;0lOR5iCbWl6vaH4BUEsDBBQAAAAIAIdO4kDKmMKTCQIAAA4EAAAOAAAAZHJzL2Uyb0RvYy54bWyt&#10;U0uS0zAQ3VPFHVTaE9sZMhlccWaBGTYUTNXAATqSbKtKPyQldi7AKViy5VhwDlpyyMCwyQIv5G6p&#10;9brf69bmdtKKHIQP0pqGVouSEmGY5dL0Df308e7FDSUhguGgrBENPYpAb7fPn21GV4ulHaziwhME&#10;MaEeXUOHGF1dFIENQkNYWCcMHnbWa4jo+r7gHkZE16pYluV1MVrPnbdMhIC77XxIT4j+EkDbdZKJ&#10;1rK9FibOqF4oiEgpDNIFus3Vdp1g8UPXBRGJaigyjXnFJGjv0lpsN1D3Htwg2akEuKSEJ5w0SINJ&#10;z1AtRCB7L/+B0pJ5G2wXF8zqYiaSFUEWVflEm4cBnMhcUOrgzqKH/wfL3h/uPZEcJ6G8WlJiQGPP&#10;f377/uPrF1JVqyTQ6EKNcQ/u3p+8gGZiO3Vepz/yIFMW9XgWVUyRMNysblbrq/WKEoZn6FyvX2bZ&#10;i8frzof4VlhNktFQoRT2MBGHGg7vQsSsGP07Km0rQ8aGvlotEy7gFHbYfTS1QybB9PlusEryO6lU&#10;uhF8v3utPDlAmoT8JW6I+1dYStJCGOY4jlZr4zwlWkaRBIB6EMDfGE7i0aFYBp8JTeVowSlRAl9V&#10;snJkBKkuicQylMFqktSzuMmK025CmGTuLD9io0acVCT4eQ8ec+6dl/2AilWZSorDMcmkTiOd5vBP&#10;P6d4fMbb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G0Djb/aAAAADQEAAA8AAAAAAAAAAQAgAAAA&#10;IgAAAGRycy9kb3ducmV2LnhtbFBLAQIUABQAAAAIAIdO4kDKmMKTCQIAAA4EAAAOAAAAAAAAAAEA&#10;IAAAACkBAABkcnMvZTJvRG9jLnhtbFBLBQYAAAAABgAGAFkBAACkBQAAAAA=&#10;">
                <v:fill on="f" focussize="0,0"/>
                <v:stroke color="#000000" joinstyle="miter" dashstyle="dashDot"/>
                <v:imagedata o:title=""/>
                <o:lock v:ext="edit" aspectratio="f"/>
                <v:textbox>
                  <w:txbxContent>
                    <w:p/>
                  </w:txbxContent>
                </v:textbox>
              </v:shape>
            </w:pict>
          </mc:Fallback>
        </mc:AlternateContent>
      </w:r>
      <w:r>
        <w:rPr>
          <w:color w:val="auto"/>
          <w:highlight w:val="none"/>
        </w:rPr>
        <mc:AlternateContent>
          <mc:Choice Requires="wps">
            <w:drawing>
              <wp:anchor distT="0" distB="0" distL="0" distR="0" simplePos="0" relativeHeight="251659264" behindDoc="0" locked="0" layoutInCell="1" allowOverlap="1">
                <wp:simplePos x="0" y="0"/>
                <wp:positionH relativeFrom="character">
                  <wp:posOffset>6140450</wp:posOffset>
                </wp:positionH>
                <wp:positionV relativeFrom="line">
                  <wp:posOffset>7091045</wp:posOffset>
                </wp:positionV>
                <wp:extent cx="419735" cy="198120"/>
                <wp:effectExtent l="0" t="0" r="0" b="0"/>
                <wp:wrapNone/>
                <wp:docPr id="1033" name="矩形 114"/>
                <wp:cNvGraphicFramePr/>
                <a:graphic xmlns:a="http://schemas.openxmlformats.org/drawingml/2006/main">
                  <a:graphicData uri="http://schemas.microsoft.com/office/word/2010/wordprocessingShape">
                    <wps:wsp>
                      <wps:cNvSpPr/>
                      <wps:spPr>
                        <a:xfrm rot="-2640000">
                          <a:off x="0" y="0"/>
                          <a:ext cx="419734" cy="198119"/>
                        </a:xfrm>
                        <a:prstGeom prst="rect">
                          <a:avLst/>
                        </a:prstGeom>
                        <a:ln>
                          <a:noFill/>
                        </a:ln>
                      </wps:spPr>
                      <wps:txbx>
                        <w:txbxContent>
                          <w:p>
                            <w:pPr>
                              <w:rPr>
                                <w:sz w:val="20"/>
                              </w:rPr>
                            </w:pPr>
                            <w:r>
                              <w:rPr>
                                <w:rFonts w:hint="eastAsia" w:ascii="宋体" w:cs="宋体"/>
                                <w:bCs/>
                                <w:color w:val="000000"/>
                                <w:sz w:val="22"/>
                              </w:rPr>
                              <w:t>密封线</w:t>
                            </w:r>
                          </w:p>
                        </w:txbxContent>
                      </wps:txbx>
                      <wps:bodyPr wrap="none" lIns="0" tIns="0" rIns="0" bIns="0" upright="1">
                        <a:spAutoFit/>
                      </wps:bodyPr>
                    </wps:wsp>
                  </a:graphicData>
                </a:graphic>
              </wp:anchor>
            </w:drawing>
          </mc:Choice>
          <mc:Fallback>
            <w:pict>
              <v:rect id="矩形 114" o:spid="_x0000_s1026" o:spt="1" style="position:absolute;left:0pt;margin-left:483.5pt;margin-top:558.35pt;height:15.6pt;width:33.05pt;mso-position-horizontal-relative:char;mso-position-vertical-relative:line;mso-wrap-style:none;rotation:-2883584f;z-index:251659264;mso-width-relative:page;mso-height-relative:page;" filled="f" stroked="f" coordsize="21600,21600" o:gfxdata="UEsDBAoAAAAAAIdO4kAAAAAAAAAAAAAAAAAEAAAAZHJzL1BLAwQUAAAACACHTuJAzt3wFdoAAAAO&#10;AQAADwAAAGRycy9kb3ducmV2LnhtbE2PzU7DMBCE70i8g7VI3KhtUiU0jVMJJCS4ICWEuxsvSVT/&#10;RLHTBp4e50SPOzOa/aY4LEaTM05+cFYA3zAgaFunBtsJaD5fH56A+CCtktpZFPCDHg7l7U0hc+Uu&#10;tsJzHToSS6zPpYA+hDGn1Lc9Guk3bkQbvW83GRniOXVUTfISy42mj4yl1MjBxg+9HPGlx/ZUz0bA&#10;e1s12CTbL/PLwqLf5uqj9s9C3N9xtgcScAn/YVjxIzqUkenoZqs80QJ2aRa3hGhwnmZA1ghLEg7k&#10;uGrbbAe0LOj1jPIPUEsDBBQAAAAIAIdO4kC5k2C6zwEAAJMDAAAOAAAAZHJzL2Uyb0RvYy54bWyt&#10;U82K2zAQvhf6DkL3je0kbDchzlIIWwqlXdj2ARRZjgX6Y0aJnacp9NaH6OOUvkZHspOW7WUP9UGM&#10;NMM33/fNeHM/WMNOClB7V/NqVnKmnPSNdoeaf/n8cHPHGUbhGmG8UzU/K+T329evNn1Yq7nvvGkU&#10;MAJxuO5DzbsYw7ooUHbKCpz5oBwlWw9WRLrCoWhA9IRuTTEvy9ui99AE8FIh0utuTPIJEV4C6NtW&#10;S7Xz8miViyMqKCMiScJOB+TbzLZtlYyf2hZVZKbmpDTmk5pQvE9nsd2I9QFE6LScKIiXUHimyQrt&#10;qOkVaieiYEfQ/0BZLcGjb+NMeluMQrIjpKIqn3nz1ImgshayGsPVdPx/sPLj6RGYbmgTysWCMycs&#10;zfzX1+8/f3xjVbVMBvUB11T3FB5huiGFSe3QgmXgydWb+e2ypC+bQLLYkD0+Xz1WQ2SSHpfV6s1i&#10;yZmkVLW6q6pValGMWAkzAMZ3yluWgpoDjTCDitMHjGPppSSVG5dO5x+0MWM2vRSJ88gyRXHYDxP1&#10;vW/OpLinkdfc0YZzZt47cjRtxyWAS7C/BMcA+tARnyqTwfD2GKlnJpQ6jLBTY5pVljTtVVqGv++5&#10;6s+/tP0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zt3wFdoAAAAOAQAADwAAAAAAAAABACAAAAAi&#10;AAAAZHJzL2Rvd25yZXYueG1sUEsBAhQAFAAAAAgAh07iQLmTYLrPAQAAkwMAAA4AAAAAAAAAAQAg&#10;AAAAKQEAAGRycy9lMm9Eb2MueG1sUEsFBgAAAAAGAAYAWQEAAGoFAAAAAA==&#10;">
                <v:fill on="f" focussize="0,0"/>
                <v:stroke on="f"/>
                <v:imagedata o:title=""/>
                <o:lock v:ext="edit" aspectratio="f"/>
                <v:textbox inset="0mm,0mm,0mm,0mm" style="mso-fit-shape-to-text:t;">
                  <w:txbxContent>
                    <w:p>
                      <w:pPr>
                        <w:rPr>
                          <w:sz w:val="20"/>
                        </w:rPr>
                      </w:pPr>
                      <w:r>
                        <w:rPr>
                          <w:rFonts w:hint="eastAsia" w:ascii="宋体" w:cs="宋体"/>
                          <w:bCs/>
                          <w:color w:val="000000"/>
                          <w:sz w:val="22"/>
                        </w:rPr>
                        <w:t>密封线</w:t>
                      </w:r>
                    </w:p>
                  </w:txbxContent>
                </v:textbox>
              </v:rect>
            </w:pict>
          </mc:Fallback>
        </mc:AlternateContent>
      </w:r>
      <w:r>
        <w:rPr>
          <w:color w:val="auto"/>
          <w:highlight w:val="none"/>
        </w:rPr>
        <mc:AlternateContent>
          <mc:Choice Requires="wps">
            <w:drawing>
              <wp:anchor distT="0" distB="0" distL="0" distR="0" simplePos="0" relativeHeight="251659264" behindDoc="0" locked="0" layoutInCell="1" allowOverlap="1">
                <wp:simplePos x="0" y="0"/>
                <wp:positionH relativeFrom="character">
                  <wp:posOffset>4615180</wp:posOffset>
                </wp:positionH>
                <wp:positionV relativeFrom="line">
                  <wp:posOffset>8111490</wp:posOffset>
                </wp:positionV>
                <wp:extent cx="1156335" cy="396240"/>
                <wp:effectExtent l="0" t="0" r="0" b="0"/>
                <wp:wrapNone/>
                <wp:docPr id="1034" name="矩形 113"/>
                <wp:cNvGraphicFramePr/>
                <a:graphic xmlns:a="http://schemas.openxmlformats.org/drawingml/2006/main">
                  <a:graphicData uri="http://schemas.microsoft.com/office/word/2010/wordprocessingShape">
                    <wps:wsp>
                      <wps:cNvSpPr/>
                      <wps:spPr>
                        <a:xfrm>
                          <a:off x="0" y="0"/>
                          <a:ext cx="1156335" cy="396240"/>
                        </a:xfrm>
                        <a:prstGeom prst="rect">
                          <a:avLst/>
                        </a:prstGeom>
                        <a:ln>
                          <a:noFill/>
                        </a:ln>
                      </wps:spPr>
                      <wps:txbx>
                        <w:txbxContent>
                          <w:p>
                            <w:pPr>
                              <w:rPr>
                                <w:sz w:val="20"/>
                              </w:rPr>
                            </w:pPr>
                            <w:r>
                              <w:rPr>
                                <w:rFonts w:hint="eastAsia" w:ascii="宋体" w:cs="宋体"/>
                                <w:bCs/>
                                <w:color w:val="000000"/>
                                <w:sz w:val="28"/>
                                <w:szCs w:val="30"/>
                              </w:rPr>
                              <w:t>(盖单位章处）</w:t>
                            </w:r>
                          </w:p>
                        </w:txbxContent>
                      </wps:txbx>
                      <wps:bodyPr wrap="none" lIns="0" tIns="0" rIns="0" bIns="0" upright="1">
                        <a:spAutoFit/>
                      </wps:bodyPr>
                    </wps:wsp>
                  </a:graphicData>
                </a:graphic>
              </wp:anchor>
            </w:drawing>
          </mc:Choice>
          <mc:Fallback>
            <w:pict>
              <v:rect id="矩形 113" o:spid="_x0000_s1026" o:spt="1" style="position:absolute;left:0pt;margin-left:363.4pt;margin-top:638.7pt;height:31.2pt;width:91.05pt;mso-position-horizontal-relative:char;mso-position-vertical-relative:line;mso-wrap-style:none;z-index:251659264;mso-width-relative:page;mso-height-relative:page;" filled="f" stroked="f" coordsize="21600,21600" o:gfxdata="UEsDBAoAAAAAAIdO4kAAAAAAAAAAAAAAAAAEAAAAZHJzL1BLAwQUAAAACACHTuJA7DZO0tkAAAAN&#10;AQAADwAAAGRycy9kb3ducmV2LnhtbE2PS0/DMBCE70j8B2uRuFG7KWoexOkBqRIgLk37A9x48xB+&#10;RLbblH/PcoLj7Ixmvq13N2vYFUOcvJOwXglg6DqvJzdIOB33TwWwmJTTyniHEr4xwq65v6tVpf3i&#10;Dnht08CoxMVKSRhTmivOYzeiVXHlZ3Tk9T5YlUiGgeugFiq3hmdCbLlVk6OFUc34OmL31V6sBH5s&#10;90vRmiD8R9Z/mve3Q49eyseHtXgBlvCW/sLwi0/o0BDT2V+cjsxIyLMtoScysjx/BkaRUhQlsDOd&#10;NpuyAN7U/P8XzQ9QSwMEFAAAAAgAh07iQOo5T13GAQAAhQMAAA4AAABkcnMvZTJvRG9jLnhtbK1T&#10;S27bMBDdF+gdCO5rSVZitILlIICRokDRBkh6AJoiLQL8YUhb8mkKdNdD9DhFr9EhJTtFuskiG3rI&#10;Gb95781ofTMaTY4CgnK2pdWipERY7jpl9y399nj37j0lITLbMe2saOlJBHqzeftmPfhGLF3vdCeA&#10;IIgNzeBb2sfom6IIvBeGhYXzwmJSOjAs4hX2RQdsQHSji2VZrorBQefBcRECvm6nJJ0R4SWATkrF&#10;xdbxgxE2TqggNIsoKfTKB7rJbKUUPH6VMohIdEtRacwnNsF4l85is2bNHpjvFZ8psJdQeKbJMGWx&#10;6QVqyyIjB1D/QRnFwQUn44I7U0xCsiOooiqfefPQMy+yFrQ6+Ivp4fVg+ZfjPRDV4SaU9RUllhmc&#10;+Z/vP3//+kGqqk4GDT40WPfg72G+BQyT2lGCSb+og4zZ1NPFVDFGwvGxqq5XdX1NCcdc/WG1vMqu&#10;F0//9hDiR+EMSUFLAYeWvWTHzyFiRyw9l6Rm2qbTujul9ZRNL0ViOfFKURx340x257oTahxwyC21&#10;uNOU6E8WPUz7cA7gHOzOwcGD2vfIp8pkgr89ROyZCaUOE+zcGKeTec6blMb/7z1XPX09m7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sNk7S2QAAAA0BAAAPAAAAAAAAAAEAIAAAACIAAABkcnMvZG93&#10;bnJldi54bWxQSwECFAAUAAAACACHTuJA6jlPXcYBAACFAwAADgAAAAAAAAABACAAAAAoAQAAZHJz&#10;L2Uyb0RvYy54bWxQSwUGAAAAAAYABgBZAQAAYAUAAAAA&#10;">
                <v:fill on="f" focussize="0,0"/>
                <v:stroke on="f"/>
                <v:imagedata o:title=""/>
                <o:lock v:ext="edit" aspectratio="f"/>
                <v:textbox inset="0mm,0mm,0mm,0mm" style="mso-fit-shape-to-text:t;">
                  <w:txbxContent>
                    <w:p>
                      <w:pPr>
                        <w:rPr>
                          <w:sz w:val="20"/>
                        </w:rPr>
                      </w:pPr>
                      <w:r>
                        <w:rPr>
                          <w:rFonts w:hint="eastAsia" w:ascii="宋体" w:cs="宋体"/>
                          <w:bCs/>
                          <w:color w:val="000000"/>
                          <w:sz w:val="28"/>
                          <w:szCs w:val="30"/>
                        </w:rPr>
                        <w:t>(盖单位章处）</w:t>
                      </w:r>
                    </w:p>
                  </w:txbxContent>
                </v:textbox>
              </v:rect>
            </w:pict>
          </mc:Fallback>
        </mc:AlternateContent>
      </w:r>
    </w:p>
    <w:sectPr>
      <w:pgSz w:w="11906" w:h="16838"/>
      <w:pgMar w:top="1304" w:right="1134" w:bottom="1304" w:left="130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00" w:usb3="00000000" w:csb0="00040000" w:csb1="00000000"/>
  </w:font>
  <w:font w:name="ˎ̥">
    <w:altName w:val="Times New Roman"/>
    <w:panose1 w:val="00000000000000000000"/>
    <w:charset w:val="00"/>
    <w:family w:val="auto"/>
    <w:pitch w:val="default"/>
    <w:sig w:usb0="00000000" w:usb1="00000000" w:usb2="00000000" w:usb3="00000000" w:csb0="00040001" w:csb1="00000000"/>
  </w:font>
  <w:font w:name="Tahoma">
    <w:panose1 w:val="020B0604030504040204"/>
    <w:charset w:val="00"/>
    <w:family w:val="swiss"/>
    <w:pitch w:val="default"/>
    <w:sig w:usb0="E1002EFF" w:usb1="C000605B" w:usb2="00000029" w:usb3="00000000" w:csb0="200101FF" w:csb1="20280000"/>
  </w:font>
  <w:font w:name="方正书宋简体">
    <w:altName w:val="微软雅黑"/>
    <w:panose1 w:val="00000000000000000000"/>
    <w:charset w:val="86"/>
    <w:family w:val="auto"/>
    <w:pitch w:val="default"/>
    <w:sig w:usb0="00000000" w:usb1="0000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Verdana">
    <w:panose1 w:val="020B0604030504040204"/>
    <w:charset w:val="00"/>
    <w:family w:val="swiss"/>
    <w:pitch w:val="default"/>
    <w:sig w:usb0="A00006FF" w:usb1="4000205B" w:usb2="00000010" w:usb3="00000000" w:csb0="2000019F" w:csb1="00000000"/>
  </w:font>
  <w:font w:name="华文细黑">
    <w:panose1 w:val="02010600040101010101"/>
    <w:charset w:val="86"/>
    <w:family w:val="auto"/>
    <w:pitch w:val="default"/>
    <w:sig w:usb0="00000287" w:usb1="080F0000" w:usb2="00000000" w:usb3="00000000" w:csb0="0004009F" w:csb1="DFD70000"/>
  </w:font>
  <w:font w:name="方正仿宋简体">
    <w:altName w:val="微软雅黑"/>
    <w:panose1 w:val="02000000000000000000"/>
    <w:charset w:val="86"/>
    <w:family w:val="auto"/>
    <w:pitch w:val="default"/>
    <w:sig w:usb0="00000000" w:usb1="00000000" w:usb2="00000012" w:usb3="00000000" w:csb0="00040001" w:csb1="00000000"/>
  </w:font>
  <w:font w:name="仿宋">
    <w:panose1 w:val="02010609060101010101"/>
    <w:charset w:val="86"/>
    <w:family w:val="auto"/>
    <w:pitch w:val="default"/>
    <w:sig w:usb0="800002BF" w:usb1="38CF7CFA" w:usb2="00000016" w:usb3="00000000" w:csb0="00040001" w:csb1="00000000"/>
  </w:font>
  <w:font w:name="方正小标宋简体">
    <w:panose1 w:val="02000000000000000000"/>
    <w:charset w:val="86"/>
    <w:family w:val="script"/>
    <w:pitch w:val="default"/>
    <w:sig w:usb0="00000001" w:usb1="08000000" w:usb2="00000000" w:usb3="00000000" w:csb0="00040000" w:csb1="00000000"/>
  </w:font>
  <w:font w:name="MingLiU">
    <w:altName w:val="PMingLiU-ExtB"/>
    <w:panose1 w:val="02020509000000000000"/>
    <w:charset w:val="88"/>
    <w:family w:val="modern"/>
    <w:pitch w:val="default"/>
    <w:sig w:usb0="00000000" w:usb1="00000000" w:usb2="00000016" w:usb3="00000000" w:csb0="00100001" w:csb1="00000000"/>
  </w:font>
  <w:font w:name="Microsoft Sans Serif">
    <w:panose1 w:val="020B0604020202020204"/>
    <w:charset w:val="00"/>
    <w:family w:val="swiss"/>
    <w:pitch w:val="default"/>
    <w:sig w:usb0="E5002EFF" w:usb1="C000605B" w:usb2="00000029" w:usb3="00000000" w:csb0="200101FF" w:csb1="20280000"/>
  </w:font>
  <w:font w:name="MS Mincho">
    <w:altName w:val="Yu Gothic UI"/>
    <w:panose1 w:val="02020609040205080304"/>
    <w:charset w:val="80"/>
    <w:family w:val="modern"/>
    <w:pitch w:val="default"/>
    <w:sig w:usb0="00000000" w:usb1="00000000" w:usb2="00000012" w:usb3="00000000" w:csb0="0002009F" w:csb1="00000000"/>
  </w:font>
  <w:font w:name="方正仿宋_GBK">
    <w:panose1 w:val="03000509000000000000"/>
    <w:charset w:val="86"/>
    <w:family w:val="script"/>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PMingLiU-ExtB">
    <w:panose1 w:val="02020500000000000000"/>
    <w:charset w:val="88"/>
    <w:family w:val="auto"/>
    <w:pitch w:val="default"/>
    <w:sig w:usb0="8000002F" w:usb1="02000008" w:usb2="00000000" w:usb3="00000000" w:csb0="00100001" w:csb1="00000000"/>
  </w:font>
  <w:font w:name="Yu Gothic UI">
    <w:panose1 w:val="020B0500000000000000"/>
    <w:charset w:val="80"/>
    <w:family w:val="auto"/>
    <w:pitch w:val="default"/>
    <w:sig w:usb0="E00002FF" w:usb1="2AC7FDFF" w:usb2="00000016" w:usb3="00000000" w:csb0="2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framePr w:wrap="around" w:vAnchor="text" w:hAnchor="margin" w:xAlign="center" w:y="1"/>
      <w:rPr>
        <w:rStyle w:val="50"/>
      </w:rPr>
    </w:pPr>
    <w:r>
      <w:fldChar w:fldCharType="begin"/>
    </w:r>
    <w:r>
      <w:rPr>
        <w:rStyle w:val="50"/>
      </w:rPr>
      <w:instrText xml:space="preserve">PAGE  </w:instrText>
    </w:r>
    <w:r>
      <w:fldChar w:fldCharType="separate"/>
    </w:r>
    <w:r>
      <w:rPr>
        <w:rStyle w:val="50"/>
      </w:rPr>
      <w:t>- 3 -</w:t>
    </w:r>
    <w:r>
      <w:fldChar w:fldCharType="end"/>
    </w:r>
  </w:p>
  <w:p>
    <w:pPr>
      <w:pStyle w:val="2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jc w:val="center"/>
    </w:pPr>
    <w:r>
      <w:fldChar w:fldCharType="begin"/>
    </w:r>
    <w:r>
      <w:instrText xml:space="preserve">PAGE   \* MERGEFORMAT</w:instrText>
    </w:r>
    <w:r>
      <w:fldChar w:fldCharType="separate"/>
    </w:r>
    <w:r>
      <w:rPr>
        <w:lang w:val="zh-CN"/>
      </w:rPr>
      <w:t>2</w:t>
    </w:r>
    <w:r>
      <w:fldChar w:fldCharType="end"/>
    </w:r>
  </w:p>
  <w:p>
    <w:pPr>
      <w:pStyle w:val="2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Pr>
  </w:p>
  <w:p>
    <w:pPr>
      <w:pStyle w:val="29"/>
    </w:pPr>
    <w:r>
      <mc:AlternateContent>
        <mc:Choice Requires="wps">
          <w:drawing>
            <wp:anchor distT="0" distB="0" distL="0" distR="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7"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pPr>
                            <w:pStyle w:val="29"/>
                          </w:pPr>
                          <w:r>
                            <w:fldChar w:fldCharType="begin"/>
                          </w:r>
                          <w:r>
                            <w:instrText xml:space="preserve"> PAGE  \* MERGEFORMAT </w:instrText>
                          </w:r>
                          <w:r>
                            <w:fldChar w:fldCharType="separate"/>
                          </w:r>
                          <w:r>
                            <w:t>1</w:t>
                          </w:r>
                          <w:r>
                            <w:fldChar w:fldCharType="end"/>
                          </w:r>
                        </w:p>
                      </w:txbxContent>
                    </wps:txbx>
                    <wps:bodyPr wrap="none" lIns="0" tIns="0" rIns="0" bIns="0">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LpzPrS9AQAAewMAAA4AAABkcnMvZTJvRG9jLnhtbK1TS27bMBDdF8gd&#10;CO5rykbRuoLloICRoEDRBkhzAJoiLQL8gUNb8gXaG3TVTfc9l8/RISU7QbLJoht6hjN+894banU9&#10;WEMOMoL2rqHzWUWJdMK32u0a+vD95u2SEkjctdx4Jxt6lECv11dvVn2o5cJ33rQyEgRxUPehoV1K&#10;oWYMRCcth5kP0mFR+Wh5wjTuWBt5j+jWsEVVvWe9j22IXkgAvN2MRTohxtcAeqW0kBsv9la6NKJG&#10;aXhCSdDpAHRd2ColRfqmFMhETENRaSonDsF4m0+2XvF6F3notJgo8NdQeKbJcu1w6AVqwxMn+6hf&#10;QFktogev0kx4y0YhxRFUMa+eeXPf8SCLFrQawsV0+H+w4uvhLhLdNvRd9fEDJY5b3Pnp18/T77+n&#10;Pz/IIjvUB6ix8T7cxSkDDLPcQUWbf1EIGYqrx4urckhE4OV8uVguKzRcYO2cIA57/HuIkG6ltyQH&#10;DY24tuImP3yBNLaeW/I04/Lp/I02ZqzmG5ZpjsRylIbtMLHd+vaIKntcc0MdvmpKzGeHLuYXcQ7i&#10;OdhOQZ4B4dM+4ZxCIqOOUNMw3EmRMb2fvPSneel6/GbW/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5dblS0AAAAAUBAAAPAAAAAAAAAAEAIAAAACIAAABkcnMvZG93bnJldi54bWxQSwECFAAUAAAA&#10;CACHTuJAunM+tL0BAAB7AwAADgAAAAAAAAABACAAAAAfAQAAZHJzL2Uyb0RvYy54bWxQSwUGAAAA&#10;AAYABgBZAQAATgUAAAAA&#10;">
              <v:fill on="f" focussize="0,0"/>
              <v:stroke on="f"/>
              <v:imagedata o:title=""/>
              <o:lock v:ext="edit" aspectratio="f"/>
              <v:textbox inset="0mm,0mm,0mm,0mm" style="mso-fit-shape-to-text:t;">
                <w:txbxContent>
                  <w:p>
                    <w:pPr>
                      <w:pStyle w:val="29"/>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jc w:val="center"/>
    </w:pPr>
    <w:r>
      <w:t xml:space="preserve">- </w:t>
    </w:r>
    <w:r>
      <w:fldChar w:fldCharType="begin"/>
    </w:r>
    <w:r>
      <w:instrText xml:space="preserve"> PAGE </w:instrText>
    </w:r>
    <w:r>
      <w:fldChar w:fldCharType="separate"/>
    </w:r>
    <w:r>
      <w:t>243</w:t>
    </w:r>
    <w:r>
      <w:fldChar w:fldCharType="end"/>
    </w: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2">
    <w:p>
      <w:r>
        <w:separator/>
      </w:r>
    </w:p>
  </w:footnote>
  <w:footnote w:type="continuationSeparator" w:id="3">
    <w:p>
      <w:r>
        <w:continuationSeparator/>
      </w:r>
    </w:p>
  </w:footnote>
  <w:footnote w:id="0">
    <w:p>
      <w:pPr>
        <w:pStyle w:val="34"/>
        <w:ind w:firstLine="360" w:firstLineChars="200"/>
        <w:rPr>
          <w:rFonts w:ascii="Times New Roman" w:hAnsi="Times New Roman" w:cs="Times New Roman"/>
          <w:lang w:eastAsia="zh-CN"/>
        </w:rPr>
      </w:pPr>
      <w:r>
        <w:rPr>
          <w:rStyle w:val="55"/>
        </w:rPr>
        <w:footnoteRef/>
      </w:r>
      <w:r>
        <w:rPr>
          <w:rFonts w:ascii="Times New Roman" w:hAnsi="Times New Roman" w:cs="Times New Roman"/>
          <w:lang w:eastAsia="zh-CN"/>
        </w:rPr>
        <w:t>“</w:t>
      </w:r>
      <w:r>
        <w:rPr>
          <w:rFonts w:ascii="Times New Roman" w:cs="Times New Roman"/>
          <w:lang w:eastAsia="zh-CN"/>
        </w:rPr>
        <w:t>总价</w:t>
      </w:r>
      <w:r>
        <w:rPr>
          <w:rFonts w:ascii="Times New Roman" w:hAnsi="Times New Roman" w:cs="Times New Roman"/>
          <w:lang w:eastAsia="zh-CN"/>
        </w:rPr>
        <w:t>”</w:t>
      </w:r>
      <w:r>
        <w:rPr>
          <w:rFonts w:ascii="Times New Roman" w:cs="Times New Roman"/>
          <w:lang w:eastAsia="zh-CN"/>
        </w:rPr>
        <w:t>是指</w:t>
      </w:r>
      <w:r>
        <w:rPr>
          <w:rFonts w:ascii="Times New Roman" w:hAnsi="Times New Roman" w:cs="Times New Roman"/>
          <w:lang w:eastAsia="zh-CN"/>
        </w:rPr>
        <w:t>在工程量清单中以“项”或“总额”为计量单位、以总价计价的子目，一般用于不能按照约定的工程量计算规则确定数量的子目。总价子目一般按照分期、完成合同价的百分比或完成进度计划的形象进度节点等方式予以分解支付。总价子目的计量方法由发包人在专用合同条款12.3.1中明</w:t>
      </w:r>
      <w:r>
        <w:rPr>
          <w:rFonts w:ascii="Times New Roman" w:cs="Times New Roman"/>
          <w:lang w:eastAsia="zh-CN"/>
        </w:rPr>
        <w:t>确。</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0"/>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0589B5"/>
    <w:multiLevelType w:val="singleLevel"/>
    <w:tmpl w:val="8E0589B5"/>
    <w:lvl w:ilvl="0" w:tentative="0">
      <w:start w:val="1"/>
      <w:numFmt w:val="decimal"/>
      <w:suff w:val="nothing"/>
      <w:lvlText w:val="（%1）"/>
      <w:lvlJc w:val="left"/>
    </w:lvl>
  </w:abstractNum>
  <w:abstractNum w:abstractNumId="1">
    <w:nsid w:val="C6F8E880"/>
    <w:multiLevelType w:val="singleLevel"/>
    <w:tmpl w:val="C6F8E880"/>
    <w:lvl w:ilvl="0" w:tentative="0">
      <w:start w:val="1"/>
      <w:numFmt w:val="decimal"/>
      <w:suff w:val="nothing"/>
      <w:lvlText w:val="%1、"/>
      <w:lvlJc w:val="left"/>
    </w:lvl>
  </w:abstractNum>
  <w:abstractNum w:abstractNumId="2">
    <w:nsid w:val="F3936595"/>
    <w:multiLevelType w:val="singleLevel"/>
    <w:tmpl w:val="F3936595"/>
    <w:lvl w:ilvl="0" w:tentative="0">
      <w:start w:val="1"/>
      <w:numFmt w:val="decimalEnclosedCircleChinese"/>
      <w:suff w:val="nothing"/>
      <w:lvlText w:val="%1　"/>
      <w:lvlJc w:val="left"/>
      <w:pPr>
        <w:ind w:left="0" w:firstLine="400"/>
      </w:pPr>
      <w:rPr>
        <w:rFonts w:hint="eastAsia"/>
      </w:rPr>
    </w:lvl>
  </w:abstractNum>
  <w:abstractNum w:abstractNumId="3">
    <w:nsid w:val="00000000"/>
    <w:multiLevelType w:val="singleLevel"/>
    <w:tmpl w:val="00000000"/>
    <w:lvl w:ilvl="0" w:tentative="0">
      <w:start w:val="1"/>
      <w:numFmt w:val="decimal"/>
      <w:suff w:val="nothing"/>
      <w:lvlText w:val="（%1）"/>
      <w:lvlJc w:val="left"/>
    </w:lvl>
  </w:abstractNum>
  <w:abstractNum w:abstractNumId="4">
    <w:nsid w:val="00000006"/>
    <w:multiLevelType w:val="singleLevel"/>
    <w:tmpl w:val="00000006"/>
    <w:lvl w:ilvl="0" w:tentative="0">
      <w:start w:val="1"/>
      <w:numFmt w:val="decimal"/>
      <w:suff w:val="nothing"/>
      <w:lvlText w:val="（%1）"/>
      <w:lvlJc w:val="left"/>
    </w:lvl>
  </w:abstractNum>
  <w:abstractNum w:abstractNumId="5">
    <w:nsid w:val="5F471D00"/>
    <w:multiLevelType w:val="singleLevel"/>
    <w:tmpl w:val="5F471D00"/>
    <w:lvl w:ilvl="0" w:tentative="0">
      <w:start w:val="3"/>
      <w:numFmt w:val="decimal"/>
      <w:suff w:val="nothing"/>
      <w:lvlText w:val="%1、"/>
      <w:lvlJc w:val="left"/>
    </w:lvl>
  </w:abstractNum>
  <w:abstractNum w:abstractNumId="6">
    <w:nsid w:val="61027DAC"/>
    <w:multiLevelType w:val="singleLevel"/>
    <w:tmpl w:val="61027DAC"/>
    <w:lvl w:ilvl="0" w:tentative="0">
      <w:start w:val="1"/>
      <w:numFmt w:val="chineseCounting"/>
      <w:suff w:val="nothing"/>
      <w:lvlText w:val="%1、"/>
      <w:lvlJc w:val="left"/>
    </w:lvl>
  </w:abstractNum>
  <w:abstractNum w:abstractNumId="7">
    <w:nsid w:val="63A61DAB"/>
    <w:multiLevelType w:val="multilevel"/>
    <w:tmpl w:val="63A61DAB"/>
    <w:lvl w:ilvl="0" w:tentative="0">
      <w:start w:val="3"/>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3"/>
  </w:num>
  <w:num w:numId="2">
    <w:abstractNumId w:val="4"/>
  </w:num>
  <w:num w:numId="3">
    <w:abstractNumId w:val="0"/>
  </w:num>
  <w:num w:numId="4">
    <w:abstractNumId w:val="2"/>
  </w:num>
  <w:num w:numId="5">
    <w:abstractNumId w:val="1"/>
  </w:num>
  <w:num w:numId="6">
    <w:abstractNumId w:val="6"/>
  </w:num>
  <w:num w:numId="7">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mirrorMargins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footnotePr>
    <w:footnote w:id="2"/>
    <w:footnote w:id="3"/>
  </w:foot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zIwMTM3OGU2MThkNmE3NzBlNjg1YTA2Y2I2ZWFjYTkifQ=="/>
  </w:docVars>
  <w:rsids>
    <w:rsidRoot w:val="00000000"/>
    <w:rsid w:val="0122438A"/>
    <w:rsid w:val="01521222"/>
    <w:rsid w:val="01750EDE"/>
    <w:rsid w:val="01D67C7A"/>
    <w:rsid w:val="02497534"/>
    <w:rsid w:val="026E6E24"/>
    <w:rsid w:val="02CB3070"/>
    <w:rsid w:val="02D212D8"/>
    <w:rsid w:val="03712D21"/>
    <w:rsid w:val="03D625F8"/>
    <w:rsid w:val="043C1EA8"/>
    <w:rsid w:val="04ED53AE"/>
    <w:rsid w:val="04FA6940"/>
    <w:rsid w:val="057364D8"/>
    <w:rsid w:val="07146850"/>
    <w:rsid w:val="0747316B"/>
    <w:rsid w:val="099B232B"/>
    <w:rsid w:val="0A57077D"/>
    <w:rsid w:val="0A656ED5"/>
    <w:rsid w:val="0AB63D73"/>
    <w:rsid w:val="0AF85654"/>
    <w:rsid w:val="0B325009"/>
    <w:rsid w:val="0B374AB7"/>
    <w:rsid w:val="0B5C3E34"/>
    <w:rsid w:val="0B8A12CF"/>
    <w:rsid w:val="0BC53FB4"/>
    <w:rsid w:val="0CB15A24"/>
    <w:rsid w:val="0D703BC7"/>
    <w:rsid w:val="0DCA2A4D"/>
    <w:rsid w:val="0E1C0F1B"/>
    <w:rsid w:val="0F242EBB"/>
    <w:rsid w:val="0F3118B1"/>
    <w:rsid w:val="0F87396C"/>
    <w:rsid w:val="0F920D0A"/>
    <w:rsid w:val="0FBD1CE9"/>
    <w:rsid w:val="0FED2443"/>
    <w:rsid w:val="102C328E"/>
    <w:rsid w:val="109E6278"/>
    <w:rsid w:val="10A51DDA"/>
    <w:rsid w:val="11CE710E"/>
    <w:rsid w:val="11EA7550"/>
    <w:rsid w:val="125D62BD"/>
    <w:rsid w:val="12771554"/>
    <w:rsid w:val="131D1C9D"/>
    <w:rsid w:val="1327572B"/>
    <w:rsid w:val="132A4818"/>
    <w:rsid w:val="136F66CF"/>
    <w:rsid w:val="139C483D"/>
    <w:rsid w:val="13A445CA"/>
    <w:rsid w:val="13AC09A5"/>
    <w:rsid w:val="13CA799C"/>
    <w:rsid w:val="14076907"/>
    <w:rsid w:val="14180B15"/>
    <w:rsid w:val="144C0A7C"/>
    <w:rsid w:val="148F692D"/>
    <w:rsid w:val="15242067"/>
    <w:rsid w:val="155F0AA1"/>
    <w:rsid w:val="15CE592F"/>
    <w:rsid w:val="161F262E"/>
    <w:rsid w:val="17233A58"/>
    <w:rsid w:val="17FC2BF4"/>
    <w:rsid w:val="18CE5F1F"/>
    <w:rsid w:val="195F7294"/>
    <w:rsid w:val="1A72422F"/>
    <w:rsid w:val="1AA9696A"/>
    <w:rsid w:val="1ACF633C"/>
    <w:rsid w:val="1AF56B46"/>
    <w:rsid w:val="1D9E2B66"/>
    <w:rsid w:val="1DFA1A18"/>
    <w:rsid w:val="1E2F7628"/>
    <w:rsid w:val="1EA61FB7"/>
    <w:rsid w:val="202820DF"/>
    <w:rsid w:val="2063580D"/>
    <w:rsid w:val="210618F0"/>
    <w:rsid w:val="21270CC2"/>
    <w:rsid w:val="221D1AD0"/>
    <w:rsid w:val="23133182"/>
    <w:rsid w:val="23263CE5"/>
    <w:rsid w:val="23FB7AB3"/>
    <w:rsid w:val="24266EC9"/>
    <w:rsid w:val="24686E21"/>
    <w:rsid w:val="24BD373E"/>
    <w:rsid w:val="252774F7"/>
    <w:rsid w:val="26633E71"/>
    <w:rsid w:val="26D36140"/>
    <w:rsid w:val="26E545F6"/>
    <w:rsid w:val="27070CA1"/>
    <w:rsid w:val="27473793"/>
    <w:rsid w:val="274D3275"/>
    <w:rsid w:val="277306A1"/>
    <w:rsid w:val="2826784C"/>
    <w:rsid w:val="285B2563"/>
    <w:rsid w:val="28AF528E"/>
    <w:rsid w:val="291F79D5"/>
    <w:rsid w:val="2A1A0CEB"/>
    <w:rsid w:val="2A30091C"/>
    <w:rsid w:val="2A885299"/>
    <w:rsid w:val="2B560448"/>
    <w:rsid w:val="2B5B770D"/>
    <w:rsid w:val="2C35479F"/>
    <w:rsid w:val="2D7623CA"/>
    <w:rsid w:val="2D850B71"/>
    <w:rsid w:val="2DBE22D5"/>
    <w:rsid w:val="2E6266D9"/>
    <w:rsid w:val="2EDB4780"/>
    <w:rsid w:val="30BF31A0"/>
    <w:rsid w:val="31046251"/>
    <w:rsid w:val="315076E8"/>
    <w:rsid w:val="316600C5"/>
    <w:rsid w:val="328038B9"/>
    <w:rsid w:val="3300448E"/>
    <w:rsid w:val="33687493"/>
    <w:rsid w:val="33936F97"/>
    <w:rsid w:val="33AB0073"/>
    <w:rsid w:val="3431735D"/>
    <w:rsid w:val="35551771"/>
    <w:rsid w:val="357C3C3D"/>
    <w:rsid w:val="35D334EE"/>
    <w:rsid w:val="35DE0658"/>
    <w:rsid w:val="374A4436"/>
    <w:rsid w:val="375A306E"/>
    <w:rsid w:val="390C2146"/>
    <w:rsid w:val="395539E3"/>
    <w:rsid w:val="39644270"/>
    <w:rsid w:val="3A227A5C"/>
    <w:rsid w:val="3AD9074E"/>
    <w:rsid w:val="3B62768D"/>
    <w:rsid w:val="3B9F3746"/>
    <w:rsid w:val="3C2974B3"/>
    <w:rsid w:val="3C315A0D"/>
    <w:rsid w:val="3C5D4DF1"/>
    <w:rsid w:val="3D0221DE"/>
    <w:rsid w:val="3D0777F5"/>
    <w:rsid w:val="3DB7349B"/>
    <w:rsid w:val="3E485474"/>
    <w:rsid w:val="3FF07B9B"/>
    <w:rsid w:val="402422B3"/>
    <w:rsid w:val="41124C93"/>
    <w:rsid w:val="41B41C34"/>
    <w:rsid w:val="421D53C4"/>
    <w:rsid w:val="42552DB0"/>
    <w:rsid w:val="42B31885"/>
    <w:rsid w:val="4303280C"/>
    <w:rsid w:val="430B7913"/>
    <w:rsid w:val="43160791"/>
    <w:rsid w:val="43BE2B8A"/>
    <w:rsid w:val="44F56185"/>
    <w:rsid w:val="456D100E"/>
    <w:rsid w:val="4698770F"/>
    <w:rsid w:val="46C07277"/>
    <w:rsid w:val="47845EE5"/>
    <w:rsid w:val="49555444"/>
    <w:rsid w:val="4A1B043B"/>
    <w:rsid w:val="4AB8266F"/>
    <w:rsid w:val="4B0B0D08"/>
    <w:rsid w:val="4BF65666"/>
    <w:rsid w:val="4C4B62B7"/>
    <w:rsid w:val="4CD57094"/>
    <w:rsid w:val="4D57657B"/>
    <w:rsid w:val="4EC72AE0"/>
    <w:rsid w:val="4ECD371E"/>
    <w:rsid w:val="4F79447E"/>
    <w:rsid w:val="5016467B"/>
    <w:rsid w:val="505F4DFA"/>
    <w:rsid w:val="50D852D8"/>
    <w:rsid w:val="50FA3BFE"/>
    <w:rsid w:val="51D378EC"/>
    <w:rsid w:val="52A458C0"/>
    <w:rsid w:val="52F36AAE"/>
    <w:rsid w:val="53394028"/>
    <w:rsid w:val="5342039C"/>
    <w:rsid w:val="539B45A0"/>
    <w:rsid w:val="53B03160"/>
    <w:rsid w:val="546832F7"/>
    <w:rsid w:val="54990346"/>
    <w:rsid w:val="54FD0D00"/>
    <w:rsid w:val="553052C0"/>
    <w:rsid w:val="5563713A"/>
    <w:rsid w:val="558E5B44"/>
    <w:rsid w:val="566209E7"/>
    <w:rsid w:val="56CC3E96"/>
    <w:rsid w:val="56FC3676"/>
    <w:rsid w:val="570046B2"/>
    <w:rsid w:val="57690DA7"/>
    <w:rsid w:val="57881CA5"/>
    <w:rsid w:val="59952F94"/>
    <w:rsid w:val="59CA3C2C"/>
    <w:rsid w:val="59D80B4C"/>
    <w:rsid w:val="5A6B2E2A"/>
    <w:rsid w:val="5AC03E2B"/>
    <w:rsid w:val="5B7F45A2"/>
    <w:rsid w:val="5C537F09"/>
    <w:rsid w:val="5CA41A9B"/>
    <w:rsid w:val="5CF16C30"/>
    <w:rsid w:val="5D0B07E3"/>
    <w:rsid w:val="5D135576"/>
    <w:rsid w:val="5E966CFA"/>
    <w:rsid w:val="5F370970"/>
    <w:rsid w:val="60897311"/>
    <w:rsid w:val="60E4643C"/>
    <w:rsid w:val="60ED4878"/>
    <w:rsid w:val="618D4BBE"/>
    <w:rsid w:val="619E56DD"/>
    <w:rsid w:val="620E1D73"/>
    <w:rsid w:val="62B80AC5"/>
    <w:rsid w:val="63091321"/>
    <w:rsid w:val="64A82A4B"/>
    <w:rsid w:val="64B64144"/>
    <w:rsid w:val="650370F5"/>
    <w:rsid w:val="6534707B"/>
    <w:rsid w:val="654B3E73"/>
    <w:rsid w:val="671764AB"/>
    <w:rsid w:val="67695C49"/>
    <w:rsid w:val="67A55390"/>
    <w:rsid w:val="67E07263"/>
    <w:rsid w:val="68233E92"/>
    <w:rsid w:val="69AB1384"/>
    <w:rsid w:val="6A0B3CDC"/>
    <w:rsid w:val="6A210560"/>
    <w:rsid w:val="6B1E1463"/>
    <w:rsid w:val="6B4355EC"/>
    <w:rsid w:val="6BD1257B"/>
    <w:rsid w:val="6D1662E5"/>
    <w:rsid w:val="6D6C1709"/>
    <w:rsid w:val="6DD469CF"/>
    <w:rsid w:val="6DE94229"/>
    <w:rsid w:val="6E237A42"/>
    <w:rsid w:val="6E280154"/>
    <w:rsid w:val="6E6500EC"/>
    <w:rsid w:val="6ECC5D48"/>
    <w:rsid w:val="6EDB2F69"/>
    <w:rsid w:val="6F00293A"/>
    <w:rsid w:val="6F0D49D1"/>
    <w:rsid w:val="6F8C2EB4"/>
    <w:rsid w:val="705C2D71"/>
    <w:rsid w:val="718E07DD"/>
    <w:rsid w:val="71AF7CE4"/>
    <w:rsid w:val="73373C88"/>
    <w:rsid w:val="73442A76"/>
    <w:rsid w:val="73EA2AA9"/>
    <w:rsid w:val="741B55F1"/>
    <w:rsid w:val="757A4300"/>
    <w:rsid w:val="75B50E95"/>
    <w:rsid w:val="760065B4"/>
    <w:rsid w:val="760A6969"/>
    <w:rsid w:val="76D35A76"/>
    <w:rsid w:val="76E86402"/>
    <w:rsid w:val="7766069B"/>
    <w:rsid w:val="78C02044"/>
    <w:rsid w:val="79A216AA"/>
    <w:rsid w:val="7A4160FC"/>
    <w:rsid w:val="7A931D3D"/>
    <w:rsid w:val="7AC53928"/>
    <w:rsid w:val="7AFE0EDA"/>
    <w:rsid w:val="7C8357EB"/>
    <w:rsid w:val="7CC12815"/>
    <w:rsid w:val="7D2B742D"/>
    <w:rsid w:val="7D5D59CF"/>
    <w:rsid w:val="7DB06B27"/>
    <w:rsid w:val="7F4A621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nhideWhenUsed="0" w:uiPriority="0" w:semiHidden="0" w:name="index 2"/>
    <w:lsdException w:unhideWhenUsed="0" w:uiPriority="0" w:semiHidden="0" w:name="index 3"/>
    <w:lsdException w:qFormat="1"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nhideWhenUsed="0" w:uiPriority="99"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qFormat="1"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99" w:semiHidden="0" w:name="Normal Table"/>
    <w:lsdException w:qFormat="1"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294"/>
    <w:qFormat/>
    <w:uiPriority w:val="0"/>
    <w:pPr>
      <w:keepNext/>
      <w:keepLines/>
      <w:spacing w:before="340" w:after="330" w:line="578" w:lineRule="auto"/>
      <w:outlineLvl w:val="0"/>
    </w:pPr>
    <w:rPr>
      <w:b/>
      <w:bCs/>
      <w:kern w:val="44"/>
      <w:sz w:val="44"/>
      <w:szCs w:val="44"/>
    </w:rPr>
  </w:style>
  <w:style w:type="paragraph" w:styleId="4">
    <w:name w:val="heading 2"/>
    <w:basedOn w:val="1"/>
    <w:next w:val="1"/>
    <w:link w:val="194"/>
    <w:qFormat/>
    <w:uiPriority w:val="0"/>
    <w:pPr>
      <w:keepNext/>
      <w:keepLines/>
      <w:spacing w:before="260" w:after="260" w:line="416" w:lineRule="auto"/>
      <w:outlineLvl w:val="1"/>
    </w:pPr>
    <w:rPr>
      <w:rFonts w:ascii="Cambria" w:hAnsi="Cambria"/>
      <w:b/>
      <w:bCs/>
      <w:sz w:val="32"/>
      <w:szCs w:val="32"/>
    </w:rPr>
  </w:style>
  <w:style w:type="paragraph" w:styleId="5">
    <w:name w:val="heading 3"/>
    <w:basedOn w:val="1"/>
    <w:next w:val="1"/>
    <w:link w:val="193"/>
    <w:qFormat/>
    <w:uiPriority w:val="0"/>
    <w:pPr>
      <w:keepNext/>
      <w:keepLines/>
      <w:spacing w:before="260" w:after="260" w:line="416" w:lineRule="auto"/>
      <w:outlineLvl w:val="2"/>
    </w:pPr>
    <w:rPr>
      <w:b/>
      <w:bCs/>
      <w:sz w:val="32"/>
      <w:szCs w:val="32"/>
    </w:rPr>
  </w:style>
  <w:style w:type="paragraph" w:styleId="6">
    <w:name w:val="heading 4"/>
    <w:basedOn w:val="1"/>
    <w:next w:val="1"/>
    <w:link w:val="179"/>
    <w:qFormat/>
    <w:uiPriority w:val="0"/>
    <w:pPr>
      <w:widowControl/>
      <w:spacing w:before="100" w:beforeAutospacing="1" w:after="100" w:afterAutospacing="1"/>
      <w:jc w:val="left"/>
      <w:outlineLvl w:val="3"/>
    </w:pPr>
    <w:rPr>
      <w:rFonts w:ascii="宋体" w:hAnsi="宋体" w:cs="宋体"/>
      <w:b/>
      <w:bCs/>
      <w:kern w:val="0"/>
      <w:sz w:val="24"/>
    </w:rPr>
  </w:style>
  <w:style w:type="paragraph" w:styleId="7">
    <w:name w:val="heading 5"/>
    <w:basedOn w:val="1"/>
    <w:next w:val="1"/>
    <w:link w:val="292"/>
    <w:qFormat/>
    <w:uiPriority w:val="0"/>
    <w:pPr>
      <w:widowControl/>
      <w:spacing w:before="100" w:beforeAutospacing="1" w:after="100" w:afterAutospacing="1"/>
      <w:jc w:val="left"/>
      <w:outlineLvl w:val="4"/>
    </w:pPr>
    <w:rPr>
      <w:rFonts w:ascii="宋体" w:hAnsi="宋体" w:cs="宋体"/>
      <w:b/>
      <w:bCs/>
      <w:kern w:val="0"/>
      <w:sz w:val="20"/>
      <w:szCs w:val="20"/>
    </w:rPr>
  </w:style>
  <w:style w:type="paragraph" w:styleId="8">
    <w:name w:val="heading 6"/>
    <w:basedOn w:val="9"/>
    <w:next w:val="1"/>
    <w:link w:val="195"/>
    <w:qFormat/>
    <w:uiPriority w:val="0"/>
    <w:pPr>
      <w:keepNext/>
      <w:keepLines/>
      <w:ind w:firstLine="200" w:firstLineChars="200"/>
      <w:outlineLvl w:val="5"/>
    </w:pPr>
    <w:rPr>
      <w:rFonts w:hAnsi="Arial"/>
    </w:rPr>
  </w:style>
  <w:style w:type="paragraph" w:styleId="10">
    <w:name w:val="heading 7"/>
    <w:basedOn w:val="1"/>
    <w:next w:val="1"/>
    <w:link w:val="272"/>
    <w:qFormat/>
    <w:uiPriority w:val="0"/>
    <w:pPr>
      <w:keepNext/>
      <w:keepLines/>
      <w:adjustRightInd w:val="0"/>
      <w:spacing w:line="480" w:lineRule="atLeast"/>
      <w:ind w:left="1425" w:leftChars="175" w:hanging="900" w:hangingChars="300"/>
      <w:textAlignment w:val="baseline"/>
      <w:outlineLvl w:val="6"/>
    </w:pPr>
    <w:rPr>
      <w:rFonts w:eastAsia="仿宋_GB2312"/>
      <w:kern w:val="0"/>
      <w:sz w:val="30"/>
      <w:szCs w:val="20"/>
    </w:rPr>
  </w:style>
  <w:style w:type="paragraph" w:styleId="11">
    <w:name w:val="heading 8"/>
    <w:basedOn w:val="1"/>
    <w:next w:val="1"/>
    <w:link w:val="267"/>
    <w:qFormat/>
    <w:uiPriority w:val="0"/>
    <w:pPr>
      <w:adjustRightInd w:val="0"/>
      <w:spacing w:line="480" w:lineRule="atLeast"/>
      <w:ind w:left="2232" w:leftChars="450" w:hanging="882" w:hangingChars="294"/>
      <w:textAlignment w:val="baseline"/>
      <w:outlineLvl w:val="7"/>
    </w:pPr>
    <w:rPr>
      <w:rFonts w:hAnsi="Arial" w:eastAsia="仿宋_GB2312"/>
      <w:kern w:val="0"/>
      <w:sz w:val="30"/>
      <w:szCs w:val="20"/>
    </w:rPr>
  </w:style>
  <w:style w:type="paragraph" w:styleId="12">
    <w:name w:val="heading 9"/>
    <w:basedOn w:val="1"/>
    <w:next w:val="1"/>
    <w:link w:val="198"/>
    <w:qFormat/>
    <w:uiPriority w:val="0"/>
    <w:pPr>
      <w:keepNext/>
      <w:keepLines/>
      <w:adjustRightInd w:val="0"/>
      <w:spacing w:line="480" w:lineRule="atLeast"/>
      <w:ind w:left="2979" w:leftChars="715" w:hanging="834" w:hangingChars="278"/>
      <w:textAlignment w:val="baseline"/>
      <w:outlineLvl w:val="8"/>
    </w:pPr>
    <w:rPr>
      <w:rFonts w:eastAsia="仿宋_GB2312"/>
      <w:kern w:val="0"/>
      <w:sz w:val="30"/>
      <w:szCs w:val="20"/>
    </w:rPr>
  </w:style>
  <w:style w:type="character" w:default="1" w:styleId="47">
    <w:name w:val="Default Paragraph Font"/>
    <w:qFormat/>
    <w:uiPriority w:val="1"/>
  </w:style>
  <w:style w:type="table" w:default="1" w:styleId="45">
    <w:name w:val="Normal Table"/>
    <w:qFormat/>
    <w:uiPriority w:val="99"/>
    <w:tblPr>
      <w:tblCellMar>
        <w:top w:w="0" w:type="dxa"/>
        <w:left w:w="108" w:type="dxa"/>
        <w:bottom w:w="0" w:type="dxa"/>
        <w:right w:w="108" w:type="dxa"/>
      </w:tblCellMar>
    </w:tblPr>
  </w:style>
  <w:style w:type="paragraph" w:styleId="2">
    <w:name w:val="Body Text"/>
    <w:basedOn w:val="1"/>
    <w:next w:val="1"/>
    <w:link w:val="214"/>
    <w:qFormat/>
    <w:uiPriority w:val="0"/>
    <w:pPr>
      <w:spacing w:after="120"/>
    </w:pPr>
  </w:style>
  <w:style w:type="paragraph" w:styleId="9">
    <w:name w:val="Normal Indent"/>
    <w:basedOn w:val="1"/>
    <w:qFormat/>
    <w:uiPriority w:val="0"/>
    <w:pPr>
      <w:adjustRightInd w:val="0"/>
      <w:spacing w:line="480" w:lineRule="atLeast"/>
      <w:ind w:firstLine="600"/>
      <w:textAlignment w:val="baseline"/>
    </w:pPr>
    <w:rPr>
      <w:rFonts w:eastAsia="仿宋_GB2312"/>
      <w:kern w:val="0"/>
      <w:sz w:val="30"/>
      <w:szCs w:val="20"/>
    </w:rPr>
  </w:style>
  <w:style w:type="paragraph" w:styleId="13">
    <w:name w:val="toc 7"/>
    <w:basedOn w:val="1"/>
    <w:next w:val="1"/>
    <w:qFormat/>
    <w:uiPriority w:val="39"/>
    <w:pPr>
      <w:ind w:left="1260"/>
      <w:jc w:val="left"/>
    </w:pPr>
    <w:rPr>
      <w:sz w:val="18"/>
      <w:szCs w:val="18"/>
    </w:rPr>
  </w:style>
  <w:style w:type="paragraph" w:styleId="14">
    <w:name w:val="caption"/>
    <w:basedOn w:val="1"/>
    <w:next w:val="1"/>
    <w:qFormat/>
    <w:uiPriority w:val="0"/>
    <w:rPr>
      <w:rFonts w:ascii="Cambria" w:hAnsi="Cambria" w:eastAsia="黑体"/>
      <w:sz w:val="20"/>
      <w:szCs w:val="20"/>
    </w:rPr>
  </w:style>
  <w:style w:type="paragraph" w:styleId="15">
    <w:name w:val="Document Map"/>
    <w:basedOn w:val="1"/>
    <w:link w:val="204"/>
    <w:qFormat/>
    <w:uiPriority w:val="0"/>
    <w:pPr>
      <w:shd w:val="clear" w:color="auto" w:fill="000080"/>
    </w:pPr>
  </w:style>
  <w:style w:type="paragraph" w:styleId="16">
    <w:name w:val="annotation text"/>
    <w:basedOn w:val="1"/>
    <w:link w:val="289"/>
    <w:qFormat/>
    <w:uiPriority w:val="99"/>
    <w:pPr>
      <w:jc w:val="left"/>
    </w:pPr>
  </w:style>
  <w:style w:type="paragraph" w:styleId="17">
    <w:name w:val="Body Text 3"/>
    <w:basedOn w:val="1"/>
    <w:link w:val="308"/>
    <w:qFormat/>
    <w:uiPriority w:val="0"/>
    <w:pPr>
      <w:spacing w:after="120"/>
    </w:pPr>
    <w:rPr>
      <w:sz w:val="16"/>
      <w:szCs w:val="16"/>
    </w:rPr>
  </w:style>
  <w:style w:type="paragraph" w:styleId="18">
    <w:name w:val="Body Text Indent"/>
    <w:basedOn w:val="1"/>
    <w:link w:val="269"/>
    <w:qFormat/>
    <w:uiPriority w:val="0"/>
    <w:pPr>
      <w:ind w:firstLine="407" w:firstLineChars="200"/>
    </w:pPr>
  </w:style>
  <w:style w:type="paragraph" w:styleId="19">
    <w:name w:val="Block Text"/>
    <w:basedOn w:val="1"/>
    <w:qFormat/>
    <w:uiPriority w:val="0"/>
    <w:pPr>
      <w:autoSpaceDE w:val="0"/>
      <w:autoSpaceDN w:val="0"/>
      <w:adjustRightInd w:val="0"/>
      <w:spacing w:line="1270" w:lineRule="exact"/>
      <w:ind w:left="2160" w:right="-20" w:hanging="2160" w:hangingChars="300"/>
      <w:jc w:val="left"/>
    </w:pPr>
    <w:rPr>
      <w:rFonts w:eastAsia="仿宋_GB2312"/>
      <w:sz w:val="72"/>
    </w:rPr>
  </w:style>
  <w:style w:type="paragraph" w:styleId="20">
    <w:name w:val="index 4"/>
    <w:basedOn w:val="1"/>
    <w:next w:val="1"/>
    <w:qFormat/>
    <w:uiPriority w:val="0"/>
    <w:pPr>
      <w:ind w:left="600" w:leftChars="600"/>
    </w:pPr>
  </w:style>
  <w:style w:type="paragraph" w:styleId="21">
    <w:name w:val="toc 5"/>
    <w:basedOn w:val="1"/>
    <w:next w:val="1"/>
    <w:qFormat/>
    <w:uiPriority w:val="39"/>
    <w:pPr>
      <w:ind w:left="840"/>
      <w:jc w:val="left"/>
    </w:pPr>
    <w:rPr>
      <w:sz w:val="18"/>
      <w:szCs w:val="18"/>
    </w:rPr>
  </w:style>
  <w:style w:type="paragraph" w:styleId="22">
    <w:name w:val="toc 3"/>
    <w:basedOn w:val="5"/>
    <w:next w:val="1"/>
    <w:qFormat/>
    <w:uiPriority w:val="39"/>
    <w:pPr>
      <w:keepNext w:val="0"/>
      <w:keepLines w:val="0"/>
      <w:spacing w:before="0" w:after="0" w:line="240" w:lineRule="auto"/>
      <w:ind w:left="420"/>
      <w:jc w:val="left"/>
      <w:outlineLvl w:val="9"/>
    </w:pPr>
    <w:rPr>
      <w:b w:val="0"/>
      <w:bCs w:val="0"/>
      <w:i/>
      <w:iCs/>
      <w:sz w:val="20"/>
      <w:szCs w:val="20"/>
    </w:rPr>
  </w:style>
  <w:style w:type="paragraph" w:styleId="23">
    <w:name w:val="Plain Text"/>
    <w:basedOn w:val="1"/>
    <w:link w:val="304"/>
    <w:qFormat/>
    <w:uiPriority w:val="0"/>
    <w:rPr>
      <w:rFonts w:ascii="宋体" w:hAnsi="Courier New" w:cs="Courier New"/>
      <w:szCs w:val="21"/>
    </w:rPr>
  </w:style>
  <w:style w:type="paragraph" w:styleId="24">
    <w:name w:val="toc 8"/>
    <w:basedOn w:val="1"/>
    <w:next w:val="1"/>
    <w:qFormat/>
    <w:uiPriority w:val="39"/>
    <w:pPr>
      <w:ind w:left="1470"/>
      <w:jc w:val="left"/>
    </w:pPr>
    <w:rPr>
      <w:sz w:val="18"/>
      <w:szCs w:val="18"/>
    </w:rPr>
  </w:style>
  <w:style w:type="paragraph" w:styleId="25">
    <w:name w:val="Date"/>
    <w:basedOn w:val="1"/>
    <w:next w:val="1"/>
    <w:link w:val="157"/>
    <w:qFormat/>
    <w:uiPriority w:val="0"/>
    <w:pPr>
      <w:ind w:left="100" w:leftChars="2500"/>
    </w:pPr>
  </w:style>
  <w:style w:type="paragraph" w:styleId="26">
    <w:name w:val="Body Text Indent 2"/>
    <w:basedOn w:val="1"/>
    <w:link w:val="271"/>
    <w:qFormat/>
    <w:uiPriority w:val="0"/>
    <w:pPr>
      <w:widowControl/>
      <w:spacing w:line="480" w:lineRule="auto"/>
      <w:ind w:firstLine="560"/>
      <w:jc w:val="left"/>
    </w:pPr>
    <w:rPr>
      <w:kern w:val="0"/>
      <w:sz w:val="28"/>
    </w:rPr>
  </w:style>
  <w:style w:type="paragraph" w:styleId="27">
    <w:name w:val="endnote text"/>
    <w:basedOn w:val="1"/>
    <w:link w:val="181"/>
    <w:qFormat/>
    <w:uiPriority w:val="0"/>
    <w:pPr>
      <w:widowControl/>
      <w:snapToGrid w:val="0"/>
      <w:jc w:val="left"/>
    </w:pPr>
    <w:rPr>
      <w:rFonts w:ascii="Arial" w:hAnsi="Arial" w:cs="Arial"/>
      <w:kern w:val="0"/>
      <w:sz w:val="20"/>
      <w:lang w:eastAsia="en-US"/>
    </w:rPr>
  </w:style>
  <w:style w:type="paragraph" w:styleId="28">
    <w:name w:val="Balloon Text"/>
    <w:basedOn w:val="1"/>
    <w:link w:val="208"/>
    <w:qFormat/>
    <w:uiPriority w:val="0"/>
    <w:rPr>
      <w:sz w:val="18"/>
      <w:szCs w:val="18"/>
    </w:rPr>
  </w:style>
  <w:style w:type="paragraph" w:styleId="29">
    <w:name w:val="footer"/>
    <w:basedOn w:val="1"/>
    <w:link w:val="196"/>
    <w:qFormat/>
    <w:uiPriority w:val="0"/>
    <w:pPr>
      <w:tabs>
        <w:tab w:val="center" w:pos="4153"/>
        <w:tab w:val="right" w:pos="8306"/>
      </w:tabs>
      <w:snapToGrid w:val="0"/>
      <w:jc w:val="left"/>
    </w:pPr>
    <w:rPr>
      <w:sz w:val="18"/>
      <w:szCs w:val="18"/>
    </w:rPr>
  </w:style>
  <w:style w:type="paragraph" w:styleId="30">
    <w:name w:val="header"/>
    <w:basedOn w:val="1"/>
    <w:link w:val="236"/>
    <w:qFormat/>
    <w:uiPriority w:val="0"/>
    <w:pPr>
      <w:pBdr>
        <w:bottom w:val="single" w:color="auto" w:sz="6" w:space="1"/>
      </w:pBdr>
      <w:tabs>
        <w:tab w:val="center" w:pos="4153"/>
        <w:tab w:val="right" w:pos="8306"/>
      </w:tabs>
      <w:snapToGrid w:val="0"/>
      <w:jc w:val="center"/>
    </w:pPr>
    <w:rPr>
      <w:sz w:val="18"/>
      <w:szCs w:val="18"/>
    </w:rPr>
  </w:style>
  <w:style w:type="paragraph" w:styleId="31">
    <w:name w:val="toc 1"/>
    <w:basedOn w:val="1"/>
    <w:next w:val="1"/>
    <w:qFormat/>
    <w:uiPriority w:val="39"/>
    <w:pPr>
      <w:keepNext w:val="0"/>
      <w:keepLines w:val="0"/>
      <w:spacing w:before="120" w:after="120" w:line="240" w:lineRule="auto"/>
      <w:jc w:val="left"/>
      <w:outlineLvl w:val="9"/>
    </w:pPr>
    <w:rPr>
      <w:caps/>
      <w:kern w:val="2"/>
      <w:sz w:val="20"/>
      <w:szCs w:val="20"/>
    </w:rPr>
  </w:style>
  <w:style w:type="paragraph" w:styleId="32">
    <w:name w:val="toc 4"/>
    <w:basedOn w:val="6"/>
    <w:next w:val="1"/>
    <w:qFormat/>
    <w:uiPriority w:val="39"/>
    <w:pPr>
      <w:widowControl w:val="0"/>
      <w:spacing w:before="0" w:beforeAutospacing="0" w:after="0" w:afterAutospacing="0"/>
      <w:ind w:left="630"/>
      <w:outlineLvl w:val="9"/>
    </w:pPr>
    <w:rPr>
      <w:rFonts w:ascii="Times New Roman" w:hAnsi="Times New Roman" w:cs="Times New Roman"/>
      <w:b w:val="0"/>
      <w:bCs w:val="0"/>
      <w:kern w:val="2"/>
      <w:sz w:val="18"/>
      <w:szCs w:val="18"/>
    </w:rPr>
  </w:style>
  <w:style w:type="paragraph" w:styleId="33">
    <w:name w:val="Subtitle"/>
    <w:basedOn w:val="1"/>
    <w:link w:val="301"/>
    <w:qFormat/>
    <w:uiPriority w:val="0"/>
    <w:pPr>
      <w:widowControl/>
      <w:jc w:val="center"/>
    </w:pPr>
    <w:rPr>
      <w:kern w:val="0"/>
      <w:sz w:val="20"/>
      <w:u w:val="single"/>
      <w:lang w:eastAsia="en-US"/>
    </w:rPr>
  </w:style>
  <w:style w:type="paragraph" w:styleId="34">
    <w:name w:val="footnote text"/>
    <w:basedOn w:val="1"/>
    <w:link w:val="216"/>
    <w:qFormat/>
    <w:uiPriority w:val="0"/>
    <w:pPr>
      <w:widowControl/>
      <w:snapToGrid w:val="0"/>
      <w:jc w:val="left"/>
    </w:pPr>
    <w:rPr>
      <w:rFonts w:ascii="Arial" w:hAnsi="Arial" w:cs="Arial"/>
      <w:kern w:val="0"/>
      <w:sz w:val="18"/>
      <w:szCs w:val="18"/>
      <w:lang w:eastAsia="en-US"/>
    </w:rPr>
  </w:style>
  <w:style w:type="paragraph" w:styleId="35">
    <w:name w:val="toc 6"/>
    <w:basedOn w:val="1"/>
    <w:next w:val="1"/>
    <w:qFormat/>
    <w:uiPriority w:val="39"/>
    <w:pPr>
      <w:ind w:left="1050"/>
      <w:jc w:val="left"/>
    </w:pPr>
    <w:rPr>
      <w:sz w:val="18"/>
      <w:szCs w:val="18"/>
    </w:rPr>
  </w:style>
  <w:style w:type="paragraph" w:styleId="36">
    <w:name w:val="Body Text Indent 3"/>
    <w:basedOn w:val="1"/>
    <w:link w:val="268"/>
    <w:qFormat/>
    <w:uiPriority w:val="0"/>
    <w:pPr>
      <w:spacing w:line="360" w:lineRule="auto"/>
      <w:ind w:firstLine="280" w:firstLineChars="100"/>
    </w:pPr>
    <w:rPr>
      <w:rFonts w:ascii="宋体" w:hAnsi="宋体"/>
      <w:sz w:val="28"/>
      <w:szCs w:val="28"/>
    </w:rPr>
  </w:style>
  <w:style w:type="paragraph" w:styleId="37">
    <w:name w:val="toc 2"/>
    <w:basedOn w:val="4"/>
    <w:next w:val="1"/>
    <w:qFormat/>
    <w:uiPriority w:val="39"/>
    <w:pPr>
      <w:keepNext w:val="0"/>
      <w:keepLines w:val="0"/>
      <w:spacing w:before="0" w:after="0" w:line="240" w:lineRule="auto"/>
      <w:ind w:left="210"/>
      <w:jc w:val="left"/>
      <w:outlineLvl w:val="9"/>
    </w:pPr>
    <w:rPr>
      <w:rFonts w:ascii="Times New Roman" w:hAnsi="Times New Roman"/>
      <w:b w:val="0"/>
      <w:bCs w:val="0"/>
      <w:smallCaps/>
      <w:sz w:val="20"/>
      <w:szCs w:val="20"/>
    </w:rPr>
  </w:style>
  <w:style w:type="paragraph" w:styleId="38">
    <w:name w:val="toc 9"/>
    <w:basedOn w:val="1"/>
    <w:next w:val="1"/>
    <w:qFormat/>
    <w:uiPriority w:val="39"/>
    <w:pPr>
      <w:ind w:left="1680"/>
      <w:jc w:val="left"/>
    </w:pPr>
    <w:rPr>
      <w:sz w:val="18"/>
      <w:szCs w:val="18"/>
    </w:rPr>
  </w:style>
  <w:style w:type="paragraph" w:styleId="39">
    <w:name w:val="Body Text 2"/>
    <w:basedOn w:val="1"/>
    <w:link w:val="264"/>
    <w:qFormat/>
    <w:uiPriority w:val="0"/>
    <w:rPr>
      <w:i/>
      <w:iCs/>
      <w:sz w:val="26"/>
    </w:rPr>
  </w:style>
  <w:style w:type="paragraph" w:styleId="40">
    <w:name w:val="HTML Preformatted"/>
    <w:basedOn w:val="1"/>
    <w:link w:val="169"/>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color w:val="000000"/>
      <w:kern w:val="0"/>
      <w:sz w:val="24"/>
    </w:rPr>
  </w:style>
  <w:style w:type="paragraph" w:styleId="41">
    <w:name w:val="Normal (Web)"/>
    <w:basedOn w:val="1"/>
    <w:qFormat/>
    <w:uiPriority w:val="0"/>
    <w:pPr>
      <w:widowControl/>
      <w:spacing w:before="100" w:beforeAutospacing="1" w:after="100" w:afterAutospacing="1"/>
      <w:jc w:val="left"/>
    </w:pPr>
    <w:rPr>
      <w:rFonts w:ascii="宋体" w:hAnsi="宋体" w:cs="宋体"/>
      <w:kern w:val="0"/>
      <w:sz w:val="24"/>
    </w:rPr>
  </w:style>
  <w:style w:type="paragraph" w:styleId="42">
    <w:name w:val="index 1"/>
    <w:basedOn w:val="1"/>
    <w:next w:val="1"/>
    <w:qFormat/>
    <w:uiPriority w:val="0"/>
    <w:pPr>
      <w:spacing w:line="220" w:lineRule="exact"/>
      <w:jc w:val="center"/>
    </w:pPr>
    <w:rPr>
      <w:rFonts w:ascii="仿宋_GB2312" w:eastAsia="仿宋_GB2312"/>
      <w:szCs w:val="21"/>
    </w:rPr>
  </w:style>
  <w:style w:type="paragraph" w:styleId="43">
    <w:name w:val="Title"/>
    <w:basedOn w:val="1"/>
    <w:link w:val="211"/>
    <w:qFormat/>
    <w:uiPriority w:val="0"/>
    <w:pPr>
      <w:widowControl/>
      <w:jc w:val="center"/>
    </w:pPr>
    <w:rPr>
      <w:kern w:val="0"/>
      <w:sz w:val="20"/>
      <w:u w:val="single"/>
      <w:lang w:eastAsia="en-US"/>
    </w:rPr>
  </w:style>
  <w:style w:type="paragraph" w:styleId="44">
    <w:name w:val="annotation subject"/>
    <w:basedOn w:val="16"/>
    <w:next w:val="16"/>
    <w:link w:val="263"/>
    <w:qFormat/>
    <w:uiPriority w:val="0"/>
    <w:rPr>
      <w:b/>
      <w:bCs/>
    </w:rPr>
  </w:style>
  <w:style w:type="table" w:styleId="46">
    <w:name w:val="Table Grid"/>
    <w:basedOn w:val="45"/>
    <w:qFormat/>
    <w:uiPriority w:val="59"/>
    <w:rPr>
      <w:rFonts w:ascii="Calibri" w:hAnsi="Calibri"/>
      <w:kern w:val="2"/>
      <w:sz w:val="21"/>
      <w:szCs w:val="22"/>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8">
    <w:name w:val="Strong"/>
    <w:qFormat/>
    <w:uiPriority w:val="0"/>
    <w:rPr>
      <w:b/>
      <w:bCs/>
    </w:rPr>
  </w:style>
  <w:style w:type="character" w:styleId="49">
    <w:name w:val="endnote reference"/>
    <w:qFormat/>
    <w:uiPriority w:val="0"/>
    <w:rPr>
      <w:vertAlign w:val="superscript"/>
    </w:rPr>
  </w:style>
  <w:style w:type="character" w:styleId="50">
    <w:name w:val="page number"/>
    <w:basedOn w:val="47"/>
    <w:qFormat/>
    <w:uiPriority w:val="0"/>
  </w:style>
  <w:style w:type="character" w:styleId="51">
    <w:name w:val="FollowedHyperlink"/>
    <w:qFormat/>
    <w:uiPriority w:val="0"/>
    <w:rPr>
      <w:color w:val="800080"/>
      <w:u w:val="single"/>
    </w:rPr>
  </w:style>
  <w:style w:type="character" w:styleId="52">
    <w:name w:val="Emphasis"/>
    <w:qFormat/>
    <w:uiPriority w:val="0"/>
    <w:rPr>
      <w:i/>
      <w:iCs/>
    </w:rPr>
  </w:style>
  <w:style w:type="character" w:styleId="53">
    <w:name w:val="Hyperlink"/>
    <w:qFormat/>
    <w:uiPriority w:val="99"/>
    <w:rPr>
      <w:color w:val="0000FF"/>
      <w:u w:val="single"/>
    </w:rPr>
  </w:style>
  <w:style w:type="character" w:styleId="54">
    <w:name w:val="annotation reference"/>
    <w:qFormat/>
    <w:uiPriority w:val="0"/>
    <w:rPr>
      <w:sz w:val="21"/>
      <w:szCs w:val="21"/>
    </w:rPr>
  </w:style>
  <w:style w:type="character" w:styleId="55">
    <w:name w:val="footnote reference"/>
    <w:qFormat/>
    <w:uiPriority w:val="0"/>
    <w:rPr>
      <w:vertAlign w:val="superscript"/>
    </w:rPr>
  </w:style>
  <w:style w:type="paragraph" w:customStyle="1" w:styleId="56">
    <w:name w:val="目录 53"/>
    <w:next w:val="1"/>
    <w:qFormat/>
    <w:uiPriority w:val="99"/>
    <w:pPr>
      <w:wordWrap w:val="0"/>
      <w:ind w:left="1275"/>
      <w:jc w:val="both"/>
    </w:pPr>
    <w:rPr>
      <w:rFonts w:ascii="Calibri" w:hAnsi="Calibri" w:eastAsia="宋体" w:cs="Times New Roman"/>
      <w:sz w:val="21"/>
      <w:lang w:val="en-US" w:eastAsia="zh-CN" w:bidi="ar-SA"/>
    </w:rPr>
  </w:style>
  <w:style w:type="paragraph" w:customStyle="1" w:styleId="57">
    <w:name w:val="rr"/>
    <w:basedOn w:val="1"/>
    <w:qFormat/>
    <w:uiPriority w:val="0"/>
    <w:pPr>
      <w:widowControl/>
      <w:spacing w:before="100" w:beforeAutospacing="1" w:after="100" w:afterAutospacing="1"/>
      <w:jc w:val="left"/>
    </w:pPr>
    <w:rPr>
      <w:rFonts w:hint="eastAsia" w:ascii="宋体" w:hAnsi="宋体"/>
      <w:kern w:val="0"/>
      <w:szCs w:val="21"/>
    </w:rPr>
  </w:style>
  <w:style w:type="paragraph" w:customStyle="1" w:styleId="58">
    <w:name w:val="_Style 101"/>
    <w:basedOn w:val="1"/>
    <w:qFormat/>
    <w:uiPriority w:val="99"/>
    <w:pPr>
      <w:ind w:firstLine="420" w:firstLineChars="200"/>
    </w:pPr>
    <w:rPr>
      <w:sz w:val="28"/>
      <w:szCs w:val="28"/>
    </w:rPr>
  </w:style>
  <w:style w:type="paragraph" w:customStyle="1" w:styleId="59">
    <w:name w:val="表格标题"/>
    <w:basedOn w:val="60"/>
    <w:qFormat/>
    <w:uiPriority w:val="0"/>
  </w:style>
  <w:style w:type="paragraph" w:customStyle="1" w:styleId="60">
    <w:name w:val="表格内容"/>
    <w:basedOn w:val="1"/>
    <w:qFormat/>
    <w:uiPriority w:val="0"/>
    <w:pPr>
      <w:suppressLineNumbers/>
      <w:suppressAutoHyphens/>
    </w:pPr>
  </w:style>
  <w:style w:type="paragraph" w:customStyle="1" w:styleId="61">
    <w:name w:val="l-2"/>
    <w:basedOn w:val="1"/>
    <w:qFormat/>
    <w:uiPriority w:val="0"/>
    <w:pPr>
      <w:widowControl/>
      <w:spacing w:before="100" w:beforeAutospacing="1" w:after="100" w:afterAutospacing="1"/>
      <w:jc w:val="left"/>
    </w:pPr>
    <w:rPr>
      <w:rFonts w:ascii="宋体" w:hAnsi="宋体" w:cs="宋体"/>
      <w:b/>
      <w:bCs/>
      <w:color w:val="000000"/>
      <w:kern w:val="0"/>
      <w:sz w:val="13"/>
      <w:szCs w:val="13"/>
    </w:rPr>
  </w:style>
  <w:style w:type="paragraph" w:customStyle="1" w:styleId="62">
    <w:name w:val="修订1"/>
    <w:qFormat/>
    <w:uiPriority w:val="0"/>
    <w:rPr>
      <w:rFonts w:ascii="Times New Roman" w:hAnsi="Times New Roman" w:eastAsia="宋体" w:cs="Times New Roman"/>
      <w:kern w:val="2"/>
      <w:sz w:val="21"/>
      <w:szCs w:val="24"/>
      <w:lang w:val="en-US" w:eastAsia="zh-CN" w:bidi="ar-SA"/>
    </w:rPr>
  </w:style>
  <w:style w:type="paragraph" w:customStyle="1" w:styleId="63">
    <w:name w:val="1"/>
    <w:basedOn w:val="1"/>
    <w:qFormat/>
    <w:uiPriority w:val="0"/>
    <w:pPr>
      <w:widowControl/>
      <w:spacing w:before="100" w:beforeAutospacing="1" w:after="100" w:afterAutospacing="1"/>
      <w:jc w:val="left"/>
    </w:pPr>
    <w:rPr>
      <w:rFonts w:ascii="ˎ̥" w:hAnsi="ˎ̥" w:cs="宋体"/>
      <w:kern w:val="0"/>
      <w:sz w:val="24"/>
    </w:rPr>
  </w:style>
  <w:style w:type="paragraph" w:customStyle="1" w:styleId="64">
    <w:name w:val="标准样式1"/>
    <w:basedOn w:val="1"/>
    <w:qFormat/>
    <w:uiPriority w:val="0"/>
    <w:pPr>
      <w:spacing w:line="600" w:lineRule="exact"/>
      <w:ind w:firstLine="567"/>
    </w:pPr>
    <w:rPr>
      <w:rFonts w:ascii="Calibri" w:hAnsi="Calibri"/>
      <w:sz w:val="28"/>
    </w:rPr>
  </w:style>
  <w:style w:type="paragraph" w:customStyle="1" w:styleId="65">
    <w:name w:val="列出段落11"/>
    <w:basedOn w:val="1"/>
    <w:qFormat/>
    <w:uiPriority w:val="0"/>
    <w:pPr>
      <w:ind w:firstLine="420" w:firstLineChars="200"/>
    </w:pPr>
    <w:rPr>
      <w:sz w:val="28"/>
      <w:szCs w:val="28"/>
    </w:rPr>
  </w:style>
  <w:style w:type="paragraph" w:customStyle="1" w:styleId="66">
    <w:name w:val="p17"/>
    <w:basedOn w:val="1"/>
    <w:qFormat/>
    <w:uiPriority w:val="0"/>
    <w:pPr>
      <w:widowControl/>
      <w:spacing w:before="120" w:after="120"/>
      <w:jc w:val="left"/>
    </w:pPr>
    <w:rPr>
      <w:rFonts w:ascii="Calibri" w:hAnsi="Calibri" w:cs="宋体"/>
      <w:b/>
      <w:bCs/>
      <w:caps/>
      <w:kern w:val="0"/>
      <w:sz w:val="28"/>
      <w:szCs w:val="28"/>
    </w:rPr>
  </w:style>
  <w:style w:type="paragraph" w:customStyle="1" w:styleId="67">
    <w:name w:val="WW-表格标题"/>
    <w:basedOn w:val="68"/>
    <w:qFormat/>
    <w:uiPriority w:val="0"/>
  </w:style>
  <w:style w:type="paragraph" w:customStyle="1" w:styleId="68">
    <w:name w:val="WW-表格内容"/>
    <w:basedOn w:val="1"/>
    <w:qFormat/>
    <w:uiPriority w:val="0"/>
    <w:pPr>
      <w:suppressLineNumbers/>
      <w:suppressAutoHyphens/>
    </w:pPr>
  </w:style>
  <w:style w:type="paragraph" w:customStyle="1" w:styleId="69">
    <w:name w:val="引用2"/>
    <w:basedOn w:val="1"/>
    <w:next w:val="1"/>
    <w:link w:val="300"/>
    <w:qFormat/>
    <w:uiPriority w:val="0"/>
    <w:rPr>
      <w:i/>
      <w:iCs/>
      <w:color w:val="000000"/>
    </w:rPr>
  </w:style>
  <w:style w:type="paragraph" w:customStyle="1" w:styleId="70">
    <w:name w:val="Char Char Char Char Char Char Char Char Char Char"/>
    <w:basedOn w:val="15"/>
    <w:qFormat/>
    <w:uiPriority w:val="0"/>
    <w:pPr>
      <w:spacing w:line="360" w:lineRule="auto"/>
      <w:ind w:firstLine="200" w:firstLineChars="200"/>
    </w:pPr>
    <w:rPr>
      <w:rFonts w:ascii="Tahoma" w:hAnsi="Tahoma"/>
      <w:sz w:val="24"/>
    </w:rPr>
  </w:style>
  <w:style w:type="paragraph" w:customStyle="1" w:styleId="71">
    <w:name w:val="6'"/>
    <w:basedOn w:val="1"/>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72">
    <w:name w:val="Char Char Char Char"/>
    <w:basedOn w:val="15"/>
    <w:qFormat/>
    <w:uiPriority w:val="0"/>
    <w:pPr>
      <w:spacing w:line="360" w:lineRule="auto"/>
      <w:ind w:firstLine="200" w:firstLineChars="200"/>
    </w:pPr>
    <w:rPr>
      <w:rFonts w:ascii="Tahoma" w:hAnsi="Tahoma"/>
      <w:sz w:val="24"/>
    </w:rPr>
  </w:style>
  <w:style w:type="paragraph" w:customStyle="1" w:styleId="73">
    <w:name w:val="style12"/>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74">
    <w:name w:val="g2"/>
    <w:basedOn w:val="1"/>
    <w:qFormat/>
    <w:uiPriority w:val="0"/>
    <w:pPr>
      <w:widowControl/>
      <w:spacing w:before="100" w:beforeAutospacing="1" w:after="100" w:afterAutospacing="1"/>
      <w:jc w:val="left"/>
    </w:pPr>
    <w:rPr>
      <w:rFonts w:ascii="仿宋_GB2312" w:hAnsi="宋体" w:eastAsia="仿宋_GB2312" w:cs="宋体"/>
      <w:kern w:val="0"/>
      <w:sz w:val="17"/>
      <w:szCs w:val="17"/>
    </w:rPr>
  </w:style>
  <w:style w:type="paragraph" w:customStyle="1" w:styleId="75">
    <w:name w:val="p16"/>
    <w:basedOn w:val="1"/>
    <w:qFormat/>
    <w:uiPriority w:val="0"/>
    <w:pPr>
      <w:widowControl/>
    </w:pPr>
    <w:rPr>
      <w:rFonts w:ascii="Calibri" w:hAnsi="Calibri" w:cs="宋体"/>
      <w:kern w:val="0"/>
      <w:szCs w:val="21"/>
    </w:rPr>
  </w:style>
  <w:style w:type="paragraph" w:customStyle="1" w:styleId="76">
    <w:name w:val="列出段落1"/>
    <w:basedOn w:val="1"/>
    <w:qFormat/>
    <w:uiPriority w:val="0"/>
    <w:pPr>
      <w:ind w:firstLine="420" w:firstLineChars="200"/>
    </w:pPr>
    <w:rPr>
      <w:sz w:val="28"/>
      <w:szCs w:val="28"/>
    </w:rPr>
  </w:style>
  <w:style w:type="paragraph" w:customStyle="1" w:styleId="77">
    <w:name w:val="样式1"/>
    <w:basedOn w:val="1"/>
    <w:next w:val="6"/>
    <w:qFormat/>
    <w:uiPriority w:val="0"/>
    <w:pPr>
      <w:spacing w:line="360" w:lineRule="auto"/>
      <w:ind w:firstLine="420" w:firstLineChars="200"/>
    </w:pPr>
    <w:rPr>
      <w:rFonts w:ascii="宋体" w:hAnsi="宋体"/>
      <w:szCs w:val="21"/>
    </w:rPr>
  </w:style>
  <w:style w:type="paragraph" w:customStyle="1" w:styleId="78">
    <w:name w:val="ly"/>
    <w:basedOn w:val="1"/>
    <w:qFormat/>
    <w:uiPriority w:val="0"/>
    <w:pPr>
      <w:widowControl/>
      <w:spacing w:before="30"/>
      <w:jc w:val="right"/>
    </w:pPr>
    <w:rPr>
      <w:rFonts w:ascii="方正书宋简体" w:hAnsi="宋体" w:eastAsia="方正书宋简体"/>
      <w:color w:val="000000"/>
      <w:kern w:val="0"/>
      <w:szCs w:val="21"/>
    </w:rPr>
  </w:style>
  <w:style w:type="paragraph" w:customStyle="1" w:styleId="79">
    <w:name w:val="Char9 Char Char Char Char Char Char"/>
    <w:basedOn w:val="15"/>
    <w:qFormat/>
    <w:uiPriority w:val="0"/>
    <w:pPr>
      <w:spacing w:line="360" w:lineRule="auto"/>
      <w:ind w:firstLine="200" w:firstLineChars="200"/>
    </w:pPr>
    <w:rPr>
      <w:rFonts w:ascii="Tahoma" w:hAnsi="Tahoma"/>
      <w:sz w:val="24"/>
    </w:rPr>
  </w:style>
  <w:style w:type="paragraph" w:customStyle="1" w:styleId="80">
    <w:name w:val="xl65"/>
    <w:basedOn w:val="1"/>
    <w:qFormat/>
    <w:uiPriority w:val="0"/>
    <w:pPr>
      <w:widowControl/>
      <w:spacing w:before="100" w:beforeAutospacing="1" w:after="100" w:afterAutospacing="1"/>
      <w:jc w:val="center"/>
    </w:pPr>
    <w:rPr>
      <w:rFonts w:ascii="黑体" w:hAnsi="宋体" w:eastAsia="黑体"/>
      <w:b/>
      <w:kern w:val="0"/>
      <w:sz w:val="36"/>
      <w:szCs w:val="20"/>
    </w:rPr>
  </w:style>
  <w:style w:type="paragraph" w:customStyle="1" w:styleId="81">
    <w:name w:val="引用1"/>
    <w:basedOn w:val="1"/>
    <w:next w:val="1"/>
    <w:link w:val="150"/>
    <w:qFormat/>
    <w:uiPriority w:val="29"/>
    <w:rPr>
      <w:i/>
      <w:iCs/>
      <w:color w:val="000000"/>
      <w:szCs w:val="20"/>
    </w:rPr>
  </w:style>
  <w:style w:type="paragraph" w:customStyle="1" w:styleId="82">
    <w:name w:val="表格文字"/>
    <w:basedOn w:val="1"/>
    <w:qFormat/>
    <w:uiPriority w:val="0"/>
    <w:pPr>
      <w:adjustRightInd w:val="0"/>
      <w:spacing w:line="420" w:lineRule="atLeast"/>
      <w:jc w:val="left"/>
      <w:textAlignment w:val="baseline"/>
    </w:pPr>
    <w:rPr>
      <w:kern w:val="0"/>
      <w:szCs w:val="20"/>
    </w:rPr>
  </w:style>
  <w:style w:type="paragraph" w:customStyle="1" w:styleId="83">
    <w:name w:val="_Style 96"/>
    <w:qFormat/>
    <w:uiPriority w:val="99"/>
    <w:rPr>
      <w:rFonts w:ascii="Calibri" w:hAnsi="Calibri" w:eastAsia="宋体" w:cs="Times New Roman"/>
      <w:kern w:val="2"/>
      <w:sz w:val="21"/>
      <w:szCs w:val="24"/>
      <w:lang w:val="en-US" w:eastAsia="zh-CN" w:bidi="ar-SA"/>
    </w:rPr>
  </w:style>
  <w:style w:type="paragraph" w:customStyle="1" w:styleId="84">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Calibri" w:hAnsi="Calibri" w:eastAsia="宋体" w:cs="Times New Roman"/>
      <w:kern w:val="2"/>
      <w:sz w:val="21"/>
      <w:lang w:val="en-US" w:eastAsia="zh-CN" w:bidi="ar-SA"/>
    </w:rPr>
  </w:style>
  <w:style w:type="paragraph" w:customStyle="1" w:styleId="85">
    <w:name w:val="_Style 105"/>
    <w:basedOn w:val="3"/>
    <w:next w:val="1"/>
    <w:qFormat/>
    <w:uiPriority w:val="39"/>
    <w:pPr>
      <w:widowControl/>
      <w:spacing w:before="480" w:after="0" w:line="276" w:lineRule="auto"/>
      <w:jc w:val="left"/>
      <w:outlineLvl w:val="9"/>
    </w:pPr>
    <w:rPr>
      <w:rFonts w:ascii="Cambria" w:hAnsi="Cambria"/>
      <w:color w:val="365F91"/>
      <w:kern w:val="0"/>
      <w:sz w:val="28"/>
      <w:szCs w:val="28"/>
    </w:rPr>
  </w:style>
  <w:style w:type="paragraph" w:customStyle="1" w:styleId="86">
    <w:name w:val="正  文"/>
    <w:basedOn w:val="1"/>
    <w:qFormat/>
    <w:uiPriority w:val="0"/>
    <w:pPr>
      <w:spacing w:line="360" w:lineRule="auto"/>
      <w:ind w:firstLine="200" w:firstLineChars="200"/>
    </w:pPr>
    <w:rPr>
      <w:rFonts w:ascii="宋体" w:hAnsi="Calibri"/>
      <w:sz w:val="24"/>
    </w:rPr>
  </w:style>
  <w:style w:type="paragraph" w:customStyle="1" w:styleId="87">
    <w:name w:val="标题4"/>
    <w:basedOn w:val="4"/>
    <w:next w:val="20"/>
    <w:link w:val="243"/>
    <w:qFormat/>
    <w:uiPriority w:val="0"/>
    <w:pPr>
      <w:spacing w:line="413" w:lineRule="auto"/>
    </w:pPr>
    <w:rPr>
      <w:rFonts w:ascii="Arial" w:hAnsi="Arial"/>
      <w:kern w:val="0"/>
      <w:sz w:val="24"/>
    </w:rPr>
  </w:style>
  <w:style w:type="paragraph" w:customStyle="1" w:styleId="88">
    <w:name w:val="_Style 3"/>
    <w:qFormat/>
    <w:uiPriority w:val="0"/>
    <w:pPr>
      <w:widowControl w:val="0"/>
      <w:snapToGrid w:val="0"/>
      <w:spacing w:line="360" w:lineRule="auto"/>
    </w:pPr>
    <w:rPr>
      <w:rFonts w:ascii="Calibri" w:hAnsi="Calibri" w:eastAsia="宋体" w:cs="Times New Roman"/>
      <w:snapToGrid w:val="0"/>
      <w:sz w:val="21"/>
      <w:szCs w:val="24"/>
      <w:lang w:val="en-US" w:eastAsia="zh-CN" w:bidi="ar-SA"/>
    </w:rPr>
  </w:style>
  <w:style w:type="paragraph" w:customStyle="1" w:styleId="89">
    <w:name w:val="p0"/>
    <w:basedOn w:val="1"/>
    <w:qFormat/>
    <w:uiPriority w:val="0"/>
    <w:pPr>
      <w:widowControl/>
      <w:spacing w:before="100" w:beforeAutospacing="1" w:after="100" w:afterAutospacing="1"/>
      <w:jc w:val="left"/>
    </w:pPr>
    <w:rPr>
      <w:rFonts w:ascii="宋体" w:hAnsi="宋体" w:cs="宋体"/>
      <w:kern w:val="0"/>
      <w:sz w:val="24"/>
    </w:rPr>
  </w:style>
  <w:style w:type="paragraph" w:customStyle="1" w:styleId="90">
    <w:name w:val="标题1"/>
    <w:basedOn w:val="1"/>
    <w:qFormat/>
    <w:uiPriority w:val="0"/>
    <w:pPr>
      <w:widowControl/>
      <w:spacing w:before="100" w:beforeAutospacing="1" w:after="100" w:afterAutospacing="1"/>
      <w:jc w:val="left"/>
    </w:pPr>
    <w:rPr>
      <w:rFonts w:ascii="宋体" w:hAnsi="宋体" w:cs="宋体"/>
      <w:kern w:val="0"/>
      <w:sz w:val="24"/>
    </w:rPr>
  </w:style>
  <w:style w:type="paragraph" w:customStyle="1" w:styleId="91">
    <w:name w:val="空半行"/>
    <w:basedOn w:val="1"/>
    <w:qFormat/>
    <w:uiPriority w:val="0"/>
    <w:pPr>
      <w:adjustRightInd w:val="0"/>
      <w:spacing w:line="120" w:lineRule="exact"/>
      <w:textAlignment w:val="baseline"/>
    </w:pPr>
    <w:rPr>
      <w:rFonts w:eastAsia="仿宋_GB2312"/>
      <w:color w:val="FFFFFF"/>
      <w:kern w:val="0"/>
      <w:sz w:val="30"/>
      <w:szCs w:val="20"/>
    </w:rPr>
  </w:style>
  <w:style w:type="paragraph" w:customStyle="1" w:styleId="92">
    <w:name w:val="链接"/>
    <w:qFormat/>
    <w:uiPriority w:val="0"/>
    <w:pPr>
      <w:widowControl w:val="0"/>
      <w:autoSpaceDE w:val="0"/>
      <w:autoSpaceDN w:val="0"/>
      <w:adjustRightInd w:val="0"/>
      <w:ind w:left="720"/>
    </w:pPr>
    <w:rPr>
      <w:rFonts w:ascii="Calibri" w:hAnsi="Calibri" w:eastAsia="宋体" w:cs="Times New Roman"/>
      <w:color w:val="0000FF"/>
      <w:sz w:val="21"/>
      <w:szCs w:val="21"/>
      <w:u w:val="single"/>
      <w:lang w:val="en-US" w:eastAsia="zh-CN" w:bidi="ar-SA"/>
    </w:rPr>
  </w:style>
  <w:style w:type="paragraph" w:customStyle="1" w:styleId="93">
    <w:name w:val="g3"/>
    <w:basedOn w:val="1"/>
    <w:qFormat/>
    <w:uiPriority w:val="0"/>
    <w:pPr>
      <w:widowControl/>
      <w:spacing w:before="100" w:beforeAutospacing="1" w:after="100" w:afterAutospacing="1"/>
      <w:jc w:val="left"/>
    </w:pPr>
    <w:rPr>
      <w:rFonts w:ascii="宋体" w:hAnsi="宋体" w:cs="宋体"/>
      <w:kern w:val="0"/>
      <w:sz w:val="24"/>
    </w:rPr>
  </w:style>
  <w:style w:type="paragraph" w:customStyle="1" w:styleId="94">
    <w:name w:val="zz"/>
    <w:basedOn w:val="1"/>
    <w:qFormat/>
    <w:uiPriority w:val="0"/>
    <w:pPr>
      <w:widowControl/>
      <w:spacing w:before="30"/>
      <w:jc w:val="right"/>
    </w:pPr>
    <w:rPr>
      <w:rFonts w:ascii="方正书宋简体" w:hAnsi="宋体" w:eastAsia="方正书宋简体"/>
      <w:color w:val="000000"/>
      <w:kern w:val="0"/>
      <w:szCs w:val="21"/>
    </w:rPr>
  </w:style>
  <w:style w:type="paragraph" w:customStyle="1" w:styleId="95">
    <w:name w:val="1 Char"/>
    <w:basedOn w:val="1"/>
    <w:qFormat/>
    <w:uiPriority w:val="0"/>
    <w:pPr>
      <w:widowControl/>
      <w:spacing w:after="160" w:line="240" w:lineRule="exact"/>
      <w:jc w:val="left"/>
    </w:pPr>
    <w:rPr>
      <w:rFonts w:ascii="Calibri" w:hAnsi="Calibri"/>
      <w:szCs w:val="20"/>
    </w:rPr>
  </w:style>
  <w:style w:type="paragraph" w:customStyle="1" w:styleId="96">
    <w:name w:val="g11"/>
    <w:basedOn w:val="1"/>
    <w:qFormat/>
    <w:uiPriority w:val="0"/>
    <w:pPr>
      <w:widowControl/>
      <w:spacing w:before="100" w:beforeAutospacing="1" w:after="100" w:afterAutospacing="1" w:line="465" w:lineRule="atLeast"/>
      <w:jc w:val="left"/>
    </w:pPr>
    <w:rPr>
      <w:rFonts w:ascii="华文中宋" w:hAnsi="华文中宋" w:eastAsia="华文中宋" w:cs="宋体"/>
      <w:b/>
      <w:bCs/>
      <w:color w:val="FF0000"/>
      <w:kern w:val="0"/>
      <w:sz w:val="31"/>
      <w:szCs w:val="31"/>
    </w:rPr>
  </w:style>
  <w:style w:type="paragraph" w:customStyle="1" w:styleId="97">
    <w:name w:val="pa-34"/>
    <w:basedOn w:val="1"/>
    <w:qFormat/>
    <w:uiPriority w:val="0"/>
    <w:pPr>
      <w:widowControl/>
      <w:spacing w:line="360" w:lineRule="atLeast"/>
      <w:ind w:firstLine="420"/>
      <w:jc w:val="left"/>
    </w:pPr>
    <w:rPr>
      <w:rFonts w:ascii="宋体" w:hAnsi="宋体" w:cs="宋体"/>
      <w:kern w:val="0"/>
      <w:sz w:val="24"/>
    </w:rPr>
  </w:style>
  <w:style w:type="paragraph" w:customStyle="1" w:styleId="98">
    <w:name w:val="TOC 标题11"/>
    <w:basedOn w:val="3"/>
    <w:next w:val="1"/>
    <w:qFormat/>
    <w:uiPriority w:val="0"/>
    <w:pPr>
      <w:widowControl/>
      <w:spacing w:before="480" w:after="0" w:line="276" w:lineRule="auto"/>
      <w:jc w:val="left"/>
      <w:outlineLvl w:val="9"/>
    </w:pPr>
    <w:rPr>
      <w:rFonts w:ascii="Cambria" w:hAnsi="Cambria"/>
      <w:color w:val="365F91"/>
      <w:kern w:val="0"/>
      <w:sz w:val="28"/>
      <w:szCs w:val="28"/>
    </w:rPr>
  </w:style>
  <w:style w:type="paragraph" w:customStyle="1" w:styleId="99">
    <w:name w:val="p15"/>
    <w:basedOn w:val="1"/>
    <w:qFormat/>
    <w:uiPriority w:val="0"/>
    <w:pPr>
      <w:widowControl/>
      <w:spacing w:after="120"/>
    </w:pPr>
    <w:rPr>
      <w:kern w:val="0"/>
      <w:szCs w:val="21"/>
    </w:rPr>
  </w:style>
  <w:style w:type="paragraph" w:customStyle="1" w:styleId="100">
    <w:name w:val="reader-word-layer"/>
    <w:basedOn w:val="1"/>
    <w:qFormat/>
    <w:uiPriority w:val="0"/>
    <w:pPr>
      <w:widowControl/>
      <w:spacing w:before="100" w:beforeAutospacing="1" w:after="100" w:afterAutospacing="1"/>
      <w:jc w:val="left"/>
    </w:pPr>
    <w:rPr>
      <w:rFonts w:ascii="宋体" w:hAnsi="宋体" w:cs="宋体"/>
      <w:kern w:val="0"/>
      <w:sz w:val="24"/>
    </w:rPr>
  </w:style>
  <w:style w:type="paragraph" w:customStyle="1" w:styleId="101">
    <w:name w:val="Char Char Char Char Char Char Char Char Char Char Char Char Char Char Char Char"/>
    <w:basedOn w:val="15"/>
    <w:qFormat/>
    <w:uiPriority w:val="0"/>
    <w:pPr>
      <w:spacing w:line="360" w:lineRule="auto"/>
      <w:ind w:firstLine="200" w:firstLineChars="200"/>
    </w:pPr>
    <w:rPr>
      <w:rFonts w:ascii="Tahoma" w:hAnsi="Tahoma"/>
      <w:sz w:val="24"/>
    </w:rPr>
  </w:style>
  <w:style w:type="paragraph" w:customStyle="1" w:styleId="102">
    <w:name w:val="_Style 124"/>
    <w:basedOn w:val="1"/>
    <w:next w:val="1"/>
    <w:link w:val="197"/>
    <w:qFormat/>
    <w:uiPriority w:val="0"/>
    <w:rPr>
      <w:i/>
      <w:iCs/>
      <w:color w:val="000000"/>
      <w:szCs w:val="22"/>
    </w:rPr>
  </w:style>
  <w:style w:type="paragraph" w:customStyle="1" w:styleId="103">
    <w:name w:val="zw"/>
    <w:basedOn w:val="1"/>
    <w:qFormat/>
    <w:uiPriority w:val="0"/>
    <w:pPr>
      <w:widowControl/>
      <w:spacing w:before="30"/>
      <w:ind w:left="100" w:right="100"/>
    </w:pPr>
    <w:rPr>
      <w:rFonts w:ascii="方正书宋简体" w:hAnsi="宋体" w:eastAsia="方正书宋简体"/>
      <w:color w:val="000000"/>
      <w:kern w:val="0"/>
      <w:szCs w:val="21"/>
    </w:rPr>
  </w:style>
  <w:style w:type="paragraph" w:customStyle="1" w:styleId="104">
    <w:name w:val="flNote"/>
    <w:basedOn w:val="1"/>
    <w:qFormat/>
    <w:uiPriority w:val="0"/>
    <w:pPr>
      <w:adjustRightInd w:val="0"/>
      <w:spacing w:before="320" w:after="160" w:line="360" w:lineRule="atLeast"/>
      <w:jc w:val="center"/>
      <w:textAlignment w:val="baseline"/>
    </w:pPr>
    <w:rPr>
      <w:rFonts w:ascii="Arial" w:eastAsia="黑体"/>
      <w:kern w:val="0"/>
      <w:sz w:val="30"/>
      <w:szCs w:val="20"/>
    </w:rPr>
  </w:style>
  <w:style w:type="paragraph" w:customStyle="1" w:styleId="105">
    <w:name w:val="Char Char"/>
    <w:basedOn w:val="1"/>
    <w:qFormat/>
    <w:uiPriority w:val="0"/>
    <w:pPr>
      <w:widowControl/>
      <w:jc w:val="left"/>
    </w:pPr>
    <w:rPr>
      <w:rFonts w:ascii="Verdana" w:hAnsi="Verdana" w:eastAsia="Times New Roman"/>
      <w:kern w:val="0"/>
      <w:sz w:val="16"/>
      <w:szCs w:val="20"/>
      <w:lang w:eastAsia="en-US"/>
    </w:rPr>
  </w:style>
  <w:style w:type="paragraph" w:customStyle="1" w:styleId="106">
    <w:name w:val="样式 标题 2 + Times New Roman 四号 非加粗 段前: 5 磅 段后: 0 磅 行距: 固定值 20..."/>
    <w:basedOn w:val="4"/>
    <w:qFormat/>
    <w:uiPriority w:val="0"/>
    <w:pPr>
      <w:spacing w:before="100" w:after="0" w:line="400" w:lineRule="exact"/>
    </w:pPr>
    <w:rPr>
      <w:rFonts w:ascii="Times New Roman" w:hAnsi="Times New Roman" w:eastAsia="黑体" w:cs="宋体"/>
      <w:b w:val="0"/>
      <w:bCs w:val="0"/>
      <w:sz w:val="28"/>
      <w:szCs w:val="20"/>
    </w:rPr>
  </w:style>
  <w:style w:type="paragraph" w:customStyle="1" w:styleId="107">
    <w:name w:val="pa-27"/>
    <w:basedOn w:val="1"/>
    <w:qFormat/>
    <w:uiPriority w:val="0"/>
    <w:pPr>
      <w:widowControl/>
      <w:spacing w:line="360" w:lineRule="atLeast"/>
      <w:ind w:firstLine="420"/>
    </w:pPr>
    <w:rPr>
      <w:rFonts w:ascii="宋体" w:hAnsi="宋体" w:cs="宋体"/>
      <w:kern w:val="0"/>
      <w:sz w:val="24"/>
    </w:rPr>
  </w:style>
  <w:style w:type="paragraph" w:customStyle="1" w:styleId="108">
    <w:name w:val="_Style 90"/>
    <w:next w:val="1"/>
    <w:qFormat/>
    <w:uiPriority w:val="0"/>
    <w:pPr>
      <w:widowControl w:val="0"/>
      <w:jc w:val="both"/>
    </w:pPr>
    <w:rPr>
      <w:rFonts w:ascii="Calibri" w:hAnsi="Calibri" w:eastAsia="宋体" w:cs="Times New Roman"/>
      <w:kern w:val="2"/>
      <w:sz w:val="21"/>
      <w:szCs w:val="24"/>
      <w:lang w:val="en-US" w:eastAsia="zh-CN" w:bidi="ar-SA"/>
    </w:rPr>
  </w:style>
  <w:style w:type="paragraph" w:customStyle="1" w:styleId="109">
    <w:name w:val="2"/>
    <w:next w:val="1"/>
    <w:qFormat/>
    <w:uiPriority w:val="99"/>
    <w:pPr>
      <w:widowControl w:val="0"/>
      <w:jc w:val="both"/>
    </w:pPr>
    <w:rPr>
      <w:rFonts w:ascii="Calibri" w:hAnsi="Calibri" w:eastAsia="宋体" w:cs="Times New Roman"/>
      <w:kern w:val="2"/>
      <w:sz w:val="21"/>
      <w:szCs w:val="24"/>
      <w:lang w:val="en-US" w:eastAsia="zh-CN" w:bidi="ar-SA"/>
    </w:rPr>
  </w:style>
  <w:style w:type="paragraph" w:customStyle="1" w:styleId="110">
    <w:name w:val="表格"/>
    <w:basedOn w:val="1"/>
    <w:qFormat/>
    <w:uiPriority w:val="0"/>
    <w:pPr>
      <w:jc w:val="center"/>
      <w:textAlignment w:val="center"/>
    </w:pPr>
    <w:rPr>
      <w:rFonts w:ascii="华文细黑" w:hAnsi="华文细黑"/>
      <w:kern w:val="0"/>
      <w:szCs w:val="20"/>
    </w:rPr>
  </w:style>
  <w:style w:type="paragraph" w:customStyle="1" w:styleId="111">
    <w:name w:val="明显引用1"/>
    <w:basedOn w:val="1"/>
    <w:next w:val="1"/>
    <w:link w:val="298"/>
    <w:qFormat/>
    <w:uiPriority w:val="30"/>
    <w:pPr>
      <w:pBdr>
        <w:bottom w:val="single" w:color="4F81BD" w:sz="4" w:space="4"/>
      </w:pBdr>
      <w:spacing w:before="200" w:after="280"/>
      <w:ind w:left="936" w:right="936"/>
    </w:pPr>
    <w:rPr>
      <w:b/>
      <w:bCs/>
      <w:i/>
      <w:iCs/>
      <w:color w:val="4F81BD"/>
      <w:szCs w:val="20"/>
    </w:rPr>
  </w:style>
  <w:style w:type="paragraph" w:customStyle="1" w:styleId="112">
    <w:name w:val="样式15"/>
    <w:basedOn w:val="5"/>
    <w:qFormat/>
    <w:uiPriority w:val="0"/>
    <w:pPr>
      <w:keepNext w:val="0"/>
      <w:keepLines w:val="0"/>
      <w:tabs>
        <w:tab w:val="left" w:pos="0"/>
        <w:tab w:val="left" w:pos="210"/>
        <w:tab w:val="left" w:pos="420"/>
        <w:tab w:val="left" w:pos="1260"/>
      </w:tabs>
      <w:adjustRightInd w:val="0"/>
      <w:spacing w:before="0" w:after="0" w:line="240" w:lineRule="auto"/>
      <w:jc w:val="left"/>
    </w:pPr>
    <w:rPr>
      <w:rFonts w:ascii="仿宋_GB2312" w:hAnsi="Calibri" w:eastAsia="仿宋_GB2312"/>
      <w:bCs w:val="0"/>
      <w:szCs w:val="24"/>
    </w:rPr>
  </w:style>
  <w:style w:type="paragraph" w:customStyle="1" w:styleId="113">
    <w:name w:val="TOC 标题2"/>
    <w:basedOn w:val="3"/>
    <w:next w:val="1"/>
    <w:qFormat/>
    <w:uiPriority w:val="0"/>
    <w:pPr>
      <w:outlineLvl w:val="9"/>
    </w:pPr>
    <w:rPr>
      <w:rFonts w:ascii="Calibri" w:hAnsi="Calibri"/>
    </w:rPr>
  </w:style>
  <w:style w:type="paragraph" w:customStyle="1" w:styleId="114">
    <w:name w:val="样式 标题 1 + 黑体 三号 非加粗 居中 段前: 6 磅 段后: 6 磅 行距: 固定值 20 磅"/>
    <w:basedOn w:val="3"/>
    <w:qFormat/>
    <w:uiPriority w:val="0"/>
    <w:pPr>
      <w:spacing w:before="120" w:after="120" w:line="400" w:lineRule="exact"/>
      <w:jc w:val="center"/>
    </w:pPr>
    <w:rPr>
      <w:rFonts w:ascii="黑体" w:hAnsi="黑体" w:eastAsia="黑体" w:cs="宋体"/>
      <w:b w:val="0"/>
      <w:bCs w:val="0"/>
      <w:sz w:val="32"/>
      <w:szCs w:val="20"/>
    </w:rPr>
  </w:style>
  <w:style w:type="paragraph" w:customStyle="1" w:styleId="115">
    <w:name w:val="intel1"/>
    <w:basedOn w:val="1"/>
    <w:qFormat/>
    <w:uiPriority w:val="0"/>
    <w:pPr>
      <w:widowControl/>
      <w:spacing w:before="100" w:beforeAutospacing="1" w:after="100" w:afterAutospacing="1"/>
      <w:jc w:val="left"/>
    </w:pPr>
    <w:rPr>
      <w:rFonts w:ascii="宋体" w:hAnsi="宋体" w:cs="宋体"/>
      <w:kern w:val="0"/>
      <w:sz w:val="24"/>
    </w:rPr>
  </w:style>
  <w:style w:type="paragraph" w:customStyle="1" w:styleId="116">
    <w:name w:val="标题5"/>
    <w:basedOn w:val="5"/>
    <w:link w:val="165"/>
    <w:qFormat/>
    <w:uiPriority w:val="0"/>
    <w:pPr>
      <w:spacing w:line="413" w:lineRule="auto"/>
    </w:pPr>
    <w:rPr>
      <w:rFonts w:ascii="Arial" w:hAnsi="Arial"/>
      <w:kern w:val="0"/>
      <w:sz w:val="24"/>
    </w:rPr>
  </w:style>
  <w:style w:type="paragraph" w:customStyle="1" w:styleId="117">
    <w:name w:val="正文 New New New New New New New New New New New New New New New"/>
    <w:qFormat/>
    <w:uiPriority w:val="0"/>
    <w:pPr>
      <w:widowControl w:val="0"/>
      <w:jc w:val="both"/>
    </w:pPr>
    <w:rPr>
      <w:rFonts w:ascii="Calibri" w:hAnsi="Calibri" w:eastAsia="宋体" w:cs="Times New Roman"/>
      <w:kern w:val="2"/>
      <w:sz w:val="21"/>
      <w:lang w:val="en-US" w:eastAsia="zh-CN" w:bidi="ar-SA"/>
    </w:rPr>
  </w:style>
  <w:style w:type="paragraph" w:customStyle="1" w:styleId="118">
    <w:name w:val="_Style 64"/>
    <w:basedOn w:val="1"/>
    <w:next w:val="1"/>
    <w:link w:val="297"/>
    <w:qFormat/>
    <w:uiPriority w:val="0"/>
    <w:pPr>
      <w:pBdr>
        <w:bottom w:val="single" w:color="4F81BD" w:sz="4" w:space="4"/>
      </w:pBdr>
      <w:spacing w:before="200" w:after="280"/>
      <w:ind w:left="936" w:right="936"/>
    </w:pPr>
    <w:rPr>
      <w:b/>
      <w:bCs/>
      <w:i/>
      <w:iCs/>
      <w:color w:val="4F81BD"/>
      <w:szCs w:val="22"/>
    </w:rPr>
  </w:style>
  <w:style w:type="paragraph" w:customStyle="1" w:styleId="119">
    <w:name w:val="_Style 128"/>
    <w:basedOn w:val="3"/>
    <w:next w:val="1"/>
    <w:qFormat/>
    <w:uiPriority w:val="39"/>
    <w:pPr>
      <w:widowControl/>
      <w:spacing w:before="480" w:after="0" w:line="276" w:lineRule="auto"/>
      <w:jc w:val="left"/>
      <w:outlineLvl w:val="9"/>
    </w:pPr>
    <w:rPr>
      <w:rFonts w:ascii="Cambria" w:hAnsi="Cambria"/>
      <w:color w:val="365F91"/>
      <w:kern w:val="0"/>
      <w:sz w:val="28"/>
      <w:szCs w:val="28"/>
    </w:rPr>
  </w:style>
  <w:style w:type="paragraph" w:customStyle="1" w:styleId="120">
    <w:name w:val="Char2"/>
    <w:basedOn w:val="1"/>
    <w:qFormat/>
    <w:uiPriority w:val="0"/>
    <w:rPr>
      <w:rFonts w:ascii="Calibri" w:hAnsi="Calibri"/>
    </w:rPr>
  </w:style>
  <w:style w:type="paragraph" w:customStyle="1" w:styleId="121">
    <w:name w:val="_Style 87"/>
    <w:basedOn w:val="1"/>
    <w:qFormat/>
    <w:uiPriority w:val="99"/>
    <w:pPr>
      <w:ind w:firstLine="420" w:firstLineChars="200"/>
    </w:pPr>
    <w:rPr>
      <w:rFonts w:ascii="Calibri" w:hAnsi="Calibri"/>
      <w:sz w:val="28"/>
      <w:szCs w:val="28"/>
    </w:rPr>
  </w:style>
  <w:style w:type="paragraph" w:customStyle="1" w:styleId="122">
    <w:name w:val="自定样式1"/>
    <w:basedOn w:val="1"/>
    <w:qFormat/>
    <w:uiPriority w:val="0"/>
    <w:pPr>
      <w:suppressAutoHyphens/>
      <w:jc w:val="center"/>
    </w:pPr>
    <w:rPr>
      <w:rFonts w:ascii="宋体" w:hAnsi="宋体"/>
      <w:color w:val="000000"/>
      <w:sz w:val="18"/>
    </w:rPr>
  </w:style>
  <w:style w:type="paragraph" w:customStyle="1" w:styleId="123">
    <w:name w:val="_Style 81"/>
    <w:qFormat/>
    <w:uiPriority w:val="0"/>
    <w:pPr>
      <w:widowControl w:val="0"/>
      <w:jc w:val="both"/>
    </w:pPr>
    <w:rPr>
      <w:rFonts w:ascii="Calibri" w:hAnsi="Calibri" w:eastAsia="宋体" w:cs="Times New Roman"/>
      <w:kern w:val="2"/>
      <w:sz w:val="21"/>
      <w:szCs w:val="22"/>
      <w:lang w:val="en-US" w:eastAsia="zh-CN" w:bidi="ar-SA"/>
    </w:rPr>
  </w:style>
  <w:style w:type="paragraph" w:customStyle="1" w:styleId="124">
    <w:name w:val="Char"/>
    <w:basedOn w:val="1"/>
    <w:qFormat/>
    <w:uiPriority w:val="0"/>
  </w:style>
  <w:style w:type="paragraph" w:customStyle="1" w:styleId="125">
    <w:name w:val="标题11"/>
    <w:basedOn w:val="1"/>
    <w:qFormat/>
    <w:uiPriority w:val="0"/>
    <w:pPr>
      <w:widowControl/>
      <w:spacing w:before="100" w:beforeAutospacing="1" w:after="100" w:afterAutospacing="1"/>
      <w:jc w:val="left"/>
    </w:pPr>
    <w:rPr>
      <w:rFonts w:ascii="宋体" w:hAnsi="宋体" w:cs="宋体"/>
      <w:kern w:val="0"/>
      <w:sz w:val="24"/>
    </w:rPr>
  </w:style>
  <w:style w:type="paragraph" w:customStyle="1" w:styleId="126">
    <w:name w:val="列表段落1"/>
    <w:basedOn w:val="1"/>
    <w:qFormat/>
    <w:uiPriority w:val="34"/>
    <w:pPr>
      <w:ind w:firstLine="420" w:firstLineChars="200"/>
    </w:pPr>
    <w:rPr>
      <w:rFonts w:ascii="Calibri" w:hAnsi="Calibri"/>
    </w:rPr>
  </w:style>
  <w:style w:type="paragraph" w:customStyle="1" w:styleId="127">
    <w:name w:val="明显引用11"/>
    <w:basedOn w:val="1"/>
    <w:next w:val="1"/>
    <w:qFormat/>
    <w:uiPriority w:val="30"/>
    <w:pPr>
      <w:pBdr>
        <w:bottom w:val="single" w:color="4F81BD" w:sz="4" w:space="4"/>
      </w:pBdr>
      <w:spacing w:before="200" w:after="280"/>
      <w:ind w:left="936" w:right="936"/>
    </w:pPr>
    <w:rPr>
      <w:rFonts w:ascii="Calibri" w:hAnsi="Calibri"/>
      <w:b/>
      <w:bCs/>
      <w:i/>
      <w:iCs/>
      <w:color w:val="4F81BD"/>
      <w:szCs w:val="22"/>
    </w:rPr>
  </w:style>
  <w:style w:type="paragraph" w:customStyle="1" w:styleId="128">
    <w:name w:val="表体"/>
    <w:basedOn w:val="1"/>
    <w:next w:val="1"/>
    <w:qFormat/>
    <w:uiPriority w:val="0"/>
    <w:pPr>
      <w:spacing w:line="0" w:lineRule="atLeast"/>
    </w:pPr>
    <w:rPr>
      <w:rFonts w:ascii="Calibri" w:hAnsi="Calibri"/>
      <w:b/>
      <w:snapToGrid w:val="0"/>
      <w:szCs w:val="20"/>
    </w:rPr>
  </w:style>
  <w:style w:type="paragraph" w:customStyle="1" w:styleId="129">
    <w:name w:val="rw"/>
    <w:basedOn w:val="1"/>
    <w:qFormat/>
    <w:uiPriority w:val="0"/>
    <w:pPr>
      <w:widowControl/>
      <w:spacing w:before="30"/>
      <w:ind w:left="100" w:right="100"/>
      <w:jc w:val="right"/>
    </w:pPr>
    <w:rPr>
      <w:rFonts w:ascii="方正仿宋简体" w:hAnsi="宋体" w:eastAsia="方正仿宋简体"/>
      <w:color w:val="000000"/>
      <w:kern w:val="0"/>
      <w:szCs w:val="21"/>
    </w:rPr>
  </w:style>
  <w:style w:type="paragraph" w:customStyle="1" w:styleId="130">
    <w:name w:val="标准样式（文件）"/>
    <w:qFormat/>
    <w:uiPriority w:val="0"/>
    <w:pPr>
      <w:widowControl w:val="0"/>
      <w:spacing w:line="600" w:lineRule="exact"/>
      <w:ind w:firstLine="567"/>
    </w:pPr>
    <w:rPr>
      <w:rFonts w:ascii="Calibri" w:hAnsi="Calibri" w:eastAsia="宋体" w:cs="Times New Roman"/>
      <w:sz w:val="28"/>
      <w:lang w:val="en-US" w:eastAsia="zh-CN" w:bidi="ar-SA"/>
    </w:rPr>
  </w:style>
  <w:style w:type="paragraph" w:customStyle="1" w:styleId="131">
    <w:name w:val="Char Char1 Char Char"/>
    <w:basedOn w:val="15"/>
    <w:qFormat/>
    <w:uiPriority w:val="0"/>
    <w:pPr>
      <w:shd w:val="clear" w:color="auto" w:fill="auto"/>
      <w:tabs>
        <w:tab w:val="left" w:pos="630"/>
      </w:tabs>
      <w:adjustRightInd w:val="0"/>
      <w:spacing w:line="436" w:lineRule="exact"/>
      <w:ind w:left="357"/>
      <w:jc w:val="left"/>
      <w:outlineLvl w:val="3"/>
    </w:pPr>
    <w:rPr>
      <w:rFonts w:ascii="Calibri" w:hAnsi="Calibri" w:eastAsia="Times New Roman"/>
      <w:sz w:val="18"/>
      <w:szCs w:val="20"/>
    </w:rPr>
  </w:style>
  <w:style w:type="paragraph" w:customStyle="1" w:styleId="132">
    <w:name w:val="Char11"/>
    <w:basedOn w:val="1"/>
    <w:qFormat/>
    <w:uiPriority w:val="0"/>
  </w:style>
  <w:style w:type="paragraph" w:customStyle="1" w:styleId="133">
    <w:name w:val="Char Char1 Char Char Char Char Char Char Char Char Char Char"/>
    <w:basedOn w:val="1"/>
    <w:qFormat/>
    <w:uiPriority w:val="0"/>
    <w:pPr>
      <w:autoSpaceDE w:val="0"/>
      <w:autoSpaceDN w:val="0"/>
      <w:adjustRightInd w:val="0"/>
      <w:ind w:firstLine="482"/>
    </w:pPr>
    <w:rPr>
      <w:rFonts w:ascii="Calibri" w:hAnsi="Calibri"/>
      <w:szCs w:val="20"/>
    </w:rPr>
  </w:style>
  <w:style w:type="paragraph" w:customStyle="1" w:styleId="134">
    <w:name w:val="样式 标题 3 + (中文) 黑体 小四 非加粗 段前: 7.8 磅 段后: 0 磅 行距: 固定值 20 磅"/>
    <w:basedOn w:val="5"/>
    <w:next w:val="1"/>
    <w:qFormat/>
    <w:uiPriority w:val="0"/>
    <w:pPr>
      <w:spacing w:before="0" w:after="0" w:line="400" w:lineRule="exact"/>
    </w:pPr>
    <w:rPr>
      <w:rFonts w:eastAsia="黑体" w:cs="宋体"/>
      <w:b w:val="0"/>
      <w:bCs w:val="0"/>
      <w:sz w:val="24"/>
      <w:szCs w:val="20"/>
    </w:rPr>
  </w:style>
  <w:style w:type="paragraph" w:customStyle="1" w:styleId="135">
    <w:name w:val="_Style 86"/>
    <w:qFormat/>
    <w:uiPriority w:val="0"/>
    <w:rPr>
      <w:rFonts w:ascii="Times New Roman" w:hAnsi="Times New Roman" w:eastAsia="宋体" w:cs="Times New Roman"/>
      <w:kern w:val="2"/>
      <w:sz w:val="21"/>
      <w:szCs w:val="24"/>
      <w:lang w:val="en-US" w:eastAsia="zh-CN" w:bidi="ar-SA"/>
    </w:rPr>
  </w:style>
  <w:style w:type="paragraph" w:customStyle="1" w:styleId="136">
    <w:name w:val="Char1"/>
    <w:basedOn w:val="1"/>
    <w:qFormat/>
    <w:uiPriority w:val="0"/>
  </w:style>
  <w:style w:type="paragraph" w:customStyle="1" w:styleId="137">
    <w:name w:val="TOC 标题1"/>
    <w:basedOn w:val="3"/>
    <w:next w:val="1"/>
    <w:qFormat/>
    <w:uiPriority w:val="0"/>
    <w:pPr>
      <w:widowControl/>
      <w:spacing w:before="480" w:after="0" w:line="276" w:lineRule="auto"/>
      <w:jc w:val="left"/>
      <w:outlineLvl w:val="9"/>
    </w:pPr>
    <w:rPr>
      <w:rFonts w:ascii="Cambria" w:hAnsi="Cambria"/>
      <w:color w:val="365F91"/>
      <w:kern w:val="0"/>
      <w:sz w:val="28"/>
      <w:szCs w:val="28"/>
    </w:rPr>
  </w:style>
  <w:style w:type="paragraph" w:customStyle="1" w:styleId="138">
    <w:name w:val="Default"/>
    <w:qFormat/>
    <w:uiPriority w:val="99"/>
    <w:pPr>
      <w:widowControl w:val="0"/>
      <w:autoSpaceDE w:val="0"/>
      <w:autoSpaceDN w:val="0"/>
      <w:adjustRightInd w:val="0"/>
    </w:pPr>
    <w:rPr>
      <w:rFonts w:ascii="仿宋" w:hAnsi="仿宋" w:eastAsia="宋体" w:cs="仿宋"/>
      <w:color w:val="000000"/>
      <w:sz w:val="24"/>
      <w:szCs w:val="24"/>
      <w:lang w:val="en-US" w:eastAsia="zh-CN" w:bidi="ar-SA"/>
    </w:rPr>
  </w:style>
  <w:style w:type="paragraph" w:customStyle="1" w:styleId="139">
    <w:name w:val="无间隔1"/>
    <w:qFormat/>
    <w:uiPriority w:val="0"/>
    <w:pPr>
      <w:widowControl w:val="0"/>
      <w:jc w:val="both"/>
    </w:pPr>
    <w:rPr>
      <w:rFonts w:ascii="Calibri" w:hAnsi="Calibri" w:eastAsia="宋体" w:cs="Times New Roman"/>
      <w:kern w:val="2"/>
      <w:sz w:val="21"/>
      <w:szCs w:val="22"/>
      <w:lang w:val="en-US" w:eastAsia="zh-CN" w:bidi="ar-SA"/>
    </w:rPr>
  </w:style>
  <w:style w:type="paragraph" w:customStyle="1" w:styleId="140">
    <w:name w:val="mtitle"/>
    <w:basedOn w:val="1"/>
    <w:qFormat/>
    <w:uiPriority w:val="0"/>
    <w:pPr>
      <w:widowControl/>
      <w:spacing w:before="30"/>
      <w:jc w:val="center"/>
    </w:pPr>
    <w:rPr>
      <w:rFonts w:ascii="方正小标宋简体" w:hAnsi="宋体" w:eastAsia="方正小标宋简体"/>
      <w:color w:val="000000"/>
      <w:kern w:val="0"/>
      <w:sz w:val="44"/>
      <w:szCs w:val="44"/>
    </w:rPr>
  </w:style>
  <w:style w:type="paragraph" w:customStyle="1" w:styleId="141">
    <w:name w:val="样式"/>
    <w:qFormat/>
    <w:uiPriority w:val="0"/>
    <w:pPr>
      <w:widowControl w:val="0"/>
      <w:autoSpaceDE w:val="0"/>
      <w:autoSpaceDN w:val="0"/>
      <w:adjustRightInd w:val="0"/>
    </w:pPr>
    <w:rPr>
      <w:rFonts w:ascii="宋体" w:hAnsi="宋体" w:eastAsia="宋体" w:cs="宋体"/>
      <w:sz w:val="24"/>
      <w:szCs w:val="24"/>
      <w:lang w:val="en-US" w:eastAsia="zh-CN" w:bidi="ar-SA"/>
    </w:rPr>
  </w:style>
  <w:style w:type="character" w:customStyle="1" w:styleId="142">
    <w:name w:val="正文文本 Char2"/>
    <w:qFormat/>
    <w:uiPriority w:val="99"/>
    <w:rPr>
      <w:kern w:val="2"/>
      <w:sz w:val="21"/>
      <w:szCs w:val="24"/>
    </w:rPr>
  </w:style>
  <w:style w:type="character" w:customStyle="1" w:styleId="143">
    <w:name w:val="尾注文本 Char1"/>
    <w:qFormat/>
    <w:uiPriority w:val="0"/>
    <w:rPr>
      <w:rFonts w:ascii="Arial" w:hAnsi="Arial" w:cs="Arial"/>
      <w:szCs w:val="24"/>
      <w:lang w:eastAsia="en-US"/>
    </w:rPr>
  </w:style>
  <w:style w:type="character" w:customStyle="1" w:styleId="144">
    <w:name w:val="脚注文本 Char"/>
    <w:qFormat/>
    <w:uiPriority w:val="0"/>
    <w:rPr>
      <w:rFonts w:ascii="Arial" w:hAnsi="Arial" w:eastAsia="宋体" w:cs="Arial"/>
      <w:sz w:val="18"/>
      <w:szCs w:val="18"/>
      <w:lang w:eastAsia="en-US"/>
    </w:rPr>
  </w:style>
  <w:style w:type="character" w:customStyle="1" w:styleId="145">
    <w:name w:val="Char Char17"/>
    <w:qFormat/>
    <w:uiPriority w:val="0"/>
    <w:rPr>
      <w:kern w:val="2"/>
      <w:sz w:val="26"/>
      <w:szCs w:val="24"/>
    </w:rPr>
  </w:style>
  <w:style w:type="character" w:customStyle="1" w:styleId="146">
    <w:name w:val="副标题 Char1"/>
    <w:qFormat/>
    <w:uiPriority w:val="0"/>
    <w:rPr>
      <w:szCs w:val="24"/>
      <w:u w:val="single"/>
      <w:lang w:eastAsia="en-US"/>
    </w:rPr>
  </w:style>
  <w:style w:type="character" w:customStyle="1" w:styleId="147">
    <w:name w:val="标题 Char1"/>
    <w:qFormat/>
    <w:uiPriority w:val="10"/>
    <w:rPr>
      <w:szCs w:val="24"/>
      <w:u w:val="single"/>
      <w:lang w:eastAsia="en-US"/>
    </w:rPr>
  </w:style>
  <w:style w:type="character" w:customStyle="1" w:styleId="148">
    <w:name w:val="Char Char24"/>
    <w:qFormat/>
    <w:uiPriority w:val="0"/>
    <w:rPr>
      <w:b/>
      <w:bCs/>
      <w:kern w:val="44"/>
      <w:sz w:val="44"/>
      <w:szCs w:val="44"/>
    </w:rPr>
  </w:style>
  <w:style w:type="character" w:customStyle="1" w:styleId="149">
    <w:name w:val="批注主题 Char"/>
    <w:qFormat/>
    <w:uiPriority w:val="0"/>
    <w:rPr>
      <w:rFonts w:ascii="宋体" w:hAnsi="宋体" w:eastAsia="宋体"/>
      <w:kern w:val="2"/>
      <w:sz w:val="24"/>
      <w:szCs w:val="28"/>
      <w:lang w:val="en-US" w:eastAsia="zh-CN" w:bidi="ar-SA"/>
    </w:rPr>
  </w:style>
  <w:style w:type="character" w:customStyle="1" w:styleId="150">
    <w:name w:val="引用 Char1"/>
    <w:link w:val="81"/>
    <w:qFormat/>
    <w:uiPriority w:val="29"/>
    <w:rPr>
      <w:i/>
      <w:iCs/>
      <w:color w:val="000000"/>
      <w:kern w:val="2"/>
      <w:sz w:val="21"/>
    </w:rPr>
  </w:style>
  <w:style w:type="character" w:customStyle="1" w:styleId="151">
    <w:name w:val="Char Char23"/>
    <w:qFormat/>
    <w:uiPriority w:val="0"/>
    <w:rPr>
      <w:rFonts w:ascii="Cambria" w:hAnsi="Cambria" w:eastAsia="宋体" w:cs="Times New Roman"/>
      <w:b/>
      <w:bCs/>
      <w:kern w:val="2"/>
      <w:sz w:val="32"/>
      <w:szCs w:val="32"/>
    </w:rPr>
  </w:style>
  <w:style w:type="character" w:customStyle="1" w:styleId="152">
    <w:name w:val="ITTHEADER2 Char"/>
    <w:qFormat/>
    <w:uiPriority w:val="0"/>
    <w:rPr>
      <w:rFonts w:ascii="仿宋_GB2312" w:eastAsia="仿宋_GB2312" w:cs="MingLiU"/>
      <w:b/>
      <w:spacing w:val="1"/>
      <w:w w:val="99"/>
      <w:sz w:val="28"/>
      <w:szCs w:val="32"/>
      <w:lang w:val="en-US" w:eastAsia="zh-CN" w:bidi="ar-SA"/>
    </w:rPr>
  </w:style>
  <w:style w:type="character" w:customStyle="1" w:styleId="153">
    <w:name w:val="标题 9 Char1"/>
    <w:qFormat/>
    <w:uiPriority w:val="0"/>
    <w:rPr>
      <w:rFonts w:ascii="Times New Roman" w:hAnsi="Times New Roman" w:eastAsia="仿宋_GB2312" w:cs="Times New Roman"/>
      <w:sz w:val="30"/>
      <w:szCs w:val="20"/>
    </w:rPr>
  </w:style>
  <w:style w:type="character" w:customStyle="1" w:styleId="154">
    <w:name w:val="正文文本 Char1"/>
    <w:qFormat/>
    <w:uiPriority w:val="0"/>
    <w:rPr>
      <w:kern w:val="2"/>
      <w:sz w:val="21"/>
      <w:szCs w:val="22"/>
    </w:rPr>
  </w:style>
  <w:style w:type="character" w:customStyle="1" w:styleId="155">
    <w:name w:val="引用 Char2"/>
    <w:qFormat/>
    <w:uiPriority w:val="99"/>
    <w:rPr>
      <w:i/>
      <w:iCs/>
      <w:color w:val="000000"/>
      <w:kern w:val="2"/>
      <w:sz w:val="21"/>
      <w:szCs w:val="24"/>
    </w:rPr>
  </w:style>
  <w:style w:type="character" w:customStyle="1" w:styleId="156">
    <w:name w:val="正文文本 Char3"/>
    <w:qFormat/>
    <w:uiPriority w:val="99"/>
    <w:rPr>
      <w:rFonts w:ascii="Calibri" w:hAnsi="Calibri" w:eastAsia="宋体" w:cs="Times New Roman"/>
      <w:szCs w:val="24"/>
    </w:rPr>
  </w:style>
  <w:style w:type="character" w:customStyle="1" w:styleId="157">
    <w:name w:val="日期 字符"/>
    <w:link w:val="25"/>
    <w:qFormat/>
    <w:uiPriority w:val="0"/>
    <w:rPr>
      <w:rFonts w:eastAsia="宋体"/>
      <w:kern w:val="2"/>
      <w:sz w:val="21"/>
      <w:szCs w:val="24"/>
      <w:lang w:val="en-US" w:eastAsia="zh-CN" w:bidi="ar-SA"/>
    </w:rPr>
  </w:style>
  <w:style w:type="character" w:customStyle="1" w:styleId="158">
    <w:name w:val="标题 2 Char"/>
    <w:qFormat/>
    <w:uiPriority w:val="0"/>
    <w:rPr>
      <w:rFonts w:ascii="仿宋_GB2312" w:hAnsi="Calibri" w:eastAsia="仿宋_GB2312" w:cs="Times New Roman"/>
      <w:b/>
      <w:spacing w:val="1"/>
      <w:w w:val="99"/>
      <w:kern w:val="0"/>
      <w:sz w:val="28"/>
      <w:szCs w:val="32"/>
    </w:rPr>
  </w:style>
  <w:style w:type="character" w:customStyle="1" w:styleId="159">
    <w:name w:val="标题 7 Char"/>
    <w:qFormat/>
    <w:uiPriority w:val="0"/>
    <w:rPr>
      <w:rFonts w:ascii="Calibri" w:hAnsi="Calibri" w:eastAsia="宋体" w:cs="Times New Roman"/>
      <w:b/>
      <w:bCs/>
      <w:sz w:val="24"/>
      <w:szCs w:val="24"/>
    </w:rPr>
  </w:style>
  <w:style w:type="character" w:customStyle="1" w:styleId="160">
    <w:name w:val="批注框文本 Char1"/>
    <w:qFormat/>
    <w:uiPriority w:val="0"/>
    <w:rPr>
      <w:kern w:val="2"/>
      <w:sz w:val="18"/>
      <w:szCs w:val="18"/>
    </w:rPr>
  </w:style>
  <w:style w:type="character" w:customStyle="1" w:styleId="161">
    <w:name w:val="日期 Char1"/>
    <w:qFormat/>
    <w:uiPriority w:val="0"/>
    <w:rPr>
      <w:kern w:val="2"/>
      <w:sz w:val="21"/>
      <w:szCs w:val="22"/>
    </w:rPr>
  </w:style>
  <w:style w:type="character" w:customStyle="1" w:styleId="162">
    <w:name w:val="_Style 171"/>
    <w:qFormat/>
    <w:uiPriority w:val="0"/>
    <w:rPr>
      <w:b/>
      <w:bCs/>
      <w:i/>
      <w:iCs/>
      <w:color w:val="4F81BD"/>
    </w:rPr>
  </w:style>
  <w:style w:type="character" w:customStyle="1" w:styleId="163">
    <w:name w:val="Char Char22"/>
    <w:qFormat/>
    <w:uiPriority w:val="0"/>
    <w:rPr>
      <w:b/>
      <w:bCs/>
      <w:kern w:val="2"/>
      <w:sz w:val="32"/>
      <w:szCs w:val="32"/>
    </w:rPr>
  </w:style>
  <w:style w:type="character" w:customStyle="1" w:styleId="164">
    <w:name w:val="标题 6 Char1"/>
    <w:qFormat/>
    <w:uiPriority w:val="0"/>
    <w:rPr>
      <w:rFonts w:ascii="Times New Roman" w:hAnsi="Arial" w:eastAsia="仿宋_GB2312" w:cs="Times New Roman"/>
      <w:sz w:val="30"/>
      <w:szCs w:val="20"/>
    </w:rPr>
  </w:style>
  <w:style w:type="character" w:customStyle="1" w:styleId="165">
    <w:name w:val="标题5 Char Char"/>
    <w:link w:val="116"/>
    <w:qFormat/>
    <w:uiPriority w:val="0"/>
    <w:rPr>
      <w:rFonts w:ascii="Arial" w:hAnsi="Arial"/>
      <w:b/>
      <w:bCs/>
      <w:sz w:val="24"/>
      <w:szCs w:val="32"/>
      <w:lang w:bidi="ar-SA"/>
    </w:rPr>
  </w:style>
  <w:style w:type="character" w:customStyle="1" w:styleId="166">
    <w:name w:val="正文文本缩进 Char1"/>
    <w:qFormat/>
    <w:uiPriority w:val="0"/>
    <w:rPr>
      <w:kern w:val="2"/>
      <w:sz w:val="21"/>
      <w:szCs w:val="24"/>
    </w:rPr>
  </w:style>
  <w:style w:type="character" w:customStyle="1" w:styleId="167">
    <w:name w:val="标题 4 Char1"/>
    <w:qFormat/>
    <w:uiPriority w:val="0"/>
    <w:rPr>
      <w:rFonts w:ascii="宋体" w:hAnsi="宋体" w:eastAsia="宋体" w:cs="宋体"/>
      <w:b/>
      <w:bCs/>
      <w:sz w:val="24"/>
      <w:szCs w:val="24"/>
    </w:rPr>
  </w:style>
  <w:style w:type="character" w:customStyle="1" w:styleId="168">
    <w:name w:val="尾注文本 Char"/>
    <w:qFormat/>
    <w:uiPriority w:val="0"/>
    <w:rPr>
      <w:kern w:val="2"/>
      <w:sz w:val="21"/>
      <w:szCs w:val="24"/>
    </w:rPr>
  </w:style>
  <w:style w:type="character" w:customStyle="1" w:styleId="169">
    <w:name w:val="HTML 预设格式 字符"/>
    <w:link w:val="40"/>
    <w:qFormat/>
    <w:uiPriority w:val="0"/>
    <w:rPr>
      <w:rFonts w:ascii="宋体" w:hAnsi="宋体" w:eastAsia="宋体" w:cs="宋体"/>
      <w:color w:val="000000"/>
      <w:sz w:val="24"/>
      <w:szCs w:val="24"/>
      <w:lang w:val="en-US" w:eastAsia="zh-CN" w:bidi="ar-SA"/>
    </w:rPr>
  </w:style>
  <w:style w:type="character" w:customStyle="1" w:styleId="170">
    <w:name w:val="尾注文本 Char2"/>
    <w:qFormat/>
    <w:uiPriority w:val="99"/>
    <w:rPr>
      <w:rFonts w:ascii="Calibri" w:hAnsi="Calibri" w:eastAsia="宋体" w:cs="Times New Roman"/>
      <w:szCs w:val="24"/>
    </w:rPr>
  </w:style>
  <w:style w:type="character" w:customStyle="1" w:styleId="171">
    <w:name w:val="明显强调1"/>
    <w:qFormat/>
    <w:uiPriority w:val="0"/>
    <w:rPr>
      <w:b/>
      <w:bCs/>
      <w:i/>
      <w:iCs/>
      <w:color w:val="4F81BD"/>
    </w:rPr>
  </w:style>
  <w:style w:type="character" w:customStyle="1" w:styleId="172">
    <w:name w:val="正文文本 Char"/>
    <w:qFormat/>
    <w:uiPriority w:val="0"/>
    <w:rPr>
      <w:sz w:val="26"/>
      <w:szCs w:val="24"/>
    </w:rPr>
  </w:style>
  <w:style w:type="character" w:customStyle="1" w:styleId="173">
    <w:name w:val="脚注文本 Char2"/>
    <w:qFormat/>
    <w:uiPriority w:val="99"/>
    <w:rPr>
      <w:rFonts w:ascii="Calibri" w:hAnsi="Calibri" w:eastAsia="宋体" w:cs="Times New Roman"/>
      <w:sz w:val="18"/>
      <w:szCs w:val="18"/>
    </w:rPr>
  </w:style>
  <w:style w:type="character" w:customStyle="1" w:styleId="174">
    <w:name w:val="正文文本 2 Char1"/>
    <w:qFormat/>
    <w:uiPriority w:val="99"/>
    <w:rPr>
      <w:rFonts w:ascii="Calibri" w:hAnsi="Calibri" w:eastAsia="宋体" w:cs="Times New Roman"/>
      <w:szCs w:val="24"/>
    </w:rPr>
  </w:style>
  <w:style w:type="character" w:customStyle="1" w:styleId="175">
    <w:name w:val="_Style 248"/>
    <w:qFormat/>
    <w:uiPriority w:val="0"/>
    <w:rPr>
      <w:b/>
      <w:bCs/>
      <w:smallCaps/>
      <w:spacing w:val="5"/>
    </w:rPr>
  </w:style>
  <w:style w:type="character" w:customStyle="1" w:styleId="176">
    <w:name w:val="明显引用 Char3"/>
    <w:qFormat/>
    <w:uiPriority w:val="30"/>
    <w:rPr>
      <w:rFonts w:ascii="Calibri" w:hAnsi="Calibri" w:eastAsia="宋体" w:cs="Times New Roman"/>
      <w:b/>
      <w:bCs/>
      <w:i/>
      <w:iCs/>
      <w:color w:val="4F81BD"/>
      <w:szCs w:val="24"/>
    </w:rPr>
  </w:style>
  <w:style w:type="character" w:customStyle="1" w:styleId="177">
    <w:name w:val="_Style 254"/>
    <w:qFormat/>
    <w:uiPriority w:val="0"/>
    <w:rPr>
      <w:b/>
      <w:bCs/>
      <w:smallCaps/>
      <w:color w:val="C0504D"/>
      <w:spacing w:val="5"/>
      <w:u w:val="single"/>
    </w:rPr>
  </w:style>
  <w:style w:type="character" w:customStyle="1" w:styleId="178">
    <w:name w:val="正文文本缩进 Char2"/>
    <w:qFormat/>
    <w:uiPriority w:val="99"/>
    <w:rPr>
      <w:rFonts w:ascii="Calibri" w:hAnsi="Calibri" w:eastAsia="宋体" w:cs="Times New Roman"/>
      <w:szCs w:val="24"/>
    </w:rPr>
  </w:style>
  <w:style w:type="character" w:customStyle="1" w:styleId="179">
    <w:name w:val="标题 4 字符"/>
    <w:link w:val="6"/>
    <w:qFormat/>
    <w:uiPriority w:val="0"/>
    <w:rPr>
      <w:rFonts w:ascii="宋体" w:hAnsi="宋体" w:eastAsia="宋体" w:cs="宋体"/>
      <w:b/>
      <w:bCs/>
      <w:sz w:val="24"/>
      <w:szCs w:val="24"/>
      <w:lang w:val="en-US" w:eastAsia="zh-CN" w:bidi="ar-SA"/>
    </w:rPr>
  </w:style>
  <w:style w:type="character" w:customStyle="1" w:styleId="180">
    <w:name w:val="正文文本缩进 3 Char"/>
    <w:qFormat/>
    <w:uiPriority w:val="0"/>
    <w:rPr>
      <w:kern w:val="2"/>
      <w:sz w:val="16"/>
      <w:szCs w:val="16"/>
    </w:rPr>
  </w:style>
  <w:style w:type="character" w:customStyle="1" w:styleId="181">
    <w:name w:val="尾注文本 字符"/>
    <w:link w:val="27"/>
    <w:qFormat/>
    <w:uiPriority w:val="0"/>
    <w:rPr>
      <w:rFonts w:ascii="Arial" w:hAnsi="Arial" w:eastAsia="宋体" w:cs="Arial"/>
      <w:szCs w:val="24"/>
      <w:lang w:val="en-US" w:eastAsia="en-US" w:bidi="ar-SA"/>
    </w:rPr>
  </w:style>
  <w:style w:type="character" w:customStyle="1" w:styleId="182">
    <w:name w:val="引用 Char3"/>
    <w:qFormat/>
    <w:uiPriority w:val="29"/>
    <w:rPr>
      <w:rFonts w:ascii="Calibri" w:hAnsi="Calibri" w:eastAsia="宋体" w:cs="Times New Roman"/>
      <w:i/>
      <w:iCs/>
      <w:color w:val="000000"/>
      <w:szCs w:val="24"/>
    </w:rPr>
  </w:style>
  <w:style w:type="character" w:customStyle="1" w:styleId="183">
    <w:name w:val="Char Char32"/>
    <w:qFormat/>
    <w:uiPriority w:val="0"/>
    <w:rPr>
      <w:rFonts w:ascii="仿宋_GB2312" w:eastAsia="仿宋_GB2312" w:cs="MingLiU"/>
      <w:b/>
      <w:spacing w:val="1"/>
      <w:w w:val="99"/>
      <w:sz w:val="28"/>
      <w:szCs w:val="32"/>
    </w:rPr>
  </w:style>
  <w:style w:type="character" w:customStyle="1" w:styleId="184">
    <w:name w:val="日期 Char"/>
    <w:qFormat/>
    <w:uiPriority w:val="0"/>
    <w:rPr>
      <w:rFonts w:eastAsia="宋体"/>
      <w:szCs w:val="24"/>
    </w:rPr>
  </w:style>
  <w:style w:type="character" w:customStyle="1" w:styleId="185">
    <w:name w:val="页脚 Char"/>
    <w:qFormat/>
    <w:uiPriority w:val="0"/>
    <w:rPr>
      <w:sz w:val="18"/>
      <w:szCs w:val="18"/>
    </w:rPr>
  </w:style>
  <w:style w:type="character" w:customStyle="1" w:styleId="186">
    <w:name w:val="style121"/>
    <w:qFormat/>
    <w:uiPriority w:val="0"/>
    <w:rPr>
      <w:rFonts w:hint="eastAsia" w:ascii="宋体" w:hAnsi="宋体" w:eastAsia="宋体"/>
      <w:sz w:val="18"/>
      <w:szCs w:val="18"/>
    </w:rPr>
  </w:style>
  <w:style w:type="character" w:customStyle="1" w:styleId="187">
    <w:name w:val="ss16"/>
    <w:qFormat/>
    <w:uiPriority w:val="0"/>
    <w:rPr>
      <w:rFonts w:hint="eastAsia" w:ascii="宋体" w:hAnsi="宋体" w:eastAsia="宋体"/>
      <w:color w:val="000000"/>
      <w:sz w:val="9"/>
      <w:szCs w:val="9"/>
    </w:rPr>
  </w:style>
  <w:style w:type="character" w:customStyle="1" w:styleId="188">
    <w:name w:val="textcontents"/>
    <w:qFormat/>
    <w:uiPriority w:val="0"/>
    <w:rPr>
      <w:rFonts w:cs="Times New Roman"/>
    </w:rPr>
  </w:style>
  <w:style w:type="character" w:customStyle="1" w:styleId="189">
    <w:name w:val="14t1"/>
    <w:qFormat/>
    <w:uiPriority w:val="0"/>
    <w:rPr>
      <w:rFonts w:hint="eastAsia" w:ascii="宋体" w:hAnsi="宋体" w:eastAsia="宋体"/>
      <w:sz w:val="11"/>
      <w:szCs w:val="11"/>
    </w:rPr>
  </w:style>
  <w:style w:type="character" w:customStyle="1" w:styleId="190">
    <w:name w:val="不明显参考1"/>
    <w:qFormat/>
    <w:uiPriority w:val="0"/>
    <w:rPr>
      <w:smallCaps/>
      <w:color w:val="C0504D"/>
      <w:u w:val="single"/>
    </w:rPr>
  </w:style>
  <w:style w:type="character" w:customStyle="1" w:styleId="191">
    <w:name w:val="unnamed1"/>
    <w:basedOn w:val="47"/>
    <w:qFormat/>
    <w:uiPriority w:val="0"/>
  </w:style>
  <w:style w:type="character" w:customStyle="1" w:styleId="192">
    <w:name w:val="批注主题 Char3"/>
    <w:qFormat/>
    <w:uiPriority w:val="99"/>
    <w:rPr>
      <w:rFonts w:ascii="Calibri" w:hAnsi="Calibri" w:eastAsia="宋体" w:cs="Times New Roman"/>
      <w:b/>
      <w:bCs/>
      <w:szCs w:val="24"/>
    </w:rPr>
  </w:style>
  <w:style w:type="character" w:customStyle="1" w:styleId="193">
    <w:name w:val="标题 3 字符"/>
    <w:link w:val="5"/>
    <w:qFormat/>
    <w:uiPriority w:val="0"/>
    <w:rPr>
      <w:rFonts w:eastAsia="宋体"/>
      <w:b/>
      <w:bCs/>
      <w:kern w:val="2"/>
      <w:sz w:val="32"/>
      <w:szCs w:val="32"/>
      <w:lang w:val="en-US" w:eastAsia="zh-CN" w:bidi="ar-SA"/>
    </w:rPr>
  </w:style>
  <w:style w:type="character" w:customStyle="1" w:styleId="194">
    <w:name w:val="标题 2 字符"/>
    <w:link w:val="4"/>
    <w:qFormat/>
    <w:uiPriority w:val="0"/>
    <w:rPr>
      <w:rFonts w:ascii="Cambria" w:hAnsi="Cambria" w:eastAsia="宋体"/>
      <w:b/>
      <w:bCs/>
      <w:kern w:val="2"/>
      <w:sz w:val="32"/>
      <w:szCs w:val="32"/>
      <w:lang w:val="en-US" w:eastAsia="zh-CN" w:bidi="ar-SA"/>
    </w:rPr>
  </w:style>
  <w:style w:type="character" w:customStyle="1" w:styleId="195">
    <w:name w:val="标题 6 字符"/>
    <w:link w:val="8"/>
    <w:qFormat/>
    <w:uiPriority w:val="0"/>
    <w:rPr>
      <w:rFonts w:hAnsi="Arial" w:eastAsia="仿宋_GB2312"/>
      <w:sz w:val="30"/>
      <w:lang w:val="en-US" w:eastAsia="zh-CN" w:bidi="ar-SA"/>
    </w:rPr>
  </w:style>
  <w:style w:type="character" w:customStyle="1" w:styleId="196">
    <w:name w:val="页脚 字符"/>
    <w:link w:val="29"/>
    <w:qFormat/>
    <w:uiPriority w:val="0"/>
    <w:rPr>
      <w:rFonts w:eastAsia="宋体"/>
      <w:kern w:val="2"/>
      <w:sz w:val="18"/>
      <w:szCs w:val="18"/>
      <w:lang w:val="en-US" w:eastAsia="zh-CN" w:bidi="ar-SA"/>
    </w:rPr>
  </w:style>
  <w:style w:type="character" w:customStyle="1" w:styleId="197">
    <w:name w:val="引用 Char4"/>
    <w:link w:val="102"/>
    <w:qFormat/>
    <w:uiPriority w:val="0"/>
    <w:rPr>
      <w:i/>
      <w:iCs/>
      <w:color w:val="000000"/>
      <w:kern w:val="2"/>
      <w:sz w:val="21"/>
      <w:szCs w:val="22"/>
      <w:lang w:bidi="ar-SA"/>
    </w:rPr>
  </w:style>
  <w:style w:type="character" w:customStyle="1" w:styleId="198">
    <w:name w:val="标题 9 字符"/>
    <w:link w:val="12"/>
    <w:qFormat/>
    <w:uiPriority w:val="0"/>
    <w:rPr>
      <w:rFonts w:eastAsia="仿宋_GB2312"/>
      <w:sz w:val="30"/>
      <w:lang w:val="en-US" w:eastAsia="zh-CN" w:bidi="ar-SA"/>
    </w:rPr>
  </w:style>
  <w:style w:type="character" w:customStyle="1" w:styleId="199">
    <w:name w:val="标题 3 Char"/>
    <w:qFormat/>
    <w:uiPriority w:val="0"/>
    <w:rPr>
      <w:rFonts w:ascii="仿宋_GB2312" w:hAnsi="Calibri" w:eastAsia="仿宋_GB2312" w:cs="Times New Roman"/>
      <w:b/>
      <w:kern w:val="0"/>
      <w:sz w:val="24"/>
      <w:szCs w:val="28"/>
    </w:rPr>
  </w:style>
  <w:style w:type="character" w:customStyle="1" w:styleId="200">
    <w:name w:val="批注文字 Char2"/>
    <w:qFormat/>
    <w:uiPriority w:val="0"/>
    <w:rPr>
      <w:rFonts w:ascii="Calibri" w:hAnsi="Calibri" w:eastAsia="宋体" w:cs="Times New Roman"/>
      <w:szCs w:val="24"/>
    </w:rPr>
  </w:style>
  <w:style w:type="character" w:customStyle="1" w:styleId="201">
    <w:name w:val="normaltext1"/>
    <w:qFormat/>
    <w:uiPriority w:val="0"/>
    <w:rPr>
      <w:rFonts w:hint="default" w:ascii="ˎ̥" w:hAnsi="ˎ̥"/>
      <w:sz w:val="9"/>
      <w:szCs w:val="9"/>
    </w:rPr>
  </w:style>
  <w:style w:type="character" w:customStyle="1" w:styleId="202">
    <w:name w:val="ca-141"/>
    <w:qFormat/>
    <w:uiPriority w:val="0"/>
    <w:rPr>
      <w:rFonts w:hint="eastAsia" w:ascii="仿宋_GB2312" w:eastAsia="仿宋_GB2312"/>
      <w:sz w:val="21"/>
      <w:szCs w:val="21"/>
    </w:rPr>
  </w:style>
  <w:style w:type="character" w:customStyle="1" w:styleId="203">
    <w:name w:val="main_tdbg_7601"/>
    <w:qFormat/>
    <w:uiPriority w:val="0"/>
    <w:rPr>
      <w:sz w:val="14"/>
      <w:szCs w:val="14"/>
    </w:rPr>
  </w:style>
  <w:style w:type="character" w:customStyle="1" w:styleId="204">
    <w:name w:val="文档结构图 字符"/>
    <w:link w:val="15"/>
    <w:qFormat/>
    <w:uiPriority w:val="0"/>
    <w:rPr>
      <w:rFonts w:eastAsia="宋体"/>
      <w:kern w:val="2"/>
      <w:sz w:val="21"/>
      <w:szCs w:val="24"/>
      <w:lang w:val="en-US" w:eastAsia="zh-CN" w:bidi="ar-SA"/>
    </w:rPr>
  </w:style>
  <w:style w:type="character" w:customStyle="1" w:styleId="205">
    <w:name w:val="批注框文本 Char3"/>
    <w:qFormat/>
    <w:uiPriority w:val="99"/>
    <w:rPr>
      <w:rFonts w:ascii="Calibri" w:hAnsi="Calibri" w:eastAsia="宋体" w:cs="Times New Roman"/>
      <w:sz w:val="18"/>
      <w:szCs w:val="18"/>
    </w:rPr>
  </w:style>
  <w:style w:type="character" w:customStyle="1" w:styleId="206">
    <w:name w:val="Char Char9"/>
    <w:qFormat/>
    <w:uiPriority w:val="0"/>
    <w:rPr>
      <w:rFonts w:ascii="仿宋_GB2312" w:eastAsia="仿宋_GB2312" w:cs="MingLiU"/>
      <w:b/>
      <w:sz w:val="24"/>
      <w:szCs w:val="28"/>
      <w:lang w:val="en-US" w:eastAsia="zh-CN" w:bidi="ar-SA"/>
    </w:rPr>
  </w:style>
  <w:style w:type="character" w:customStyle="1" w:styleId="207">
    <w:name w:val="title11"/>
    <w:qFormat/>
    <w:uiPriority w:val="0"/>
    <w:rPr>
      <w:b/>
      <w:bCs/>
      <w:color w:val="FFFFFF"/>
      <w:sz w:val="11"/>
      <w:szCs w:val="11"/>
    </w:rPr>
  </w:style>
  <w:style w:type="character" w:customStyle="1" w:styleId="208">
    <w:name w:val="批注框文本 字符"/>
    <w:link w:val="28"/>
    <w:qFormat/>
    <w:uiPriority w:val="0"/>
    <w:rPr>
      <w:rFonts w:eastAsia="宋体"/>
      <w:kern w:val="2"/>
      <w:sz w:val="18"/>
      <w:szCs w:val="18"/>
      <w:lang w:val="en-US" w:eastAsia="zh-CN" w:bidi="ar-SA"/>
    </w:rPr>
  </w:style>
  <w:style w:type="character" w:customStyle="1" w:styleId="209">
    <w:name w:val="标题 8 Char1"/>
    <w:qFormat/>
    <w:uiPriority w:val="0"/>
    <w:rPr>
      <w:rFonts w:ascii="Times New Roman" w:hAnsi="Arial" w:eastAsia="仿宋_GB2312" w:cs="Times New Roman"/>
      <w:sz w:val="30"/>
      <w:szCs w:val="20"/>
    </w:rPr>
  </w:style>
  <w:style w:type="character" w:customStyle="1" w:styleId="210">
    <w:name w:val="标题 Char2"/>
    <w:qFormat/>
    <w:uiPriority w:val="10"/>
    <w:rPr>
      <w:rFonts w:ascii="Cambria" w:hAnsi="Cambria" w:eastAsia="宋体" w:cs="Times New Roman"/>
      <w:b/>
      <w:bCs/>
      <w:sz w:val="32"/>
      <w:szCs w:val="32"/>
    </w:rPr>
  </w:style>
  <w:style w:type="character" w:customStyle="1" w:styleId="211">
    <w:name w:val="标题 字符"/>
    <w:link w:val="43"/>
    <w:qFormat/>
    <w:uiPriority w:val="0"/>
    <w:rPr>
      <w:rFonts w:eastAsia="宋体"/>
      <w:szCs w:val="24"/>
      <w:u w:val="single"/>
      <w:lang w:val="en-US" w:eastAsia="en-US" w:bidi="ar-SA"/>
    </w:rPr>
  </w:style>
  <w:style w:type="character" w:customStyle="1" w:styleId="212">
    <w:name w:val="批注主题 Char1"/>
    <w:qFormat/>
    <w:uiPriority w:val="0"/>
    <w:rPr>
      <w:b/>
      <w:bCs/>
      <w:kern w:val="2"/>
      <w:sz w:val="21"/>
      <w:szCs w:val="22"/>
    </w:rPr>
  </w:style>
  <w:style w:type="character" w:customStyle="1" w:styleId="213">
    <w:name w:val="副标题 Char"/>
    <w:qFormat/>
    <w:uiPriority w:val="0"/>
    <w:rPr>
      <w:rFonts w:ascii="Cambria" w:hAnsi="Cambria" w:eastAsia="宋体" w:cs="Times New Roman"/>
      <w:b/>
      <w:bCs/>
      <w:kern w:val="28"/>
      <w:sz w:val="32"/>
      <w:szCs w:val="32"/>
    </w:rPr>
  </w:style>
  <w:style w:type="character" w:customStyle="1" w:styleId="214">
    <w:name w:val="正文文本 字符"/>
    <w:link w:val="2"/>
    <w:qFormat/>
    <w:uiPriority w:val="0"/>
    <w:rPr>
      <w:rFonts w:eastAsia="宋体"/>
      <w:kern w:val="2"/>
      <w:sz w:val="21"/>
      <w:szCs w:val="24"/>
      <w:lang w:val="en-US" w:eastAsia="zh-CN" w:bidi="ar-SA"/>
    </w:rPr>
  </w:style>
  <w:style w:type="character" w:customStyle="1" w:styleId="215">
    <w:name w:val="纯文本 Char1"/>
    <w:qFormat/>
    <w:uiPriority w:val="0"/>
    <w:rPr>
      <w:rFonts w:ascii="宋体" w:hAnsi="Courier New" w:cs="Courier New"/>
      <w:kern w:val="2"/>
      <w:sz w:val="21"/>
      <w:szCs w:val="21"/>
    </w:rPr>
  </w:style>
  <w:style w:type="character" w:customStyle="1" w:styleId="216">
    <w:name w:val="脚注文本 字符"/>
    <w:link w:val="34"/>
    <w:qFormat/>
    <w:uiPriority w:val="0"/>
    <w:rPr>
      <w:rFonts w:ascii="Arial" w:hAnsi="Arial" w:eastAsia="宋体" w:cs="Arial"/>
      <w:sz w:val="18"/>
      <w:szCs w:val="18"/>
      <w:lang w:val="en-US" w:eastAsia="en-US" w:bidi="ar-SA"/>
    </w:rPr>
  </w:style>
  <w:style w:type="character" w:customStyle="1" w:styleId="217">
    <w:name w:val="标题 2 Char1"/>
    <w:qFormat/>
    <w:uiPriority w:val="0"/>
    <w:rPr>
      <w:rFonts w:ascii="Cambria" w:hAnsi="Cambria" w:eastAsia="宋体" w:cs="Times New Roman"/>
      <w:b/>
      <w:bCs/>
      <w:kern w:val="2"/>
      <w:sz w:val="32"/>
      <w:szCs w:val="32"/>
    </w:rPr>
  </w:style>
  <w:style w:type="character" w:customStyle="1" w:styleId="218">
    <w:name w:val="脚注文本 Char1"/>
    <w:qFormat/>
    <w:uiPriority w:val="0"/>
    <w:rPr>
      <w:rFonts w:ascii="Arial" w:hAnsi="Arial" w:cs="Arial"/>
      <w:sz w:val="18"/>
      <w:szCs w:val="18"/>
      <w:lang w:eastAsia="en-US"/>
    </w:rPr>
  </w:style>
  <w:style w:type="character" w:customStyle="1" w:styleId="219">
    <w:name w:val="HTML 预设格式 Char2"/>
    <w:qFormat/>
    <w:uiPriority w:val="99"/>
    <w:rPr>
      <w:rFonts w:ascii="Courier New" w:hAnsi="Courier New" w:eastAsia="宋体" w:cs="Courier New"/>
      <w:sz w:val="20"/>
      <w:szCs w:val="20"/>
    </w:rPr>
  </w:style>
  <w:style w:type="character" w:customStyle="1" w:styleId="220">
    <w:name w:val="标题 8 Char"/>
    <w:qFormat/>
    <w:uiPriority w:val="0"/>
    <w:rPr>
      <w:rFonts w:ascii="Arial" w:hAnsi="Arial" w:eastAsia="黑体" w:cs="Times New Roman"/>
      <w:sz w:val="24"/>
      <w:szCs w:val="24"/>
    </w:rPr>
  </w:style>
  <w:style w:type="character" w:customStyle="1" w:styleId="221">
    <w:name w:val="s3"/>
    <w:qFormat/>
    <w:uiPriority w:val="0"/>
  </w:style>
  <w:style w:type="character" w:customStyle="1" w:styleId="222">
    <w:name w:val="标题 4 Char"/>
    <w:qFormat/>
    <w:uiPriority w:val="0"/>
    <w:rPr>
      <w:rFonts w:ascii="仿宋_GB2312" w:hAnsi="Calibri" w:eastAsia="仿宋_GB2312" w:cs="Times New Roman"/>
      <w:b/>
      <w:kern w:val="0"/>
      <w:sz w:val="24"/>
      <w:szCs w:val="28"/>
    </w:rPr>
  </w:style>
  <w:style w:type="character" w:customStyle="1" w:styleId="223">
    <w:name w:val="正文文本缩进 2 Char"/>
    <w:qFormat/>
    <w:uiPriority w:val="0"/>
    <w:rPr>
      <w:kern w:val="2"/>
      <w:sz w:val="21"/>
      <w:szCs w:val="24"/>
    </w:rPr>
  </w:style>
  <w:style w:type="character" w:customStyle="1" w:styleId="224">
    <w:name w:val="style21"/>
    <w:qFormat/>
    <w:uiPriority w:val="0"/>
    <w:rPr>
      <w:b/>
      <w:bCs/>
      <w:sz w:val="28"/>
      <w:szCs w:val="28"/>
    </w:rPr>
  </w:style>
  <w:style w:type="character" w:customStyle="1" w:styleId="225">
    <w:name w:val="正文文本缩进 2 Char2"/>
    <w:qFormat/>
    <w:uiPriority w:val="99"/>
    <w:rPr>
      <w:rFonts w:ascii="Calibri" w:hAnsi="Calibri" w:eastAsia="宋体" w:cs="Times New Roman"/>
      <w:szCs w:val="24"/>
    </w:rPr>
  </w:style>
  <w:style w:type="character" w:customStyle="1" w:styleId="226">
    <w:name w:val="ht1"/>
    <w:qFormat/>
    <w:uiPriority w:val="0"/>
    <w:rPr>
      <w:rFonts w:ascii="黑体" w:eastAsia="黑体"/>
      <w:b/>
      <w:bCs/>
    </w:rPr>
  </w:style>
  <w:style w:type="character" w:customStyle="1" w:styleId="227">
    <w:name w:val="文档结构图 Char3"/>
    <w:qFormat/>
    <w:uiPriority w:val="99"/>
    <w:rPr>
      <w:rFonts w:ascii="宋体" w:hAnsi="Calibri" w:eastAsia="宋体" w:cs="Times New Roman"/>
      <w:sz w:val="18"/>
      <w:szCs w:val="18"/>
    </w:rPr>
  </w:style>
  <w:style w:type="character" w:customStyle="1" w:styleId="228">
    <w:name w:val="书籍标题1"/>
    <w:qFormat/>
    <w:uiPriority w:val="0"/>
    <w:rPr>
      <w:b/>
      <w:bCs/>
      <w:smallCaps/>
      <w:spacing w:val="5"/>
    </w:rPr>
  </w:style>
  <w:style w:type="character" w:customStyle="1" w:styleId="229">
    <w:name w:val="标题 7 Char1"/>
    <w:qFormat/>
    <w:uiPriority w:val="0"/>
    <w:rPr>
      <w:rFonts w:ascii="Times New Roman" w:hAnsi="Times New Roman" w:eastAsia="仿宋_GB2312" w:cs="Times New Roman"/>
      <w:sz w:val="30"/>
      <w:szCs w:val="20"/>
    </w:rPr>
  </w:style>
  <w:style w:type="character" w:customStyle="1" w:styleId="230">
    <w:name w:val="明显引用 Char2"/>
    <w:qFormat/>
    <w:uiPriority w:val="99"/>
    <w:rPr>
      <w:b/>
      <w:bCs/>
      <w:i/>
      <w:iCs/>
      <w:color w:val="4F81BD"/>
      <w:kern w:val="2"/>
      <w:sz w:val="21"/>
      <w:szCs w:val="24"/>
    </w:rPr>
  </w:style>
  <w:style w:type="character" w:customStyle="1" w:styleId="231">
    <w:name w:val="不明显强调1"/>
    <w:qFormat/>
    <w:uiPriority w:val="0"/>
    <w:rPr>
      <w:i/>
      <w:iCs/>
      <w:color w:val="808080"/>
    </w:rPr>
  </w:style>
  <w:style w:type="character" w:customStyle="1" w:styleId="232">
    <w:name w:val="普通文字 Char Char2"/>
    <w:qFormat/>
    <w:uiPriority w:val="0"/>
    <w:rPr>
      <w:rFonts w:ascii="宋体" w:hAnsi="Courier New"/>
      <w:kern w:val="2"/>
      <w:sz w:val="28"/>
      <w:szCs w:val="28"/>
    </w:rPr>
  </w:style>
  <w:style w:type="character" w:customStyle="1" w:styleId="233">
    <w:name w:val="标题 6 Char"/>
    <w:qFormat/>
    <w:uiPriority w:val="0"/>
    <w:rPr>
      <w:rFonts w:ascii="Arial" w:hAnsi="Arial" w:eastAsia="黑体" w:cs="Times New Roman"/>
      <w:b/>
      <w:bCs/>
      <w:sz w:val="24"/>
      <w:szCs w:val="24"/>
    </w:rPr>
  </w:style>
  <w:style w:type="character" w:customStyle="1" w:styleId="234">
    <w:name w:val="l1"/>
    <w:basedOn w:val="47"/>
    <w:qFormat/>
    <w:uiPriority w:val="0"/>
  </w:style>
  <w:style w:type="character" w:customStyle="1" w:styleId="235">
    <w:name w:val="未处理的提及1"/>
    <w:qFormat/>
    <w:uiPriority w:val="99"/>
    <w:rPr>
      <w:color w:val="808080"/>
      <w:shd w:val="clear" w:color="auto" w:fill="E6E6E6"/>
    </w:rPr>
  </w:style>
  <w:style w:type="character" w:customStyle="1" w:styleId="236">
    <w:name w:val="页眉 字符"/>
    <w:link w:val="30"/>
    <w:qFormat/>
    <w:uiPriority w:val="0"/>
    <w:rPr>
      <w:rFonts w:eastAsia="宋体"/>
      <w:kern w:val="2"/>
      <w:sz w:val="18"/>
      <w:szCs w:val="18"/>
      <w:lang w:val="en-US" w:eastAsia="zh-CN" w:bidi="ar-SA"/>
    </w:rPr>
  </w:style>
  <w:style w:type="character" w:customStyle="1" w:styleId="237">
    <w:name w:val="Char Char35"/>
    <w:qFormat/>
    <w:uiPriority w:val="0"/>
    <w:rPr>
      <w:rFonts w:ascii="仿宋_GB2312" w:eastAsia="仿宋_GB2312" w:cs="MingLiU"/>
      <w:b/>
      <w:sz w:val="24"/>
      <w:szCs w:val="28"/>
    </w:rPr>
  </w:style>
  <w:style w:type="character" w:customStyle="1" w:styleId="238">
    <w:name w:val="Char Char11"/>
    <w:qFormat/>
    <w:uiPriority w:val="0"/>
    <w:rPr>
      <w:rFonts w:eastAsia="黑体"/>
      <w:kern w:val="2"/>
      <w:sz w:val="44"/>
      <w:szCs w:val="44"/>
      <w:lang w:val="en-US" w:eastAsia="zh-CN" w:bidi="ar-SA"/>
    </w:rPr>
  </w:style>
  <w:style w:type="character" w:customStyle="1" w:styleId="239">
    <w:name w:val="style31"/>
    <w:qFormat/>
    <w:uiPriority w:val="0"/>
    <w:rPr>
      <w:sz w:val="10"/>
      <w:szCs w:val="10"/>
    </w:rPr>
  </w:style>
  <w:style w:type="character" w:customStyle="1" w:styleId="240">
    <w:name w:val="0d1471"/>
    <w:qFormat/>
    <w:uiPriority w:val="0"/>
    <w:rPr>
      <w:color w:val="000000"/>
      <w:sz w:val="11"/>
      <w:szCs w:val="11"/>
      <w:u w:val="none"/>
    </w:rPr>
  </w:style>
  <w:style w:type="character" w:customStyle="1" w:styleId="241">
    <w:name w:val="标题 9 Char"/>
    <w:qFormat/>
    <w:uiPriority w:val="0"/>
    <w:rPr>
      <w:rFonts w:ascii="Arial" w:hAnsi="Arial" w:eastAsia="黑体" w:cs="Times New Roman"/>
      <w:szCs w:val="21"/>
    </w:rPr>
  </w:style>
  <w:style w:type="character" w:customStyle="1" w:styleId="242">
    <w:name w:val="标题 3 Char1"/>
    <w:qFormat/>
    <w:uiPriority w:val="0"/>
    <w:rPr>
      <w:rFonts w:ascii="Times New Roman" w:hAnsi="Times New Roman" w:eastAsia="宋体" w:cs="Times New Roman"/>
      <w:b/>
      <w:bCs/>
      <w:kern w:val="2"/>
      <w:sz w:val="32"/>
      <w:szCs w:val="32"/>
    </w:rPr>
  </w:style>
  <w:style w:type="character" w:customStyle="1" w:styleId="243">
    <w:name w:val="标题4 Char Char"/>
    <w:link w:val="87"/>
    <w:qFormat/>
    <w:uiPriority w:val="0"/>
    <w:rPr>
      <w:rFonts w:ascii="Arial" w:hAnsi="Arial"/>
      <w:b/>
      <w:bCs/>
      <w:sz w:val="24"/>
      <w:szCs w:val="32"/>
      <w:lang w:bidi="ar-SA"/>
    </w:rPr>
  </w:style>
  <w:style w:type="character" w:customStyle="1" w:styleId="244">
    <w:name w:val="标题 5 Char1"/>
    <w:qFormat/>
    <w:uiPriority w:val="0"/>
    <w:rPr>
      <w:rFonts w:ascii="宋体" w:hAnsi="宋体" w:eastAsia="宋体" w:cs="宋体"/>
      <w:b/>
      <w:bCs/>
      <w:sz w:val="20"/>
      <w:szCs w:val="20"/>
    </w:rPr>
  </w:style>
  <w:style w:type="character" w:customStyle="1" w:styleId="245">
    <w:name w:val="正文文本缩进 3 Char1"/>
    <w:qFormat/>
    <w:uiPriority w:val="0"/>
    <w:rPr>
      <w:rFonts w:ascii="宋体" w:hAnsi="宋体"/>
      <w:kern w:val="2"/>
      <w:sz w:val="28"/>
      <w:szCs w:val="28"/>
    </w:rPr>
  </w:style>
  <w:style w:type="character" w:customStyle="1" w:styleId="246">
    <w:name w:val="Char Char33"/>
    <w:qFormat/>
    <w:uiPriority w:val="0"/>
    <w:rPr>
      <w:rFonts w:ascii="仿宋_GB2312" w:eastAsia="仿宋_GB2312" w:cs="MingLiU"/>
      <w:b/>
      <w:sz w:val="24"/>
      <w:szCs w:val="28"/>
    </w:rPr>
  </w:style>
  <w:style w:type="character" w:customStyle="1" w:styleId="247">
    <w:name w:val="批注文字 Char1"/>
    <w:qFormat/>
    <w:uiPriority w:val="99"/>
    <w:rPr>
      <w:rFonts w:ascii="Times New Roman" w:hAnsi="Times New Roman" w:eastAsia="宋体" w:cs="Times New Roman"/>
      <w:szCs w:val="24"/>
    </w:rPr>
  </w:style>
  <w:style w:type="character" w:customStyle="1" w:styleId="248">
    <w:name w:val="正文文本 3 Char1"/>
    <w:qFormat/>
    <w:uiPriority w:val="0"/>
    <w:rPr>
      <w:kern w:val="2"/>
      <w:sz w:val="16"/>
      <w:szCs w:val="16"/>
    </w:rPr>
  </w:style>
  <w:style w:type="character" w:customStyle="1" w:styleId="249">
    <w:name w:val="页眉 Char"/>
    <w:qFormat/>
    <w:uiPriority w:val="0"/>
    <w:rPr>
      <w:sz w:val="18"/>
      <w:szCs w:val="18"/>
    </w:rPr>
  </w:style>
  <w:style w:type="character" w:customStyle="1" w:styleId="250">
    <w:name w:val="明显引用 Char"/>
    <w:qFormat/>
    <w:uiPriority w:val="0"/>
    <w:rPr>
      <w:rFonts w:ascii="Times New Roman" w:hAnsi="Times New Roman" w:eastAsia="宋体" w:cs="Times New Roman"/>
      <w:b/>
      <w:bCs/>
      <w:i/>
      <w:iCs/>
      <w:color w:val="4F81BD"/>
      <w:kern w:val="2"/>
      <w:sz w:val="21"/>
      <w:szCs w:val="24"/>
    </w:rPr>
  </w:style>
  <w:style w:type="character" w:customStyle="1" w:styleId="251">
    <w:name w:val="color_red1"/>
    <w:qFormat/>
    <w:uiPriority w:val="0"/>
    <w:rPr>
      <w:color w:val="FA0004"/>
    </w:rPr>
  </w:style>
  <w:style w:type="character" w:customStyle="1" w:styleId="252">
    <w:name w:val="批注主题 Char2"/>
    <w:qFormat/>
    <w:uiPriority w:val="99"/>
    <w:rPr>
      <w:b/>
      <w:bCs/>
      <w:kern w:val="2"/>
      <w:sz w:val="21"/>
      <w:szCs w:val="24"/>
    </w:rPr>
  </w:style>
  <w:style w:type="character" w:customStyle="1" w:styleId="253">
    <w:name w:val="Char Char34"/>
    <w:qFormat/>
    <w:uiPriority w:val="0"/>
    <w:rPr>
      <w:rFonts w:ascii="仿宋_GB2312" w:eastAsia="仿宋_GB2312" w:cs="MingLiU"/>
      <w:b/>
      <w:spacing w:val="1"/>
      <w:w w:val="99"/>
      <w:sz w:val="28"/>
      <w:szCs w:val="32"/>
    </w:rPr>
  </w:style>
  <w:style w:type="character" w:customStyle="1" w:styleId="254">
    <w:name w:val="标题 1 Char"/>
    <w:qFormat/>
    <w:uiPriority w:val="0"/>
    <w:rPr>
      <w:rFonts w:ascii="Times New Roman" w:hAnsi="Times New Roman" w:eastAsia="宋体" w:cs="Times New Roman"/>
      <w:b/>
      <w:bCs/>
      <w:kern w:val="44"/>
      <w:sz w:val="44"/>
      <w:szCs w:val="44"/>
    </w:rPr>
  </w:style>
  <w:style w:type="character" w:customStyle="1" w:styleId="255">
    <w:name w:val="docpro"/>
    <w:basedOn w:val="47"/>
    <w:qFormat/>
    <w:uiPriority w:val="0"/>
  </w:style>
  <w:style w:type="character" w:customStyle="1" w:styleId="256">
    <w:name w:val="正文文本 3 Char"/>
    <w:qFormat/>
    <w:uiPriority w:val="0"/>
    <w:rPr>
      <w:kern w:val="2"/>
      <w:sz w:val="16"/>
      <w:szCs w:val="16"/>
    </w:rPr>
  </w:style>
  <w:style w:type="character" w:customStyle="1" w:styleId="257">
    <w:name w:val="标题 5 Char"/>
    <w:qFormat/>
    <w:uiPriority w:val="0"/>
    <w:rPr>
      <w:rFonts w:ascii="Calibri" w:hAnsi="Calibri" w:eastAsia="宋体" w:cs="Times New Roman"/>
      <w:b/>
      <w:bCs/>
      <w:sz w:val="28"/>
      <w:szCs w:val="28"/>
    </w:rPr>
  </w:style>
  <w:style w:type="character" w:customStyle="1" w:styleId="258">
    <w:name w:val="style161"/>
    <w:qFormat/>
    <w:uiPriority w:val="0"/>
    <w:rPr>
      <w:b/>
      <w:bCs/>
      <w:color w:val="333333"/>
    </w:rPr>
  </w:style>
  <w:style w:type="character" w:customStyle="1" w:styleId="259">
    <w:name w:val="文档结构图 Char2"/>
    <w:qFormat/>
    <w:uiPriority w:val="99"/>
    <w:rPr>
      <w:kern w:val="2"/>
      <w:sz w:val="21"/>
      <w:szCs w:val="24"/>
      <w:shd w:val="clear" w:color="auto" w:fill="000080"/>
    </w:rPr>
  </w:style>
  <w:style w:type="character" w:customStyle="1" w:styleId="260">
    <w:name w:val="页脚 Char1"/>
    <w:qFormat/>
    <w:uiPriority w:val="99"/>
    <w:rPr>
      <w:kern w:val="2"/>
      <w:sz w:val="18"/>
      <w:szCs w:val="18"/>
    </w:rPr>
  </w:style>
  <w:style w:type="character" w:customStyle="1" w:styleId="261">
    <w:name w:val="日期 Char2"/>
    <w:qFormat/>
    <w:uiPriority w:val="99"/>
    <w:rPr>
      <w:kern w:val="2"/>
      <w:sz w:val="21"/>
      <w:szCs w:val="24"/>
    </w:rPr>
  </w:style>
  <w:style w:type="character" w:customStyle="1" w:styleId="262">
    <w:name w:val="HTML 预设格式 Char"/>
    <w:qFormat/>
    <w:uiPriority w:val="0"/>
    <w:rPr>
      <w:rFonts w:ascii="宋体" w:hAnsi="宋体" w:eastAsia="宋体" w:cs="宋体"/>
      <w:color w:val="000000"/>
      <w:sz w:val="24"/>
      <w:szCs w:val="24"/>
    </w:rPr>
  </w:style>
  <w:style w:type="character" w:customStyle="1" w:styleId="263">
    <w:name w:val="批注主题 字符"/>
    <w:link w:val="44"/>
    <w:qFormat/>
    <w:uiPriority w:val="0"/>
    <w:rPr>
      <w:rFonts w:eastAsia="宋体"/>
      <w:b/>
      <w:bCs/>
      <w:kern w:val="2"/>
      <w:sz w:val="21"/>
      <w:szCs w:val="24"/>
      <w:lang w:val="en-US" w:eastAsia="zh-CN" w:bidi="ar-SA"/>
    </w:rPr>
  </w:style>
  <w:style w:type="character" w:customStyle="1" w:styleId="264">
    <w:name w:val="正文文本 2 字符"/>
    <w:link w:val="39"/>
    <w:qFormat/>
    <w:uiPriority w:val="0"/>
    <w:rPr>
      <w:i/>
      <w:iCs/>
      <w:kern w:val="2"/>
      <w:sz w:val="26"/>
      <w:szCs w:val="24"/>
    </w:rPr>
  </w:style>
  <w:style w:type="character" w:customStyle="1" w:styleId="265">
    <w:name w:val="批注框文本 Char"/>
    <w:qFormat/>
    <w:uiPriority w:val="0"/>
    <w:rPr>
      <w:sz w:val="18"/>
      <w:szCs w:val="18"/>
    </w:rPr>
  </w:style>
  <w:style w:type="character" w:customStyle="1" w:styleId="266">
    <w:name w:val="文档结构图 Char"/>
    <w:qFormat/>
    <w:uiPriority w:val="0"/>
    <w:rPr>
      <w:rFonts w:ascii="宋体"/>
      <w:kern w:val="2"/>
      <w:sz w:val="18"/>
      <w:szCs w:val="18"/>
    </w:rPr>
  </w:style>
  <w:style w:type="character" w:customStyle="1" w:styleId="267">
    <w:name w:val="标题 8 字符"/>
    <w:link w:val="11"/>
    <w:qFormat/>
    <w:uiPriority w:val="0"/>
    <w:rPr>
      <w:rFonts w:hAnsi="Arial" w:eastAsia="仿宋_GB2312"/>
      <w:sz w:val="30"/>
      <w:lang w:val="en-US" w:eastAsia="zh-CN" w:bidi="ar-SA"/>
    </w:rPr>
  </w:style>
  <w:style w:type="character" w:customStyle="1" w:styleId="268">
    <w:name w:val="正文文本缩进 3 字符"/>
    <w:link w:val="36"/>
    <w:qFormat/>
    <w:uiPriority w:val="0"/>
    <w:rPr>
      <w:rFonts w:ascii="宋体" w:hAnsi="宋体" w:eastAsia="宋体"/>
      <w:kern w:val="2"/>
      <w:sz w:val="28"/>
      <w:szCs w:val="28"/>
      <w:lang w:val="en-US" w:eastAsia="zh-CN" w:bidi="ar-SA"/>
    </w:rPr>
  </w:style>
  <w:style w:type="character" w:customStyle="1" w:styleId="269">
    <w:name w:val="正文文本缩进 字符"/>
    <w:link w:val="18"/>
    <w:qFormat/>
    <w:uiPriority w:val="0"/>
    <w:rPr>
      <w:rFonts w:eastAsia="宋体"/>
      <w:kern w:val="2"/>
      <w:sz w:val="21"/>
      <w:szCs w:val="24"/>
      <w:lang w:val="en-US" w:eastAsia="zh-CN" w:bidi="ar-SA"/>
    </w:rPr>
  </w:style>
  <w:style w:type="character" w:customStyle="1" w:styleId="270">
    <w:name w:val="_Style 196"/>
    <w:qFormat/>
    <w:uiPriority w:val="0"/>
    <w:rPr>
      <w:i/>
      <w:iCs/>
      <w:color w:val="808080"/>
    </w:rPr>
  </w:style>
  <w:style w:type="character" w:customStyle="1" w:styleId="271">
    <w:name w:val="正文文本缩进 2 字符"/>
    <w:link w:val="26"/>
    <w:qFormat/>
    <w:uiPriority w:val="0"/>
    <w:rPr>
      <w:rFonts w:eastAsia="宋体"/>
      <w:sz w:val="28"/>
      <w:szCs w:val="24"/>
      <w:lang w:val="en-US" w:eastAsia="zh-CN" w:bidi="ar-SA"/>
    </w:rPr>
  </w:style>
  <w:style w:type="character" w:customStyle="1" w:styleId="272">
    <w:name w:val="标题 7 字符"/>
    <w:link w:val="10"/>
    <w:qFormat/>
    <w:uiPriority w:val="0"/>
    <w:rPr>
      <w:rFonts w:eastAsia="仿宋_GB2312"/>
      <w:sz w:val="30"/>
      <w:lang w:val="en-US" w:eastAsia="zh-CN" w:bidi="ar-SA"/>
    </w:rPr>
  </w:style>
  <w:style w:type="character" w:customStyle="1" w:styleId="273">
    <w:name w:val="Char Char13"/>
    <w:qFormat/>
    <w:uiPriority w:val="0"/>
    <w:rPr>
      <w:kern w:val="2"/>
      <w:sz w:val="18"/>
      <w:szCs w:val="18"/>
    </w:rPr>
  </w:style>
  <w:style w:type="character" w:customStyle="1" w:styleId="274">
    <w:name w:val="正文文本缩进 2 Char1"/>
    <w:qFormat/>
    <w:uiPriority w:val="0"/>
    <w:rPr>
      <w:sz w:val="28"/>
      <w:szCs w:val="24"/>
    </w:rPr>
  </w:style>
  <w:style w:type="character" w:customStyle="1" w:styleId="275">
    <w:name w:val="Char Char21"/>
    <w:qFormat/>
    <w:uiPriority w:val="0"/>
    <w:rPr>
      <w:rFonts w:ascii="宋体" w:hAnsi="宋体" w:cs="宋体"/>
      <w:b/>
      <w:bCs/>
      <w:sz w:val="24"/>
      <w:szCs w:val="24"/>
    </w:rPr>
  </w:style>
  <w:style w:type="character" w:customStyle="1" w:styleId="276">
    <w:name w:val="文档结构图 Char1"/>
    <w:qFormat/>
    <w:uiPriority w:val="0"/>
    <w:rPr>
      <w:rFonts w:ascii="宋体"/>
      <w:kern w:val="2"/>
      <w:sz w:val="18"/>
      <w:szCs w:val="18"/>
    </w:rPr>
  </w:style>
  <w:style w:type="character" w:customStyle="1" w:styleId="277">
    <w:name w:val="标题 Char"/>
    <w:qFormat/>
    <w:uiPriority w:val="0"/>
    <w:rPr>
      <w:rFonts w:ascii="Cambria" w:hAnsi="Cambria" w:eastAsia="宋体" w:cs="Times New Roman"/>
      <w:b/>
      <w:bCs/>
      <w:kern w:val="2"/>
      <w:sz w:val="32"/>
      <w:szCs w:val="32"/>
    </w:rPr>
  </w:style>
  <w:style w:type="character" w:customStyle="1" w:styleId="278">
    <w:name w:val="_Style 275"/>
    <w:qFormat/>
    <w:uiPriority w:val="0"/>
    <w:rPr>
      <w:smallCaps/>
      <w:color w:val="C0504D"/>
      <w:u w:val="single"/>
    </w:rPr>
  </w:style>
  <w:style w:type="character" w:customStyle="1" w:styleId="279">
    <w:name w:val="Char Char12"/>
    <w:qFormat/>
    <w:uiPriority w:val="0"/>
    <w:rPr>
      <w:rFonts w:eastAsia="黑体"/>
      <w:kern w:val="2"/>
      <w:sz w:val="44"/>
      <w:szCs w:val="44"/>
      <w:lang w:val="en-US" w:eastAsia="zh-CN" w:bidi="ar-SA"/>
    </w:rPr>
  </w:style>
  <w:style w:type="character" w:customStyle="1" w:styleId="280">
    <w:name w:val="明显参考1"/>
    <w:qFormat/>
    <w:uiPriority w:val="0"/>
    <w:rPr>
      <w:b/>
      <w:bCs/>
      <w:smallCaps/>
      <w:color w:val="C0504D"/>
      <w:spacing w:val="5"/>
      <w:u w:val="single"/>
    </w:rPr>
  </w:style>
  <w:style w:type="character" w:customStyle="1" w:styleId="281">
    <w:name w:val="Char Char36"/>
    <w:qFormat/>
    <w:uiPriority w:val="0"/>
    <w:rPr>
      <w:rFonts w:ascii="仿宋_GB2312" w:eastAsia="仿宋_GB2312" w:cs="MingLiU"/>
      <w:b/>
      <w:sz w:val="24"/>
      <w:szCs w:val="28"/>
    </w:rPr>
  </w:style>
  <w:style w:type="character" w:customStyle="1" w:styleId="282">
    <w:name w:val="批注框文本 Char2"/>
    <w:qFormat/>
    <w:uiPriority w:val="99"/>
    <w:rPr>
      <w:kern w:val="2"/>
      <w:sz w:val="18"/>
      <w:szCs w:val="18"/>
    </w:rPr>
  </w:style>
  <w:style w:type="character" w:customStyle="1" w:styleId="283">
    <w:name w:val="subhead1"/>
    <w:qFormat/>
    <w:uiPriority w:val="0"/>
    <w:rPr>
      <w:rFonts w:hint="default" w:ascii="Tahoma" w:hAnsi="Tahoma" w:cs="Tahoma"/>
      <w:color w:val="000000"/>
      <w:sz w:val="18"/>
      <w:szCs w:val="18"/>
      <w:u w:val="none"/>
      <w:shd w:val="clear" w:color="auto" w:fill="FFFFFF"/>
    </w:rPr>
  </w:style>
  <w:style w:type="character" w:customStyle="1" w:styleId="284">
    <w:name w:val="正文文本缩进 3 Char2"/>
    <w:qFormat/>
    <w:uiPriority w:val="99"/>
    <w:rPr>
      <w:rFonts w:ascii="Calibri" w:hAnsi="Calibri" w:eastAsia="宋体" w:cs="Times New Roman"/>
      <w:sz w:val="16"/>
      <w:szCs w:val="16"/>
    </w:rPr>
  </w:style>
  <w:style w:type="character" w:customStyle="1" w:styleId="285">
    <w:name w:val="纯文本 Char"/>
    <w:qFormat/>
    <w:uiPriority w:val="0"/>
    <w:rPr>
      <w:rFonts w:ascii="宋体" w:hAnsi="Courier New"/>
      <w:sz w:val="28"/>
      <w:szCs w:val="28"/>
    </w:rPr>
  </w:style>
  <w:style w:type="character" w:customStyle="1" w:styleId="286">
    <w:name w:val="纯文本 Char2"/>
    <w:qFormat/>
    <w:uiPriority w:val="99"/>
    <w:rPr>
      <w:rFonts w:ascii="宋体" w:hAnsi="Courier New" w:eastAsia="宋体" w:cs="Courier New"/>
      <w:szCs w:val="21"/>
    </w:rPr>
  </w:style>
  <w:style w:type="character" w:customStyle="1" w:styleId="287">
    <w:name w:val="页眉 Char1"/>
    <w:qFormat/>
    <w:uiPriority w:val="99"/>
    <w:rPr>
      <w:kern w:val="2"/>
      <w:sz w:val="18"/>
      <w:szCs w:val="18"/>
    </w:rPr>
  </w:style>
  <w:style w:type="character" w:customStyle="1" w:styleId="288">
    <w:name w:val="Char Char14"/>
    <w:qFormat/>
    <w:uiPriority w:val="0"/>
    <w:rPr>
      <w:kern w:val="2"/>
      <w:sz w:val="18"/>
      <w:szCs w:val="18"/>
    </w:rPr>
  </w:style>
  <w:style w:type="character" w:customStyle="1" w:styleId="289">
    <w:name w:val="批注文字 字符"/>
    <w:link w:val="16"/>
    <w:qFormat/>
    <w:uiPriority w:val="99"/>
    <w:rPr>
      <w:rFonts w:eastAsia="宋体"/>
      <w:kern w:val="2"/>
      <w:sz w:val="21"/>
      <w:szCs w:val="24"/>
      <w:lang w:val="en-US" w:eastAsia="zh-CN" w:bidi="ar-SA"/>
    </w:rPr>
  </w:style>
  <w:style w:type="character" w:customStyle="1" w:styleId="290">
    <w:name w:val="批注文字 Char Char"/>
    <w:qFormat/>
    <w:uiPriority w:val="0"/>
    <w:rPr>
      <w:rFonts w:ascii="宋体" w:hAnsi="Times New Roman" w:eastAsia="宋体" w:cs="Times New Roman"/>
      <w:sz w:val="28"/>
      <w:szCs w:val="20"/>
    </w:rPr>
  </w:style>
  <w:style w:type="character" w:customStyle="1" w:styleId="291">
    <w:name w:val="标题 1 Char1"/>
    <w:qFormat/>
    <w:uiPriority w:val="0"/>
    <w:rPr>
      <w:rFonts w:ascii="Times New Roman" w:hAnsi="Times New Roman" w:eastAsia="宋体" w:cs="Times New Roman"/>
      <w:b/>
      <w:bCs/>
      <w:kern w:val="44"/>
      <w:sz w:val="44"/>
      <w:szCs w:val="44"/>
    </w:rPr>
  </w:style>
  <w:style w:type="character" w:customStyle="1" w:styleId="292">
    <w:name w:val="标题 5 字符"/>
    <w:link w:val="7"/>
    <w:qFormat/>
    <w:uiPriority w:val="0"/>
    <w:rPr>
      <w:rFonts w:ascii="宋体" w:hAnsi="宋体" w:eastAsia="宋体" w:cs="宋体"/>
      <w:b/>
      <w:bCs/>
      <w:lang w:val="en-US" w:eastAsia="zh-CN" w:bidi="ar-SA"/>
    </w:rPr>
  </w:style>
  <w:style w:type="character" w:customStyle="1" w:styleId="293">
    <w:name w:val="手改 Char Char"/>
    <w:qFormat/>
    <w:uiPriority w:val="0"/>
    <w:rPr>
      <w:kern w:val="2"/>
      <w:sz w:val="21"/>
      <w:szCs w:val="24"/>
    </w:rPr>
  </w:style>
  <w:style w:type="character" w:customStyle="1" w:styleId="294">
    <w:name w:val="标题 1 字符"/>
    <w:link w:val="3"/>
    <w:qFormat/>
    <w:uiPriority w:val="0"/>
    <w:rPr>
      <w:rFonts w:eastAsia="宋体"/>
      <w:b/>
      <w:bCs/>
      <w:kern w:val="44"/>
      <w:sz w:val="44"/>
      <w:szCs w:val="44"/>
      <w:lang w:val="en-US" w:eastAsia="zh-CN" w:bidi="ar-SA"/>
    </w:rPr>
  </w:style>
  <w:style w:type="character" w:customStyle="1" w:styleId="295">
    <w:name w:val="intel3"/>
    <w:basedOn w:val="47"/>
    <w:qFormat/>
    <w:uiPriority w:val="0"/>
  </w:style>
  <w:style w:type="character" w:customStyle="1" w:styleId="296">
    <w:name w:val="副标题 Char2"/>
    <w:qFormat/>
    <w:uiPriority w:val="11"/>
    <w:rPr>
      <w:rFonts w:ascii="Cambria" w:hAnsi="Cambria" w:eastAsia="宋体" w:cs="Times New Roman"/>
      <w:b/>
      <w:bCs/>
      <w:kern w:val="28"/>
      <w:sz w:val="32"/>
      <w:szCs w:val="32"/>
    </w:rPr>
  </w:style>
  <w:style w:type="character" w:customStyle="1" w:styleId="297">
    <w:name w:val="明显引用 Char4"/>
    <w:link w:val="118"/>
    <w:qFormat/>
    <w:uiPriority w:val="0"/>
    <w:rPr>
      <w:b/>
      <w:bCs/>
      <w:i/>
      <w:iCs/>
      <w:color w:val="4F81BD"/>
      <w:kern w:val="2"/>
      <w:sz w:val="21"/>
      <w:szCs w:val="22"/>
      <w:lang w:bidi="ar-SA"/>
    </w:rPr>
  </w:style>
  <w:style w:type="character" w:customStyle="1" w:styleId="298">
    <w:name w:val="明显引用 Char1"/>
    <w:link w:val="111"/>
    <w:qFormat/>
    <w:uiPriority w:val="30"/>
    <w:rPr>
      <w:b/>
      <w:bCs/>
      <w:i/>
      <w:iCs/>
      <w:color w:val="4F81BD"/>
      <w:kern w:val="2"/>
      <w:sz w:val="21"/>
    </w:rPr>
  </w:style>
  <w:style w:type="character" w:customStyle="1" w:styleId="299">
    <w:name w:val="HTML 预设格式 Char1"/>
    <w:qFormat/>
    <w:uiPriority w:val="0"/>
    <w:rPr>
      <w:rFonts w:ascii="宋体" w:hAnsi="宋体" w:cs="宋体"/>
      <w:color w:val="000000"/>
      <w:sz w:val="24"/>
      <w:szCs w:val="24"/>
    </w:rPr>
  </w:style>
  <w:style w:type="character" w:customStyle="1" w:styleId="300">
    <w:name w:val="引用 Char"/>
    <w:link w:val="69"/>
    <w:qFormat/>
    <w:uiPriority w:val="0"/>
    <w:rPr>
      <w:rFonts w:ascii="Times New Roman" w:hAnsi="Times New Roman" w:eastAsia="宋体" w:cs="Times New Roman"/>
      <w:i/>
      <w:iCs/>
      <w:color w:val="000000"/>
      <w:kern w:val="2"/>
      <w:sz w:val="21"/>
      <w:szCs w:val="24"/>
    </w:rPr>
  </w:style>
  <w:style w:type="character" w:customStyle="1" w:styleId="301">
    <w:name w:val="副标题 字符"/>
    <w:link w:val="33"/>
    <w:qFormat/>
    <w:uiPriority w:val="0"/>
    <w:rPr>
      <w:rFonts w:eastAsia="宋体"/>
      <w:szCs w:val="24"/>
      <w:u w:val="single"/>
      <w:lang w:val="en-US" w:eastAsia="en-US" w:bidi="ar-SA"/>
    </w:rPr>
  </w:style>
  <w:style w:type="character" w:customStyle="1" w:styleId="302">
    <w:name w:val="ITTHEADER1 Char"/>
    <w:qFormat/>
    <w:uiPriority w:val="0"/>
    <w:rPr>
      <w:rFonts w:eastAsia="黑体"/>
      <w:kern w:val="2"/>
      <w:sz w:val="44"/>
      <w:szCs w:val="44"/>
      <w:lang w:val="en-US" w:eastAsia="zh-CN" w:bidi="ar-SA"/>
    </w:rPr>
  </w:style>
  <w:style w:type="character" w:customStyle="1" w:styleId="303">
    <w:name w:val="日期 Char3"/>
    <w:qFormat/>
    <w:uiPriority w:val="99"/>
    <w:rPr>
      <w:rFonts w:ascii="Calibri" w:hAnsi="Calibri" w:eastAsia="宋体" w:cs="Times New Roman"/>
      <w:szCs w:val="24"/>
    </w:rPr>
  </w:style>
  <w:style w:type="character" w:customStyle="1" w:styleId="304">
    <w:name w:val="纯文本 字符"/>
    <w:link w:val="23"/>
    <w:qFormat/>
    <w:uiPriority w:val="0"/>
    <w:rPr>
      <w:rFonts w:ascii="宋体" w:hAnsi="Courier New" w:eastAsia="宋体" w:cs="Courier New"/>
      <w:kern w:val="2"/>
      <w:sz w:val="21"/>
      <w:szCs w:val="21"/>
      <w:lang w:val="en-US" w:eastAsia="zh-CN" w:bidi="ar-SA"/>
    </w:rPr>
  </w:style>
  <w:style w:type="character" w:customStyle="1" w:styleId="305">
    <w:name w:val="批注文字 Char"/>
    <w:qFormat/>
    <w:uiPriority w:val="0"/>
    <w:rPr>
      <w:rFonts w:ascii="Times New Roman" w:hAnsi="Times New Roman" w:eastAsia="宋体" w:cs="Times New Roman"/>
      <w:kern w:val="2"/>
      <w:sz w:val="21"/>
      <w:szCs w:val="24"/>
    </w:rPr>
  </w:style>
  <w:style w:type="character" w:customStyle="1" w:styleId="306">
    <w:name w:val="Section Char"/>
    <w:qFormat/>
    <w:uiPriority w:val="0"/>
    <w:rPr>
      <w:rFonts w:ascii="仿宋_GB2312" w:eastAsia="仿宋_GB2312" w:cs="MingLiU"/>
      <w:b/>
      <w:sz w:val="24"/>
      <w:szCs w:val="28"/>
      <w:lang w:val="en-US" w:eastAsia="zh-CN" w:bidi="ar-SA"/>
    </w:rPr>
  </w:style>
  <w:style w:type="character" w:customStyle="1" w:styleId="307">
    <w:name w:val="正文文本 3 Char2"/>
    <w:qFormat/>
    <w:uiPriority w:val="99"/>
    <w:rPr>
      <w:rFonts w:ascii="Calibri" w:hAnsi="Calibri" w:eastAsia="宋体" w:cs="Times New Roman"/>
      <w:sz w:val="16"/>
      <w:szCs w:val="16"/>
    </w:rPr>
  </w:style>
  <w:style w:type="character" w:customStyle="1" w:styleId="308">
    <w:name w:val="正文文本 3 字符"/>
    <w:link w:val="17"/>
    <w:qFormat/>
    <w:uiPriority w:val="0"/>
    <w:rPr>
      <w:rFonts w:eastAsia="宋体"/>
      <w:kern w:val="2"/>
      <w:sz w:val="16"/>
      <w:szCs w:val="16"/>
      <w:lang w:val="en-US" w:eastAsia="zh-CN" w:bidi="ar-SA"/>
    </w:rPr>
  </w:style>
  <w:style w:type="character" w:customStyle="1" w:styleId="309">
    <w:name w:val="普通文字 Char Char1"/>
    <w:qFormat/>
    <w:uiPriority w:val="0"/>
    <w:rPr>
      <w:rFonts w:ascii="宋体" w:hAnsi="Courier New"/>
      <w:kern w:val="2"/>
      <w:sz w:val="28"/>
      <w:szCs w:val="28"/>
    </w:rPr>
  </w:style>
  <w:style w:type="character" w:customStyle="1" w:styleId="310">
    <w:name w:val="正文文本缩进 Char"/>
    <w:qFormat/>
    <w:uiPriority w:val="0"/>
    <w:rPr>
      <w:rFonts w:ascii="黑体" w:hAnsi="宋体" w:eastAsia="黑体"/>
      <w:color w:val="000000"/>
      <w:sz w:val="28"/>
      <w:szCs w:val="32"/>
    </w:rPr>
  </w:style>
  <w:style w:type="character" w:customStyle="1" w:styleId="311">
    <w:name w:val="font161"/>
    <w:qFormat/>
    <w:uiPriority w:val="0"/>
    <w:rPr>
      <w:b/>
      <w:bCs/>
      <w:sz w:val="32"/>
      <w:szCs w:val="32"/>
    </w:rPr>
  </w:style>
  <w:style w:type="paragraph" w:customStyle="1" w:styleId="312">
    <w:name w:val="List Paragraph_2053445d-0ea7-4fc6-805c-24e9551bff14"/>
    <w:basedOn w:val="1"/>
    <w:qFormat/>
    <w:uiPriority w:val="99"/>
    <w:pPr>
      <w:ind w:firstLine="420" w:firstLineChars="200"/>
    </w:pPr>
    <w:rPr>
      <w:sz w:val="28"/>
      <w:szCs w:val="28"/>
    </w:rPr>
  </w:style>
  <w:style w:type="paragraph" w:customStyle="1" w:styleId="313">
    <w:name w:val="Revision_be56d849-df43-460f-89c6-231392157f72"/>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1.xml"/><Relationship Id="rId3" Type="http://schemas.openxmlformats.org/officeDocument/2006/relationships/footnotes" Target="footnotes.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7.png"/><Relationship Id="rId21" Type="http://schemas.openxmlformats.org/officeDocument/2006/relationships/image" Target="media/image6.png"/><Relationship Id="rId20" Type="http://schemas.openxmlformats.org/officeDocument/2006/relationships/image" Target="media/image5.wmf"/><Relationship Id="rId2" Type="http://schemas.openxmlformats.org/officeDocument/2006/relationships/settings" Target="settings.xml"/><Relationship Id="rId19" Type="http://schemas.openxmlformats.org/officeDocument/2006/relationships/oleObject" Target="embeddings/oleObject5.bin"/><Relationship Id="rId18" Type="http://schemas.openxmlformats.org/officeDocument/2006/relationships/image" Target="media/image4.wmf"/><Relationship Id="rId17" Type="http://schemas.openxmlformats.org/officeDocument/2006/relationships/oleObject" Target="embeddings/oleObject4.bin"/><Relationship Id="rId16" Type="http://schemas.openxmlformats.org/officeDocument/2006/relationships/image" Target="media/image3.wmf"/><Relationship Id="rId15" Type="http://schemas.openxmlformats.org/officeDocument/2006/relationships/oleObject" Target="embeddings/oleObject3.bin"/><Relationship Id="rId14" Type="http://schemas.openxmlformats.org/officeDocument/2006/relationships/image" Target="media/image2.wmf"/><Relationship Id="rId13" Type="http://schemas.openxmlformats.org/officeDocument/2006/relationships/oleObject" Target="embeddings/oleObject2.bin"/><Relationship Id="rId12" Type="http://schemas.openxmlformats.org/officeDocument/2006/relationships/image" Target="media/image1.wmf"/><Relationship Id="rId11" Type="http://schemas.openxmlformats.org/officeDocument/2006/relationships/oleObject" Target="embeddings/oleObject1.bin"/><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231</Pages>
  <Words>141352</Words>
  <Characters>148193</Characters>
  <Paragraphs>4432</Paragraphs>
  <TotalTime>10</TotalTime>
  <ScaleCrop>false</ScaleCrop>
  <LinksUpToDate>false</LinksUpToDate>
  <CharactersWithSpaces>156095</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2021-12-17T11:12:00Z</dcterms:created>
  <dc:creator>USER</dc:creator>
  <cp:lastModifiedBy>ελπιδα</cp:lastModifiedBy>
  <cp:lastPrinted>2023-02-19T06:02:00Z</cp:lastPrinted>
  <dcterms:modified xsi:type="dcterms:W3CDTF">2023-05-26T08:33:50Z</dcterms:modified>
  <dc:title>第一卷</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3EBEC6B0F56E4935ACD171976F2B0C17</vt:lpwstr>
  </property>
</Properties>
</file>