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4E64C">
      <w:pPr>
        <w:jc w:val="center"/>
        <w:rPr>
          <w:rFonts w:ascii="宋体" w:hAnsi="宋体"/>
          <w:b/>
          <w:sz w:val="44"/>
          <w:szCs w:val="44"/>
        </w:rPr>
      </w:pPr>
      <w:bookmarkStart w:id="0" w:name="_Toc287620665"/>
    </w:p>
    <w:p w14:paraId="662B059B">
      <w:pPr>
        <w:autoSpaceDE w:val="0"/>
        <w:autoSpaceDN w:val="0"/>
        <w:adjustRightInd w:val="0"/>
        <w:snapToGrid w:val="0"/>
        <w:spacing w:line="360" w:lineRule="auto"/>
        <w:jc w:val="left"/>
        <w:rPr>
          <w:rFonts w:ascii="宋体" w:hAnsi="宋体"/>
          <w:kern w:val="0"/>
          <w:sz w:val="20"/>
          <w:szCs w:val="20"/>
        </w:rPr>
      </w:pPr>
      <w:r>
        <w:rPr>
          <w:rFonts w:hint="eastAsia" w:asciiTheme="minorEastAsia" w:hAnsiTheme="minorEastAsia" w:eastAsiaTheme="minorEastAsia"/>
          <w:sz w:val="32"/>
          <w:szCs w:val="32"/>
          <w:u w:val="single"/>
        </w:rPr>
        <w:t>重庆经开区百乐园老旧街区城市更新项目（一期）百乐园站站前广场改造工程</w:t>
      </w:r>
    </w:p>
    <w:p w14:paraId="365235BF">
      <w:pPr>
        <w:autoSpaceDE w:val="0"/>
        <w:autoSpaceDN w:val="0"/>
        <w:adjustRightInd w:val="0"/>
        <w:snapToGrid w:val="0"/>
        <w:spacing w:line="360" w:lineRule="auto"/>
        <w:jc w:val="left"/>
        <w:rPr>
          <w:rFonts w:ascii="宋体" w:hAnsi="宋体"/>
          <w:kern w:val="0"/>
          <w:sz w:val="20"/>
          <w:szCs w:val="20"/>
        </w:rPr>
      </w:pPr>
    </w:p>
    <w:p w14:paraId="274F1141">
      <w:pPr>
        <w:autoSpaceDE w:val="0"/>
        <w:autoSpaceDN w:val="0"/>
        <w:adjustRightInd w:val="0"/>
        <w:snapToGrid w:val="0"/>
        <w:spacing w:line="360" w:lineRule="auto"/>
        <w:jc w:val="left"/>
        <w:rPr>
          <w:rFonts w:ascii="宋体" w:hAnsi="宋体"/>
          <w:kern w:val="0"/>
          <w:sz w:val="20"/>
          <w:szCs w:val="20"/>
        </w:rPr>
      </w:pPr>
    </w:p>
    <w:p w14:paraId="335A0AAF">
      <w:pPr>
        <w:autoSpaceDE w:val="0"/>
        <w:autoSpaceDN w:val="0"/>
        <w:adjustRightInd w:val="0"/>
        <w:snapToGrid w:val="0"/>
        <w:spacing w:line="360" w:lineRule="auto"/>
        <w:jc w:val="left"/>
        <w:rPr>
          <w:rFonts w:ascii="宋体" w:hAnsi="宋体"/>
          <w:kern w:val="0"/>
          <w:sz w:val="20"/>
          <w:szCs w:val="20"/>
        </w:rPr>
      </w:pPr>
    </w:p>
    <w:p w14:paraId="375C4F38">
      <w:pPr>
        <w:autoSpaceDE w:val="0"/>
        <w:autoSpaceDN w:val="0"/>
        <w:adjustRightInd w:val="0"/>
        <w:snapToGrid w:val="0"/>
        <w:spacing w:line="360" w:lineRule="auto"/>
        <w:jc w:val="left"/>
        <w:rPr>
          <w:rFonts w:ascii="宋体" w:hAnsi="宋体"/>
          <w:kern w:val="0"/>
          <w:sz w:val="20"/>
          <w:szCs w:val="20"/>
        </w:rPr>
      </w:pPr>
    </w:p>
    <w:p w14:paraId="2E814644">
      <w:pPr>
        <w:autoSpaceDE w:val="0"/>
        <w:autoSpaceDN w:val="0"/>
        <w:adjustRightInd w:val="0"/>
        <w:snapToGrid w:val="0"/>
        <w:spacing w:line="360" w:lineRule="auto"/>
        <w:jc w:val="center"/>
        <w:rPr>
          <w:rFonts w:ascii="宋体" w:hAnsi="宋体"/>
          <w:kern w:val="0"/>
          <w:sz w:val="72"/>
          <w:szCs w:val="72"/>
        </w:rPr>
      </w:pPr>
      <w:r>
        <w:rPr>
          <w:rFonts w:ascii="宋体" w:hAnsi="宋体"/>
          <w:kern w:val="0"/>
          <w:sz w:val="72"/>
          <w:szCs w:val="72"/>
        </w:rPr>
        <w:t>施</w:t>
      </w:r>
      <w:r>
        <w:rPr>
          <w:rFonts w:hint="eastAsia" w:ascii="宋体" w:hAnsi="宋体"/>
          <w:kern w:val="0"/>
          <w:sz w:val="72"/>
          <w:szCs w:val="72"/>
        </w:rPr>
        <w:t xml:space="preserve"> </w:t>
      </w:r>
      <w:r>
        <w:rPr>
          <w:rFonts w:ascii="宋体" w:hAnsi="宋体"/>
          <w:kern w:val="0"/>
          <w:sz w:val="72"/>
          <w:szCs w:val="72"/>
        </w:rPr>
        <w:t>工</w:t>
      </w:r>
      <w:r>
        <w:rPr>
          <w:rFonts w:hint="eastAsia" w:ascii="宋体" w:hAnsi="宋体"/>
          <w:kern w:val="0"/>
          <w:sz w:val="72"/>
          <w:szCs w:val="72"/>
        </w:rPr>
        <w:t xml:space="preserve"> 采 购 </w:t>
      </w:r>
      <w:r>
        <w:rPr>
          <w:rFonts w:ascii="宋体" w:hAnsi="宋体"/>
          <w:kern w:val="0"/>
          <w:sz w:val="72"/>
          <w:szCs w:val="72"/>
        </w:rPr>
        <w:t>文</w:t>
      </w:r>
      <w:r>
        <w:rPr>
          <w:rFonts w:hint="eastAsia" w:ascii="宋体" w:hAnsi="宋体"/>
          <w:kern w:val="0"/>
          <w:sz w:val="72"/>
          <w:szCs w:val="72"/>
        </w:rPr>
        <w:t xml:space="preserve"> </w:t>
      </w:r>
      <w:r>
        <w:rPr>
          <w:rFonts w:ascii="宋体" w:hAnsi="宋体"/>
          <w:kern w:val="0"/>
          <w:sz w:val="72"/>
          <w:szCs w:val="72"/>
        </w:rPr>
        <w:t>件</w:t>
      </w:r>
    </w:p>
    <w:p w14:paraId="37542E5A">
      <w:pPr>
        <w:autoSpaceDE w:val="0"/>
        <w:autoSpaceDN w:val="0"/>
        <w:adjustRightInd w:val="0"/>
        <w:snapToGrid w:val="0"/>
        <w:spacing w:line="360" w:lineRule="auto"/>
        <w:jc w:val="left"/>
        <w:rPr>
          <w:rFonts w:ascii="宋体" w:hAnsi="宋体"/>
          <w:kern w:val="0"/>
          <w:sz w:val="10"/>
          <w:szCs w:val="10"/>
        </w:rPr>
      </w:pPr>
    </w:p>
    <w:p w14:paraId="4461CF88">
      <w:pPr>
        <w:autoSpaceDE w:val="0"/>
        <w:autoSpaceDN w:val="0"/>
        <w:adjustRightInd w:val="0"/>
        <w:snapToGrid w:val="0"/>
        <w:spacing w:line="360" w:lineRule="auto"/>
        <w:jc w:val="left"/>
        <w:rPr>
          <w:rFonts w:ascii="宋体" w:hAnsi="宋体"/>
          <w:kern w:val="0"/>
          <w:sz w:val="20"/>
          <w:szCs w:val="20"/>
        </w:rPr>
      </w:pPr>
    </w:p>
    <w:p w14:paraId="6462EE81">
      <w:pPr>
        <w:autoSpaceDE w:val="0"/>
        <w:autoSpaceDN w:val="0"/>
        <w:adjustRightInd w:val="0"/>
        <w:snapToGrid w:val="0"/>
        <w:spacing w:line="360" w:lineRule="auto"/>
        <w:jc w:val="left"/>
        <w:rPr>
          <w:rFonts w:ascii="宋体" w:hAnsi="宋体"/>
          <w:kern w:val="0"/>
          <w:sz w:val="20"/>
          <w:szCs w:val="20"/>
        </w:rPr>
      </w:pPr>
    </w:p>
    <w:p w14:paraId="10109F76">
      <w:pPr>
        <w:autoSpaceDE w:val="0"/>
        <w:autoSpaceDN w:val="0"/>
        <w:adjustRightInd w:val="0"/>
        <w:snapToGrid w:val="0"/>
        <w:spacing w:line="360" w:lineRule="auto"/>
        <w:jc w:val="left"/>
        <w:rPr>
          <w:rFonts w:ascii="宋体" w:hAnsi="宋体"/>
          <w:kern w:val="0"/>
          <w:sz w:val="20"/>
          <w:szCs w:val="20"/>
        </w:rPr>
      </w:pPr>
    </w:p>
    <w:p w14:paraId="24554B5C">
      <w:pPr>
        <w:autoSpaceDE w:val="0"/>
        <w:autoSpaceDN w:val="0"/>
        <w:adjustRightInd w:val="0"/>
        <w:snapToGrid w:val="0"/>
        <w:spacing w:line="360" w:lineRule="auto"/>
        <w:jc w:val="left"/>
        <w:rPr>
          <w:rFonts w:ascii="宋体" w:hAnsi="宋体"/>
          <w:kern w:val="0"/>
          <w:sz w:val="20"/>
          <w:szCs w:val="20"/>
        </w:rPr>
      </w:pPr>
    </w:p>
    <w:p w14:paraId="3A9A44B5">
      <w:pPr>
        <w:autoSpaceDE w:val="0"/>
        <w:autoSpaceDN w:val="0"/>
        <w:adjustRightInd w:val="0"/>
        <w:snapToGrid w:val="0"/>
        <w:spacing w:line="360" w:lineRule="auto"/>
        <w:jc w:val="left"/>
        <w:rPr>
          <w:rFonts w:ascii="宋体" w:hAnsi="宋体"/>
          <w:kern w:val="0"/>
          <w:sz w:val="20"/>
          <w:szCs w:val="20"/>
        </w:rPr>
      </w:pPr>
    </w:p>
    <w:p w14:paraId="45D71777">
      <w:pPr>
        <w:autoSpaceDE w:val="0"/>
        <w:autoSpaceDN w:val="0"/>
        <w:adjustRightInd w:val="0"/>
        <w:snapToGrid w:val="0"/>
        <w:spacing w:line="360" w:lineRule="auto"/>
        <w:jc w:val="left"/>
        <w:rPr>
          <w:rFonts w:ascii="宋体" w:hAnsi="宋体"/>
          <w:kern w:val="0"/>
          <w:sz w:val="20"/>
          <w:szCs w:val="20"/>
        </w:rPr>
      </w:pPr>
    </w:p>
    <w:p w14:paraId="203586CB">
      <w:pPr>
        <w:autoSpaceDE w:val="0"/>
        <w:autoSpaceDN w:val="0"/>
        <w:adjustRightInd w:val="0"/>
        <w:snapToGrid w:val="0"/>
        <w:spacing w:line="360" w:lineRule="auto"/>
        <w:jc w:val="left"/>
        <w:rPr>
          <w:rFonts w:ascii="宋体" w:hAnsi="宋体"/>
          <w:kern w:val="0"/>
          <w:sz w:val="20"/>
          <w:szCs w:val="20"/>
        </w:rPr>
      </w:pPr>
    </w:p>
    <w:p w14:paraId="6418A919">
      <w:pPr>
        <w:autoSpaceDE w:val="0"/>
        <w:autoSpaceDN w:val="0"/>
        <w:adjustRightInd w:val="0"/>
        <w:snapToGrid w:val="0"/>
        <w:spacing w:line="360" w:lineRule="auto"/>
        <w:rPr>
          <w:rFonts w:ascii="宋体" w:hAnsi="宋体"/>
          <w:kern w:val="0"/>
          <w:sz w:val="20"/>
          <w:szCs w:val="20"/>
        </w:rPr>
      </w:pPr>
    </w:p>
    <w:p w14:paraId="427727F8">
      <w:pPr>
        <w:autoSpaceDE w:val="0"/>
        <w:autoSpaceDN w:val="0"/>
        <w:adjustRightInd w:val="0"/>
        <w:snapToGrid w:val="0"/>
        <w:spacing w:line="360" w:lineRule="auto"/>
        <w:jc w:val="left"/>
        <w:rPr>
          <w:rFonts w:ascii="宋体" w:hAnsi="宋体"/>
          <w:kern w:val="0"/>
          <w:sz w:val="20"/>
          <w:szCs w:val="20"/>
        </w:rPr>
      </w:pPr>
    </w:p>
    <w:p w14:paraId="01AC2837">
      <w:pPr>
        <w:autoSpaceDE w:val="0"/>
        <w:autoSpaceDN w:val="0"/>
        <w:adjustRightInd w:val="0"/>
        <w:snapToGrid w:val="0"/>
        <w:spacing w:line="360" w:lineRule="auto"/>
        <w:rPr>
          <w:rFonts w:ascii="宋体" w:hAnsi="宋体"/>
          <w:kern w:val="0"/>
          <w:sz w:val="20"/>
          <w:szCs w:val="20"/>
        </w:rPr>
      </w:pPr>
    </w:p>
    <w:p w14:paraId="2A6F8D78">
      <w:pPr>
        <w:autoSpaceDE w:val="0"/>
        <w:autoSpaceDN w:val="0"/>
        <w:adjustRightInd w:val="0"/>
        <w:snapToGrid w:val="0"/>
        <w:spacing w:line="360" w:lineRule="auto"/>
        <w:rPr>
          <w:rFonts w:ascii="宋体" w:hAnsi="宋体"/>
          <w:kern w:val="0"/>
          <w:sz w:val="20"/>
          <w:szCs w:val="20"/>
        </w:rPr>
      </w:pPr>
    </w:p>
    <w:p w14:paraId="28A00E50">
      <w:pPr>
        <w:autoSpaceDE w:val="0"/>
        <w:autoSpaceDN w:val="0"/>
        <w:adjustRightInd w:val="0"/>
        <w:snapToGrid w:val="0"/>
        <w:spacing w:line="360" w:lineRule="auto"/>
        <w:rPr>
          <w:rFonts w:ascii="宋体" w:hAnsi="宋体"/>
          <w:kern w:val="0"/>
          <w:sz w:val="20"/>
          <w:szCs w:val="20"/>
        </w:rPr>
      </w:pPr>
    </w:p>
    <w:p w14:paraId="20494C91">
      <w:pPr>
        <w:tabs>
          <w:tab w:val="left" w:pos="6219"/>
        </w:tabs>
        <w:autoSpaceDE w:val="0"/>
        <w:autoSpaceDN w:val="0"/>
        <w:adjustRightInd w:val="0"/>
        <w:snapToGrid w:val="0"/>
        <w:spacing w:line="360" w:lineRule="auto"/>
        <w:jc w:val="center"/>
        <w:rPr>
          <w:rFonts w:ascii="宋体" w:hAnsi="宋体"/>
          <w:bCs/>
          <w:w w:val="99"/>
          <w:kern w:val="0"/>
          <w:sz w:val="28"/>
          <w:szCs w:val="28"/>
        </w:rPr>
      </w:pPr>
      <w:r>
        <w:rPr>
          <w:rFonts w:ascii="宋体" w:hAnsi="宋体"/>
          <w:bCs/>
          <w:w w:val="99"/>
          <w:kern w:val="0"/>
          <w:sz w:val="28"/>
          <w:szCs w:val="28"/>
        </w:rPr>
        <w:t>招</w:t>
      </w:r>
      <w:r>
        <w:rPr>
          <w:rFonts w:hint="eastAsia" w:ascii="宋体" w:hAnsi="宋体"/>
          <w:bCs/>
          <w:w w:val="99"/>
          <w:kern w:val="0"/>
          <w:sz w:val="28"/>
          <w:szCs w:val="28"/>
        </w:rPr>
        <w:t xml:space="preserve">   </w:t>
      </w:r>
      <w:r>
        <w:rPr>
          <w:rFonts w:ascii="宋体" w:hAnsi="宋体"/>
          <w:bCs/>
          <w:w w:val="99"/>
          <w:kern w:val="0"/>
          <w:sz w:val="28"/>
          <w:szCs w:val="28"/>
        </w:rPr>
        <w:t>标</w:t>
      </w:r>
      <w:r>
        <w:rPr>
          <w:rFonts w:hint="eastAsia" w:ascii="宋体" w:hAnsi="宋体"/>
          <w:bCs/>
          <w:w w:val="99"/>
          <w:kern w:val="0"/>
          <w:sz w:val="28"/>
          <w:szCs w:val="28"/>
        </w:rPr>
        <w:t xml:space="preserve">   </w:t>
      </w:r>
      <w:r>
        <w:rPr>
          <w:rFonts w:ascii="宋体" w:hAnsi="宋体"/>
          <w:bCs/>
          <w:w w:val="99"/>
          <w:kern w:val="0"/>
          <w:sz w:val="28"/>
          <w:szCs w:val="28"/>
        </w:rPr>
        <w:t>人：</w:t>
      </w:r>
      <w:r>
        <w:rPr>
          <w:rFonts w:hint="eastAsia" w:eastAsia="方正仿宋_GBK"/>
          <w:sz w:val="32"/>
          <w:szCs w:val="32"/>
          <w:u w:val="single"/>
        </w:rPr>
        <w:t>重庆经开区开发建设有限公司</w:t>
      </w:r>
      <w:r>
        <w:rPr>
          <w:rFonts w:ascii="宋体" w:hAnsi="宋体"/>
          <w:bCs/>
          <w:w w:val="99"/>
          <w:kern w:val="0"/>
          <w:sz w:val="28"/>
          <w:szCs w:val="28"/>
        </w:rPr>
        <w:t>（盖单位法人章）</w:t>
      </w:r>
    </w:p>
    <w:p w14:paraId="71AC469B">
      <w:pPr>
        <w:autoSpaceDE w:val="0"/>
        <w:autoSpaceDN w:val="0"/>
        <w:adjustRightInd w:val="0"/>
        <w:snapToGrid w:val="0"/>
        <w:spacing w:line="360" w:lineRule="auto"/>
        <w:jc w:val="center"/>
        <w:rPr>
          <w:rFonts w:ascii="宋体" w:hAnsi="宋体"/>
          <w:bCs/>
          <w:kern w:val="0"/>
          <w:sz w:val="20"/>
          <w:szCs w:val="20"/>
        </w:rPr>
      </w:pPr>
    </w:p>
    <w:p w14:paraId="207F8000">
      <w:pPr>
        <w:autoSpaceDE w:val="0"/>
        <w:autoSpaceDN w:val="0"/>
        <w:adjustRightInd w:val="0"/>
        <w:snapToGrid w:val="0"/>
        <w:spacing w:line="360" w:lineRule="auto"/>
        <w:jc w:val="center"/>
        <w:rPr>
          <w:rFonts w:ascii="宋体" w:hAnsi="宋体"/>
          <w:bCs/>
          <w:kern w:val="0"/>
          <w:sz w:val="28"/>
          <w:szCs w:val="28"/>
        </w:rPr>
      </w:pPr>
    </w:p>
    <w:p w14:paraId="426A26DF">
      <w:pPr>
        <w:autoSpaceDE w:val="0"/>
        <w:autoSpaceDN w:val="0"/>
        <w:adjustRightInd w:val="0"/>
        <w:snapToGrid w:val="0"/>
        <w:spacing w:line="360" w:lineRule="auto"/>
        <w:jc w:val="center"/>
        <w:rPr>
          <w:rFonts w:ascii="宋体" w:hAnsi="宋体"/>
          <w:bCs/>
          <w:kern w:val="0"/>
          <w:sz w:val="28"/>
          <w:szCs w:val="28"/>
        </w:rPr>
      </w:pPr>
    </w:p>
    <w:p w14:paraId="0C1FB14D">
      <w:pPr>
        <w:autoSpaceDE w:val="0"/>
        <w:autoSpaceDN w:val="0"/>
        <w:adjustRightInd w:val="0"/>
        <w:snapToGrid w:val="0"/>
        <w:spacing w:line="360" w:lineRule="auto"/>
        <w:rPr>
          <w:rFonts w:ascii="宋体" w:hAnsi="宋体"/>
          <w:bCs/>
          <w:kern w:val="0"/>
          <w:sz w:val="20"/>
          <w:szCs w:val="20"/>
        </w:rPr>
      </w:pPr>
    </w:p>
    <w:p w14:paraId="47157987">
      <w:pPr>
        <w:tabs>
          <w:tab w:val="left" w:pos="6252"/>
        </w:tabs>
        <w:autoSpaceDE w:val="0"/>
        <w:autoSpaceDN w:val="0"/>
        <w:adjustRightInd w:val="0"/>
        <w:snapToGrid w:val="0"/>
        <w:spacing w:line="360" w:lineRule="auto"/>
        <w:jc w:val="center"/>
        <w:rPr>
          <w:rFonts w:ascii="宋体" w:hAnsi="宋体"/>
          <w:bCs/>
          <w:spacing w:val="8"/>
          <w:kern w:val="0"/>
          <w:sz w:val="28"/>
          <w:szCs w:val="28"/>
        </w:rPr>
        <w:sectPr>
          <w:pgSz w:w="11907" w:h="16840"/>
          <w:pgMar w:top="1304" w:right="1134" w:bottom="1304" w:left="1304" w:header="851" w:footer="992" w:gutter="0"/>
          <w:pgNumType w:fmt="numberInDash" w:start="1"/>
          <w:cols w:space="720" w:num="1"/>
          <w:docGrid w:linePitch="312" w:charSpace="0"/>
        </w:sectPr>
      </w:pPr>
      <w:bookmarkStart w:id="1" w:name="_Toc536797277"/>
      <w:bookmarkStart w:id="2" w:name="_Toc509218549"/>
      <w:bookmarkStart w:id="3" w:name="_Toc536621766"/>
      <w:bookmarkStart w:id="4" w:name="_Toc536796736"/>
      <w:bookmarkStart w:id="5" w:name="_Toc13210649"/>
      <w:r>
        <w:rPr>
          <w:rFonts w:ascii="宋体" w:hAnsi="宋体"/>
          <w:bCs/>
          <w:spacing w:val="8"/>
          <w:kern w:val="0"/>
          <w:sz w:val="28"/>
          <w:szCs w:val="28"/>
          <w:u w:val="single"/>
        </w:rPr>
        <w:t>202</w:t>
      </w:r>
      <w:r>
        <w:rPr>
          <w:rFonts w:hint="eastAsia" w:ascii="宋体" w:hAnsi="宋体"/>
          <w:bCs/>
          <w:spacing w:val="8"/>
          <w:kern w:val="0"/>
          <w:sz w:val="28"/>
          <w:szCs w:val="28"/>
          <w:u w:val="single"/>
          <w:lang w:val="en-US" w:eastAsia="zh-CN"/>
        </w:rPr>
        <w:t>5</w:t>
      </w:r>
      <w:r>
        <w:rPr>
          <w:rFonts w:ascii="宋体" w:hAnsi="宋体"/>
          <w:bCs/>
          <w:spacing w:val="8"/>
          <w:kern w:val="0"/>
          <w:sz w:val="28"/>
          <w:szCs w:val="28"/>
        </w:rPr>
        <w:t>年</w:t>
      </w:r>
      <w:r>
        <w:rPr>
          <w:rFonts w:hint="eastAsia" w:ascii="宋体" w:hAnsi="宋体"/>
          <w:bCs/>
          <w:spacing w:val="8"/>
          <w:kern w:val="0"/>
          <w:sz w:val="28"/>
          <w:szCs w:val="28"/>
          <w:u w:val="single"/>
          <w:lang w:val="en-US" w:eastAsia="zh-CN"/>
        </w:rPr>
        <w:t>5</w:t>
      </w:r>
      <w:r>
        <w:rPr>
          <w:rFonts w:ascii="宋体" w:hAnsi="宋体"/>
          <w:bCs/>
          <w:spacing w:val="8"/>
          <w:kern w:val="0"/>
          <w:sz w:val="28"/>
          <w:szCs w:val="28"/>
        </w:rPr>
        <w:t>月</w:t>
      </w:r>
      <w:bookmarkEnd w:id="1"/>
      <w:bookmarkEnd w:id="2"/>
      <w:bookmarkEnd w:id="3"/>
      <w:bookmarkEnd w:id="4"/>
      <w:bookmarkEnd w:id="5"/>
    </w:p>
    <w:bookmarkEnd w:id="0"/>
    <w:p w14:paraId="2400A68A">
      <w:pPr>
        <w:spacing w:line="360" w:lineRule="auto"/>
        <w:rPr>
          <w:rFonts w:ascii="宋体" w:hAnsi="宋体"/>
        </w:rPr>
      </w:pPr>
    </w:p>
    <w:p w14:paraId="33E34FD5">
      <w:pPr>
        <w:pStyle w:val="3"/>
        <w:spacing w:before="0" w:after="0" w:line="480" w:lineRule="auto"/>
        <w:jc w:val="center"/>
        <w:rPr>
          <w:rFonts w:ascii="宋体" w:hAnsi="宋体"/>
          <w:sz w:val="52"/>
          <w:szCs w:val="52"/>
        </w:rPr>
      </w:pPr>
      <w:bookmarkStart w:id="6" w:name="_Toc509218690"/>
      <w:bookmarkStart w:id="7" w:name="_Toc29541"/>
      <w:r>
        <w:rPr>
          <w:rFonts w:hint="eastAsia" w:ascii="宋体" w:hAnsi="宋体"/>
          <w:sz w:val="52"/>
          <w:szCs w:val="52"/>
        </w:rPr>
        <w:t>第 一 卷</w:t>
      </w:r>
      <w:bookmarkEnd w:id="6"/>
      <w:bookmarkEnd w:id="7"/>
    </w:p>
    <w:p w14:paraId="1802B0F5">
      <w:pPr>
        <w:spacing w:line="200" w:lineRule="exact"/>
        <w:rPr>
          <w:rFonts w:ascii="宋体" w:hAnsi="宋体"/>
        </w:rPr>
      </w:pPr>
      <w:r>
        <w:rPr>
          <w:rFonts w:ascii="宋体" w:hAnsi="宋体"/>
        </w:rPr>
        <w:br w:type="page"/>
      </w:r>
    </w:p>
    <w:p w14:paraId="57F8FC3D">
      <w:pPr>
        <w:pStyle w:val="3"/>
        <w:spacing w:line="360" w:lineRule="auto"/>
        <w:jc w:val="center"/>
        <w:rPr>
          <w:rFonts w:ascii="宋体" w:hAnsi="宋体"/>
          <w:snapToGrid w:val="0"/>
          <w:kern w:val="0"/>
        </w:rPr>
      </w:pPr>
      <w:bookmarkStart w:id="8" w:name="_Toc224103298"/>
      <w:bookmarkStart w:id="9" w:name="_Toc277082535"/>
      <w:bookmarkStart w:id="10" w:name="_Toc287620666"/>
      <w:bookmarkStart w:id="11" w:name="_Toc509218691"/>
      <w:bookmarkStart w:id="12" w:name="_Toc10868"/>
      <w:bookmarkStart w:id="13" w:name="_Toc430530415"/>
      <w:bookmarkStart w:id="14" w:name="_Toc287607727"/>
      <w:r>
        <w:rPr>
          <w:rFonts w:ascii="宋体" w:hAnsi="宋体"/>
          <w:snapToGrid w:val="0"/>
          <w:kern w:val="0"/>
        </w:rPr>
        <w:t xml:space="preserve">第一章  </w:t>
      </w:r>
      <w:r>
        <w:rPr>
          <w:rFonts w:hint="eastAsia" w:ascii="宋体" w:hAnsi="宋体"/>
          <w:snapToGrid w:val="0"/>
          <w:kern w:val="0"/>
        </w:rPr>
        <w:t>采购</w:t>
      </w:r>
      <w:r>
        <w:rPr>
          <w:rFonts w:ascii="宋体" w:hAnsi="宋体"/>
          <w:snapToGrid w:val="0"/>
          <w:kern w:val="0"/>
        </w:rPr>
        <w:t>公告</w:t>
      </w:r>
      <w:bookmarkEnd w:id="8"/>
      <w:bookmarkEnd w:id="9"/>
      <w:bookmarkEnd w:id="10"/>
      <w:bookmarkEnd w:id="11"/>
      <w:bookmarkEnd w:id="12"/>
      <w:bookmarkEnd w:id="13"/>
      <w:bookmarkEnd w:id="14"/>
    </w:p>
    <w:p w14:paraId="56268776">
      <w:pPr>
        <w:spacing w:line="360" w:lineRule="auto"/>
        <w:jc w:val="center"/>
        <w:rPr>
          <w:rFonts w:ascii="宋体" w:hAnsi="宋体"/>
          <w:snapToGrid w:val="0"/>
          <w:w w:val="99"/>
          <w:kern w:val="0"/>
          <w:sz w:val="28"/>
          <w:szCs w:val="28"/>
        </w:rPr>
      </w:pPr>
      <w:r>
        <w:rPr>
          <w:rFonts w:hint="eastAsia" w:ascii="宋体" w:hAnsi="宋体"/>
          <w:snapToGrid w:val="0"/>
          <w:w w:val="99"/>
          <w:kern w:val="0"/>
          <w:sz w:val="28"/>
          <w:szCs w:val="28"/>
          <w:u w:val="single"/>
        </w:rPr>
        <w:t>重庆经开区百乐园老旧街区城市更新项目（一期）百乐园站站前广场改造工程</w:t>
      </w:r>
      <w:r>
        <w:rPr>
          <w:rFonts w:hint="eastAsia" w:ascii="宋体" w:hAnsi="宋体"/>
          <w:snapToGrid w:val="0"/>
          <w:w w:val="99"/>
          <w:kern w:val="0"/>
          <w:sz w:val="28"/>
          <w:szCs w:val="28"/>
        </w:rPr>
        <w:t>采购</w:t>
      </w:r>
      <w:r>
        <w:rPr>
          <w:rFonts w:ascii="宋体" w:hAnsi="宋体"/>
          <w:snapToGrid w:val="0"/>
          <w:w w:val="99"/>
          <w:kern w:val="0"/>
          <w:sz w:val="28"/>
          <w:szCs w:val="28"/>
        </w:rPr>
        <w:t>公告</w:t>
      </w:r>
    </w:p>
    <w:p w14:paraId="217EA845">
      <w:pPr>
        <w:pStyle w:val="4"/>
        <w:spacing w:before="100" w:after="100" w:line="460" w:lineRule="exact"/>
        <w:rPr>
          <w:rFonts w:ascii="宋体" w:hAnsi="宋体"/>
          <w:snapToGrid w:val="0"/>
          <w:sz w:val="28"/>
          <w:szCs w:val="28"/>
          <w:highlight w:val="none"/>
        </w:rPr>
      </w:pPr>
      <w:bookmarkStart w:id="15" w:name="_Toc287607728"/>
      <w:bookmarkStart w:id="16" w:name="_Toc200359427"/>
      <w:bookmarkStart w:id="17" w:name="_Toc287620667"/>
      <w:bookmarkStart w:id="18" w:name="_Toc200359238"/>
      <w:bookmarkStart w:id="19" w:name="_Toc430530416"/>
      <w:bookmarkStart w:id="20" w:name="_Toc6489"/>
      <w:bookmarkStart w:id="21" w:name="_Toc509218692"/>
      <w:bookmarkStart w:id="22" w:name="_Toc277082536"/>
      <w:bookmarkStart w:id="23" w:name="_Toc224103299"/>
      <w:r>
        <w:rPr>
          <w:rFonts w:ascii="宋体" w:hAnsi="宋体"/>
          <w:snapToGrid w:val="0"/>
          <w:sz w:val="28"/>
          <w:szCs w:val="28"/>
        </w:rPr>
        <w:t xml:space="preserve">1. </w:t>
      </w:r>
      <w:r>
        <w:rPr>
          <w:rFonts w:hint="eastAsia" w:ascii="宋体" w:hAnsi="宋体"/>
          <w:snapToGrid w:val="0"/>
          <w:sz w:val="28"/>
          <w:szCs w:val="28"/>
        </w:rPr>
        <w:t xml:space="preserve"> </w:t>
      </w:r>
      <w:r>
        <w:rPr>
          <w:rFonts w:hint="eastAsia" w:ascii="宋体" w:hAnsi="宋体"/>
          <w:snapToGrid w:val="0"/>
          <w:sz w:val="28"/>
          <w:szCs w:val="28"/>
          <w:highlight w:val="none"/>
        </w:rPr>
        <w:t>采购</w:t>
      </w:r>
      <w:r>
        <w:rPr>
          <w:rFonts w:ascii="宋体" w:hAnsi="宋体"/>
          <w:snapToGrid w:val="0"/>
          <w:sz w:val="28"/>
          <w:szCs w:val="28"/>
          <w:highlight w:val="none"/>
        </w:rPr>
        <w:t>条件</w:t>
      </w:r>
      <w:bookmarkEnd w:id="15"/>
      <w:bookmarkEnd w:id="16"/>
      <w:bookmarkEnd w:id="17"/>
      <w:bookmarkEnd w:id="18"/>
      <w:bookmarkEnd w:id="19"/>
      <w:bookmarkEnd w:id="20"/>
      <w:bookmarkEnd w:id="21"/>
      <w:bookmarkEnd w:id="22"/>
      <w:bookmarkEnd w:id="23"/>
    </w:p>
    <w:p w14:paraId="500A484B">
      <w:pPr>
        <w:spacing w:line="360" w:lineRule="auto"/>
        <w:ind w:firstLine="420" w:firstLineChars="200"/>
        <w:jc w:val="left"/>
        <w:rPr>
          <w:rFonts w:ascii="宋体" w:hAnsi="宋体"/>
          <w:snapToGrid w:val="0"/>
          <w:kern w:val="0"/>
          <w:szCs w:val="21"/>
          <w:highlight w:val="none"/>
        </w:rPr>
      </w:pPr>
      <w:r>
        <w:rPr>
          <w:rFonts w:ascii="宋体" w:hAnsi="宋体"/>
          <w:snapToGrid w:val="0"/>
          <w:kern w:val="0"/>
          <w:szCs w:val="21"/>
          <w:highlight w:val="none"/>
        </w:rPr>
        <w:t>本</w:t>
      </w:r>
      <w:r>
        <w:rPr>
          <w:rFonts w:hint="eastAsia" w:ascii="宋体" w:hAnsi="宋体"/>
          <w:snapToGrid w:val="0"/>
          <w:kern w:val="0"/>
          <w:szCs w:val="21"/>
          <w:highlight w:val="none"/>
        </w:rPr>
        <w:t>采购</w:t>
      </w:r>
      <w:r>
        <w:rPr>
          <w:rFonts w:ascii="宋体" w:hAnsi="宋体"/>
          <w:snapToGrid w:val="0"/>
          <w:kern w:val="0"/>
          <w:szCs w:val="21"/>
          <w:highlight w:val="none"/>
        </w:rPr>
        <w:t>项目</w:t>
      </w:r>
      <w:r>
        <w:rPr>
          <w:rFonts w:hint="eastAsia" w:ascii="宋体" w:hAnsi="宋体"/>
          <w:snapToGrid w:val="0"/>
          <w:kern w:val="0"/>
          <w:szCs w:val="21"/>
          <w:highlight w:val="none"/>
          <w:u w:val="single"/>
        </w:rPr>
        <w:t>重庆经开区百乐园老旧街区城市更新项目（一期）百乐园站站前广场改造工程</w:t>
      </w:r>
      <w:r>
        <w:rPr>
          <w:rFonts w:ascii="宋体" w:hAnsi="宋体"/>
          <w:snapToGrid w:val="0"/>
          <w:kern w:val="0"/>
          <w:szCs w:val="21"/>
          <w:highlight w:val="none"/>
        </w:rPr>
        <w:t>已由批准建设，项目业主为</w:t>
      </w:r>
      <w:r>
        <w:rPr>
          <w:rFonts w:hint="eastAsia" w:ascii="宋体" w:hAnsi="宋体"/>
          <w:snapToGrid w:val="0"/>
          <w:kern w:val="0"/>
          <w:szCs w:val="21"/>
          <w:highlight w:val="none"/>
          <w:u w:val="single"/>
          <w:lang w:eastAsia="zh-CN"/>
        </w:rPr>
        <w:t>重庆经开区投资集团有限公司</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，建设资金来自</w:t>
      </w:r>
      <w:r>
        <w:rPr>
          <w:rFonts w:hint="eastAsia" w:ascii="宋体" w:hAnsi="宋体"/>
          <w:snapToGrid w:val="0"/>
          <w:kern w:val="0"/>
          <w:szCs w:val="21"/>
          <w:highlight w:val="none"/>
          <w:u w:val="single"/>
        </w:rPr>
        <w:t xml:space="preserve">  业主自筹 </w:t>
      </w:r>
      <w:r>
        <w:rPr>
          <w:rFonts w:ascii="宋体" w:hAnsi="宋体"/>
          <w:snapToGrid w:val="0"/>
          <w:kern w:val="0"/>
          <w:szCs w:val="21"/>
          <w:highlight w:val="none"/>
        </w:rPr>
        <w:t>，项目出资比例为</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100%</w:t>
      </w:r>
      <w:r>
        <w:rPr>
          <w:rFonts w:hint="eastAsia" w:ascii="宋体" w:hAnsi="宋体"/>
          <w:snapToGrid w:val="0"/>
          <w:kern w:val="0"/>
          <w:szCs w:val="21"/>
          <w:highlight w:val="none"/>
          <w:u w:val="single"/>
        </w:rPr>
        <w:t xml:space="preserve"> </w:t>
      </w:r>
      <w:r>
        <w:rPr>
          <w:rFonts w:ascii="宋体" w:hAnsi="宋体"/>
          <w:snapToGrid w:val="0"/>
          <w:kern w:val="0"/>
          <w:szCs w:val="21"/>
          <w:highlight w:val="none"/>
        </w:rPr>
        <w:t>，</w:t>
      </w:r>
      <w:r>
        <w:rPr>
          <w:rFonts w:hint="eastAsia" w:ascii="宋体" w:hAnsi="宋体"/>
          <w:snapToGrid w:val="0"/>
          <w:kern w:val="0"/>
          <w:szCs w:val="21"/>
          <w:highlight w:val="none"/>
        </w:rPr>
        <w:t>采购</w:t>
      </w:r>
      <w:r>
        <w:rPr>
          <w:rFonts w:ascii="宋体" w:hAnsi="宋体"/>
          <w:snapToGrid w:val="0"/>
          <w:kern w:val="0"/>
          <w:szCs w:val="21"/>
          <w:highlight w:val="none"/>
        </w:rPr>
        <w:t>人</w:t>
      </w:r>
      <w:r>
        <w:rPr>
          <w:rFonts w:ascii="宋体" w:hAnsi="宋体"/>
          <w:snapToGrid w:val="0"/>
          <w:kern w:val="0"/>
          <w:position w:val="-2"/>
          <w:szCs w:val="21"/>
          <w:highlight w:val="none"/>
        </w:rPr>
        <w:t>为</w:t>
      </w:r>
      <w:r>
        <w:rPr>
          <w:rFonts w:hint="eastAsia" w:ascii="宋体" w:hAnsi="宋体"/>
          <w:snapToGrid w:val="0"/>
          <w:kern w:val="0"/>
          <w:szCs w:val="21"/>
          <w:highlight w:val="none"/>
          <w:u w:val="single"/>
        </w:rPr>
        <w:t xml:space="preserve">  重庆经开区开发建设有限公司  </w:t>
      </w:r>
      <w:r>
        <w:rPr>
          <w:rFonts w:ascii="宋体" w:hAnsi="宋体"/>
          <w:snapToGrid w:val="0"/>
          <w:kern w:val="0"/>
          <w:position w:val="-2"/>
          <w:szCs w:val="21"/>
          <w:highlight w:val="none"/>
        </w:rPr>
        <w:t>。项目已具备</w:t>
      </w:r>
      <w:r>
        <w:rPr>
          <w:rFonts w:hint="eastAsia" w:ascii="宋体" w:hAnsi="宋体"/>
          <w:snapToGrid w:val="0"/>
          <w:kern w:val="0"/>
          <w:position w:val="-2"/>
          <w:szCs w:val="21"/>
          <w:highlight w:val="none"/>
        </w:rPr>
        <w:t>采购</w:t>
      </w:r>
      <w:r>
        <w:rPr>
          <w:rFonts w:ascii="宋体" w:hAnsi="宋体"/>
          <w:snapToGrid w:val="0"/>
          <w:kern w:val="0"/>
          <w:position w:val="-2"/>
          <w:szCs w:val="21"/>
          <w:highlight w:val="none"/>
        </w:rPr>
        <w:t>条件，现对</w:t>
      </w:r>
      <w:r>
        <w:rPr>
          <w:rFonts w:hint="eastAsia" w:ascii="宋体" w:hAnsi="宋体"/>
          <w:snapToGrid w:val="0"/>
          <w:kern w:val="0"/>
          <w:position w:val="-2"/>
          <w:szCs w:val="21"/>
          <w:highlight w:val="none"/>
          <w:u w:val="single"/>
        </w:rPr>
        <w:t>该项目的施工</w:t>
      </w:r>
      <w:r>
        <w:rPr>
          <w:rFonts w:ascii="宋体" w:hAnsi="宋体"/>
          <w:snapToGrid w:val="0"/>
          <w:kern w:val="0"/>
          <w:position w:val="-2"/>
          <w:szCs w:val="21"/>
          <w:highlight w:val="none"/>
        </w:rPr>
        <w:t>进行</w:t>
      </w:r>
      <w:r>
        <w:rPr>
          <w:rFonts w:hint="eastAsia" w:ascii="宋体" w:hAnsi="宋体"/>
          <w:snapToGrid w:val="0"/>
          <w:kern w:val="0"/>
          <w:position w:val="-2"/>
          <w:szCs w:val="21"/>
          <w:highlight w:val="none"/>
          <w:u w:val="single"/>
        </w:rPr>
        <w:t>竞争性比选。</w:t>
      </w:r>
    </w:p>
    <w:p w14:paraId="1F16161C">
      <w:pPr>
        <w:pStyle w:val="4"/>
        <w:spacing w:before="100" w:after="100" w:line="460" w:lineRule="exact"/>
        <w:rPr>
          <w:rFonts w:ascii="宋体" w:hAnsi="宋体"/>
          <w:snapToGrid w:val="0"/>
          <w:sz w:val="28"/>
          <w:szCs w:val="28"/>
          <w:highlight w:val="none"/>
        </w:rPr>
      </w:pPr>
      <w:bookmarkStart w:id="24" w:name="_Toc224103300"/>
      <w:bookmarkStart w:id="25" w:name="_Toc509218693"/>
      <w:bookmarkStart w:id="26" w:name="_Toc430530417"/>
      <w:bookmarkStart w:id="27" w:name="_Toc200359239"/>
      <w:bookmarkStart w:id="28" w:name="_Toc277082537"/>
      <w:bookmarkStart w:id="29" w:name="_Toc287607729"/>
      <w:bookmarkStart w:id="30" w:name="_Toc7267"/>
      <w:bookmarkStart w:id="31" w:name="_Toc287620668"/>
      <w:bookmarkStart w:id="32" w:name="_Toc200359428"/>
      <w:r>
        <w:rPr>
          <w:rFonts w:ascii="宋体" w:hAnsi="宋体"/>
          <w:snapToGrid w:val="0"/>
          <w:sz w:val="28"/>
          <w:szCs w:val="28"/>
          <w:highlight w:val="none"/>
        </w:rPr>
        <w:t>2.</w:t>
      </w:r>
      <w:r>
        <w:rPr>
          <w:rFonts w:hint="eastAsia" w:ascii="宋体" w:hAnsi="宋体"/>
          <w:snapToGrid w:val="0"/>
          <w:sz w:val="28"/>
          <w:szCs w:val="28"/>
          <w:highlight w:val="none"/>
        </w:rPr>
        <w:t xml:space="preserve"> </w:t>
      </w:r>
      <w:r>
        <w:rPr>
          <w:rFonts w:ascii="宋体" w:hAnsi="宋体"/>
          <w:snapToGrid w:val="0"/>
          <w:sz w:val="28"/>
          <w:szCs w:val="28"/>
          <w:highlight w:val="none"/>
        </w:rPr>
        <w:t xml:space="preserve"> 项目概况与</w:t>
      </w:r>
      <w:r>
        <w:rPr>
          <w:rFonts w:hint="eastAsia" w:ascii="宋体" w:hAnsi="宋体"/>
          <w:snapToGrid w:val="0"/>
          <w:sz w:val="28"/>
          <w:szCs w:val="28"/>
          <w:highlight w:val="none"/>
        </w:rPr>
        <w:t>采购</w:t>
      </w:r>
      <w:r>
        <w:rPr>
          <w:rFonts w:ascii="宋体" w:hAnsi="宋体"/>
          <w:snapToGrid w:val="0"/>
          <w:sz w:val="28"/>
          <w:szCs w:val="28"/>
          <w:highlight w:val="none"/>
        </w:rPr>
        <w:t>范围</w:t>
      </w:r>
      <w:bookmarkEnd w:id="24"/>
      <w:bookmarkEnd w:id="25"/>
      <w:bookmarkEnd w:id="26"/>
      <w:bookmarkEnd w:id="27"/>
      <w:bookmarkEnd w:id="28"/>
      <w:bookmarkEnd w:id="29"/>
      <w:bookmarkEnd w:id="30"/>
      <w:bookmarkEnd w:id="31"/>
      <w:bookmarkEnd w:id="32"/>
    </w:p>
    <w:p w14:paraId="41FF2CAE">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2.1 建设地点：</w:t>
      </w:r>
      <w:r>
        <w:rPr>
          <w:rFonts w:hint="eastAsia" w:ascii="宋体" w:hAnsi="宋体"/>
          <w:snapToGrid w:val="0"/>
          <w:kern w:val="0"/>
          <w:szCs w:val="21"/>
          <w:highlight w:val="none"/>
          <w:u w:val="single"/>
        </w:rPr>
        <w:t xml:space="preserve"> 重庆市南岸区</w:t>
      </w:r>
    </w:p>
    <w:p w14:paraId="0B9033DC">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snapToGrid w:val="0"/>
          <w:kern w:val="0"/>
          <w:szCs w:val="21"/>
          <w:highlight w:val="none"/>
          <w:u w:val="single"/>
          <w:lang w:eastAsia="zh-CN"/>
        </w:rPr>
      </w:pPr>
      <w:r>
        <w:rPr>
          <w:rFonts w:hint="eastAsia" w:ascii="宋体" w:hAnsi="宋体"/>
          <w:snapToGrid w:val="0"/>
          <w:kern w:val="0"/>
          <w:szCs w:val="21"/>
          <w:highlight w:val="none"/>
        </w:rPr>
        <w:t>2.2 项目概况与建设规模：</w:t>
      </w:r>
      <w:r>
        <w:rPr>
          <w:rFonts w:hint="eastAsia" w:ascii="宋体" w:hAnsi="宋体"/>
          <w:snapToGrid w:val="0"/>
          <w:kern w:val="0"/>
          <w:szCs w:val="21"/>
          <w:highlight w:val="none"/>
          <w:lang w:eastAsia="zh-CN"/>
        </w:rPr>
        <w:t>包括但不限于</w:t>
      </w:r>
      <w:r>
        <w:rPr>
          <w:rFonts w:hint="eastAsia" w:ascii="宋体" w:hAnsi="宋体"/>
          <w:snapToGrid w:val="0"/>
          <w:kern w:val="0"/>
          <w:szCs w:val="21"/>
          <w:highlight w:val="none"/>
          <w:u w:val="single"/>
        </w:rPr>
        <w:t>对轨道6号线百乐园站站前拆迁后区域进行整体改造，建设临时性社会停车场，满足站点开通后市民使用需求。主要建设内容包括场地平整、水稳层铺设、停车位设置、出入口道闸安装等。</w:t>
      </w:r>
      <w:r>
        <w:rPr>
          <w:rFonts w:hint="eastAsia" w:ascii="宋体" w:hAnsi="宋体"/>
          <w:snapToGrid w:val="0"/>
          <w:kern w:val="0"/>
          <w:szCs w:val="21"/>
          <w:highlight w:val="none"/>
          <w:u w:val="single"/>
          <w:lang w:eastAsia="zh-CN"/>
        </w:rPr>
        <w:t>具体范围以招标人发布的施工图、工程量清单为准。</w:t>
      </w:r>
    </w:p>
    <w:p w14:paraId="37BDB719">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2.3 本次采购项目合同估算金额：</w:t>
      </w:r>
      <w:r>
        <w:rPr>
          <w:rFonts w:hint="eastAsia" w:ascii="宋体" w:hAnsi="宋体"/>
          <w:snapToGrid w:val="0"/>
          <w:kern w:val="0"/>
          <w:szCs w:val="21"/>
          <w:highlight w:val="none"/>
          <w:lang w:eastAsia="zh-CN"/>
        </w:rPr>
        <w:t>约</w:t>
      </w:r>
      <w:r>
        <w:rPr>
          <w:rFonts w:hint="eastAsia"/>
          <w:snapToGrid w:val="0"/>
          <w:kern w:val="0"/>
          <w:szCs w:val="21"/>
          <w:highlight w:val="none"/>
          <w:u w:val="single"/>
          <w:lang w:val="en-US" w:eastAsia="zh-CN"/>
        </w:rPr>
        <w:t>101.29万</w:t>
      </w:r>
      <w:r>
        <w:rPr>
          <w:rFonts w:hint="eastAsia" w:ascii="宋体" w:hAnsi="宋体"/>
          <w:snapToGrid w:val="0"/>
          <w:kern w:val="0"/>
          <w:szCs w:val="21"/>
          <w:highlight w:val="none"/>
          <w:u w:val="single"/>
        </w:rPr>
        <w:t>元。</w:t>
      </w:r>
    </w:p>
    <w:p w14:paraId="600E0F5A">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2.4 采购范围：</w:t>
      </w:r>
      <w:r>
        <w:rPr>
          <w:rFonts w:hint="eastAsia" w:ascii="宋体" w:hAnsi="宋体"/>
          <w:snapToGrid w:val="0"/>
          <w:kern w:val="0"/>
          <w:szCs w:val="21"/>
          <w:highlight w:val="none"/>
          <w:u w:val="single"/>
        </w:rPr>
        <w:t>施工部分：详见施工图、工程量清单。</w:t>
      </w:r>
    </w:p>
    <w:p w14:paraId="4C757151">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2.5 工期要求：</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val="en-US" w:eastAsia="zh-CN"/>
        </w:rPr>
        <w:t>25</w:t>
      </w:r>
      <w:r>
        <w:rPr>
          <w:rFonts w:hint="eastAsia" w:ascii="宋体" w:hAnsi="宋体"/>
          <w:snapToGrid w:val="0"/>
          <w:color w:val="auto"/>
          <w:kern w:val="0"/>
          <w:szCs w:val="21"/>
          <w:highlight w:val="none"/>
          <w:u w:val="single"/>
        </w:rPr>
        <w:t>天</w:t>
      </w:r>
    </w:p>
    <w:p w14:paraId="7E977697">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u w:val="single"/>
        </w:rPr>
      </w:pPr>
      <w:r>
        <w:rPr>
          <w:rFonts w:hint="eastAsia" w:ascii="宋体" w:hAnsi="宋体"/>
          <w:snapToGrid w:val="0"/>
          <w:kern w:val="0"/>
          <w:szCs w:val="21"/>
          <w:highlight w:val="none"/>
        </w:rPr>
        <w:t xml:space="preserve">    缺陷责任期要求：</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p w14:paraId="3C8FEF15">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2.6 标段划分（如有）：</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1D6C8C3D">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2.7 其他：</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w:t>
      </w:r>
      <w:r>
        <w:rPr>
          <w:rFonts w:hint="eastAsia" w:ascii="宋体" w:hAnsi="宋体"/>
          <w:snapToGrid w:val="0"/>
          <w:kern w:val="0"/>
          <w:szCs w:val="21"/>
          <w:highlight w:val="none"/>
          <w:u w:val="single"/>
        </w:rPr>
        <w:t xml:space="preserve">    </w:t>
      </w:r>
    </w:p>
    <w:p w14:paraId="7D3150AB">
      <w:pPr>
        <w:pStyle w:val="4"/>
        <w:spacing w:before="100" w:after="100" w:line="460" w:lineRule="exact"/>
        <w:rPr>
          <w:rFonts w:ascii="宋体" w:hAnsi="宋体"/>
          <w:snapToGrid w:val="0"/>
          <w:sz w:val="28"/>
          <w:szCs w:val="28"/>
          <w:highlight w:val="none"/>
        </w:rPr>
      </w:pPr>
      <w:bookmarkStart w:id="33" w:name="_Toc224103301"/>
      <w:bookmarkStart w:id="34" w:name="_Toc509218694"/>
      <w:bookmarkStart w:id="35" w:name="_Toc287607730"/>
      <w:bookmarkStart w:id="36" w:name="_Toc200359240"/>
      <w:bookmarkStart w:id="37" w:name="_Toc277082538"/>
      <w:bookmarkStart w:id="38" w:name="_Toc430530418"/>
      <w:bookmarkStart w:id="39" w:name="_Toc200359429"/>
      <w:bookmarkStart w:id="40" w:name="_Toc287620669"/>
      <w:bookmarkStart w:id="41" w:name="_Toc16457"/>
      <w:r>
        <w:rPr>
          <w:rFonts w:ascii="宋体" w:hAnsi="宋体"/>
          <w:snapToGrid w:val="0"/>
          <w:sz w:val="28"/>
          <w:szCs w:val="28"/>
          <w:highlight w:val="none"/>
        </w:rPr>
        <w:t xml:space="preserve">3. </w:t>
      </w:r>
      <w:r>
        <w:rPr>
          <w:rFonts w:hint="eastAsia" w:ascii="宋体" w:hAnsi="宋体"/>
          <w:snapToGrid w:val="0"/>
          <w:sz w:val="28"/>
          <w:szCs w:val="28"/>
          <w:highlight w:val="none"/>
        </w:rPr>
        <w:t xml:space="preserve"> </w:t>
      </w:r>
      <w:r>
        <w:rPr>
          <w:rFonts w:ascii="宋体" w:hAnsi="宋体"/>
          <w:snapToGrid w:val="0"/>
          <w:sz w:val="28"/>
          <w:szCs w:val="28"/>
          <w:highlight w:val="none"/>
        </w:rPr>
        <w:t>投标人资格要求</w:t>
      </w:r>
      <w:bookmarkEnd w:id="33"/>
      <w:bookmarkEnd w:id="34"/>
      <w:bookmarkEnd w:id="35"/>
      <w:bookmarkEnd w:id="36"/>
      <w:bookmarkEnd w:id="37"/>
      <w:bookmarkEnd w:id="38"/>
      <w:bookmarkEnd w:id="39"/>
      <w:bookmarkEnd w:id="40"/>
      <w:bookmarkEnd w:id="41"/>
    </w:p>
    <w:p w14:paraId="15FD0385">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3.1  本次</w:t>
      </w:r>
      <w:r>
        <w:rPr>
          <w:rFonts w:hint="eastAsia" w:ascii="宋体" w:hAnsi="宋体"/>
          <w:snapToGrid w:val="0"/>
          <w:kern w:val="0"/>
          <w:szCs w:val="21"/>
          <w:highlight w:val="none"/>
        </w:rPr>
        <w:t>采购</w:t>
      </w:r>
      <w:r>
        <w:rPr>
          <w:rFonts w:ascii="宋体" w:hAnsi="宋体"/>
          <w:snapToGrid w:val="0"/>
          <w:kern w:val="0"/>
          <w:szCs w:val="21"/>
          <w:highlight w:val="none"/>
        </w:rPr>
        <w:t>要求投标人须具备</w:t>
      </w:r>
      <w:r>
        <w:rPr>
          <w:rFonts w:hint="eastAsia" w:ascii="宋体" w:hAnsi="宋体"/>
          <w:snapToGrid w:val="0"/>
          <w:kern w:val="0"/>
          <w:szCs w:val="21"/>
          <w:highlight w:val="none"/>
        </w:rPr>
        <w:t>以下条件：</w:t>
      </w:r>
    </w:p>
    <w:p w14:paraId="08E2B154">
      <w:pPr>
        <w:tabs>
          <w:tab w:val="left" w:pos="3840"/>
          <w:tab w:val="left" w:pos="5300"/>
        </w:tabs>
        <w:autoSpaceDE w:val="0"/>
        <w:autoSpaceDN w:val="0"/>
        <w:adjustRightInd w:val="0"/>
        <w:snapToGrid w:val="0"/>
        <w:spacing w:line="460" w:lineRule="exact"/>
        <w:ind w:firstLine="420" w:firstLineChars="200"/>
        <w:jc w:val="left"/>
        <w:rPr>
          <w:rFonts w:ascii="宋体" w:hAnsi="宋体"/>
          <w:snapToGrid w:val="0"/>
          <w:kern w:val="0"/>
          <w:szCs w:val="21"/>
          <w:highlight w:val="none"/>
        </w:rPr>
      </w:pPr>
      <w:r>
        <w:rPr>
          <w:rFonts w:hint="eastAsia" w:ascii="宋体" w:hAnsi="宋体"/>
          <w:snapToGrid w:val="0"/>
          <w:kern w:val="0"/>
          <w:szCs w:val="21"/>
          <w:highlight w:val="none"/>
        </w:rPr>
        <w:t>3.1.1 本次采购要求投标人具备的资质条件：</w:t>
      </w:r>
      <w:r>
        <w:rPr>
          <w:rFonts w:hint="eastAsia" w:ascii="宋体" w:hAnsi="宋体"/>
          <w:snapToGrid w:val="0"/>
          <w:kern w:val="0"/>
          <w:szCs w:val="21"/>
          <w:highlight w:val="none"/>
          <w:u w:val="single"/>
        </w:rPr>
        <w:t xml:space="preserve">市政公用工程施工总承包三级及以上 </w:t>
      </w:r>
      <w:r>
        <w:rPr>
          <w:rFonts w:hint="eastAsia" w:ascii="宋体" w:hAnsi="宋体"/>
          <w:snapToGrid w:val="0"/>
          <w:kern w:val="0"/>
          <w:szCs w:val="21"/>
          <w:highlight w:val="none"/>
        </w:rPr>
        <w:t>；</w:t>
      </w:r>
    </w:p>
    <w:p w14:paraId="482F3ADA">
      <w:pPr>
        <w:tabs>
          <w:tab w:val="left" w:pos="3840"/>
          <w:tab w:val="left" w:pos="5300"/>
        </w:tabs>
        <w:autoSpaceDE w:val="0"/>
        <w:autoSpaceDN w:val="0"/>
        <w:adjustRightInd w:val="0"/>
        <w:snapToGrid w:val="0"/>
        <w:spacing w:line="460" w:lineRule="exact"/>
        <w:ind w:firstLine="420" w:firstLineChars="200"/>
        <w:jc w:val="left"/>
        <w:rPr>
          <w:rFonts w:ascii="宋体" w:hAnsi="宋体"/>
          <w:szCs w:val="21"/>
          <w:highlight w:val="none"/>
        </w:rPr>
      </w:pPr>
      <w:r>
        <w:rPr>
          <w:rFonts w:hint="eastAsia" w:ascii="宋体" w:hAnsi="宋体"/>
          <w:snapToGrid w:val="0"/>
          <w:kern w:val="0"/>
          <w:szCs w:val="21"/>
          <w:highlight w:val="none"/>
        </w:rPr>
        <w:t>3.1.</w:t>
      </w:r>
      <w:r>
        <w:rPr>
          <w:rFonts w:ascii="宋体" w:hAnsi="宋体"/>
          <w:snapToGrid w:val="0"/>
          <w:kern w:val="0"/>
          <w:szCs w:val="21"/>
          <w:highlight w:val="none"/>
        </w:rPr>
        <w:t>2</w:t>
      </w:r>
      <w:r>
        <w:rPr>
          <w:rFonts w:hint="eastAsia" w:ascii="宋体" w:hAnsi="宋体"/>
          <w:snapToGrid w:val="0"/>
          <w:kern w:val="0"/>
          <w:szCs w:val="21"/>
          <w:highlight w:val="none"/>
        </w:rPr>
        <w:t xml:space="preserve"> 投标人还应在人员、设备、资金等方面具有相应的施工能力，详见采购文件第二章投标人须知前附表第1.4.1项内容。</w:t>
      </w:r>
    </w:p>
    <w:p w14:paraId="70CD27D4">
      <w:pPr>
        <w:tabs>
          <w:tab w:val="left" w:pos="3045"/>
          <w:tab w:val="left" w:pos="8310"/>
        </w:tabs>
        <w:autoSpaceDE w:val="0"/>
        <w:autoSpaceDN w:val="0"/>
        <w:adjustRightInd w:val="0"/>
        <w:snapToGrid w:val="0"/>
        <w:spacing w:line="460" w:lineRule="exact"/>
        <w:ind w:firstLine="420" w:firstLineChars="200"/>
        <w:rPr>
          <w:rFonts w:ascii="宋体" w:hAnsi="宋体"/>
          <w:snapToGrid w:val="0"/>
          <w:kern w:val="0"/>
          <w:szCs w:val="21"/>
          <w:highlight w:val="none"/>
        </w:rPr>
      </w:pPr>
      <w:r>
        <w:rPr>
          <w:rFonts w:ascii="宋体" w:hAnsi="宋体"/>
          <w:snapToGrid w:val="0"/>
          <w:kern w:val="0"/>
          <w:szCs w:val="21"/>
          <w:highlight w:val="none"/>
        </w:rPr>
        <w:t>3.2  本次</w:t>
      </w:r>
      <w:r>
        <w:rPr>
          <w:rFonts w:hint="eastAsia" w:ascii="宋体" w:hAnsi="宋体"/>
          <w:snapToGrid w:val="0"/>
          <w:kern w:val="0"/>
          <w:szCs w:val="21"/>
          <w:highlight w:val="none"/>
        </w:rPr>
        <w:t>采购不接受</w:t>
      </w:r>
      <w:r>
        <w:rPr>
          <w:rFonts w:ascii="宋体" w:hAnsi="宋体"/>
          <w:snapToGrid w:val="0"/>
          <w:kern w:val="0"/>
          <w:szCs w:val="21"/>
          <w:highlight w:val="none"/>
        </w:rPr>
        <w:t>联合体投标。</w:t>
      </w:r>
    </w:p>
    <w:p w14:paraId="7D494F0B">
      <w:pPr>
        <w:pStyle w:val="4"/>
        <w:spacing w:before="100" w:after="100" w:line="460" w:lineRule="exact"/>
        <w:rPr>
          <w:rFonts w:ascii="宋体" w:hAnsi="宋体"/>
          <w:snapToGrid w:val="0"/>
          <w:sz w:val="28"/>
          <w:szCs w:val="28"/>
          <w:highlight w:val="none"/>
        </w:rPr>
      </w:pPr>
      <w:bookmarkStart w:id="42" w:name="_Toc287620670"/>
      <w:bookmarkStart w:id="43" w:name="_Toc224103302"/>
      <w:bookmarkStart w:id="44" w:name="_Toc509218695"/>
      <w:bookmarkStart w:id="45" w:name="_Toc200359430"/>
      <w:bookmarkStart w:id="46" w:name="_Toc14585"/>
      <w:bookmarkStart w:id="47" w:name="_Toc430530419"/>
      <w:bookmarkStart w:id="48" w:name="_Toc200359241"/>
      <w:bookmarkStart w:id="49" w:name="_Toc277082539"/>
      <w:bookmarkStart w:id="50" w:name="_Toc287607731"/>
      <w:r>
        <w:rPr>
          <w:rFonts w:ascii="宋体" w:hAnsi="宋体"/>
          <w:snapToGrid w:val="0"/>
          <w:sz w:val="28"/>
          <w:szCs w:val="28"/>
          <w:highlight w:val="none"/>
        </w:rPr>
        <w:t xml:space="preserve">4. </w:t>
      </w:r>
      <w:r>
        <w:rPr>
          <w:rFonts w:hint="eastAsia" w:ascii="宋体" w:hAnsi="宋体"/>
          <w:snapToGrid w:val="0"/>
          <w:sz w:val="28"/>
          <w:szCs w:val="28"/>
          <w:highlight w:val="none"/>
        </w:rPr>
        <w:t xml:space="preserve"> 采购</w:t>
      </w:r>
      <w:r>
        <w:rPr>
          <w:rFonts w:ascii="宋体" w:hAnsi="宋体"/>
          <w:snapToGrid w:val="0"/>
          <w:sz w:val="28"/>
          <w:szCs w:val="28"/>
          <w:highlight w:val="none"/>
        </w:rPr>
        <w:t>文件的获取</w:t>
      </w:r>
      <w:bookmarkEnd w:id="42"/>
      <w:bookmarkEnd w:id="43"/>
      <w:bookmarkEnd w:id="44"/>
      <w:bookmarkEnd w:id="45"/>
      <w:bookmarkEnd w:id="46"/>
      <w:bookmarkEnd w:id="47"/>
      <w:bookmarkEnd w:id="48"/>
      <w:bookmarkEnd w:id="49"/>
      <w:bookmarkEnd w:id="50"/>
    </w:p>
    <w:p w14:paraId="254A3376">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4.1</w:t>
      </w:r>
      <w:r>
        <w:rPr>
          <w:rFonts w:ascii="宋体" w:hAnsi="宋体"/>
          <w:snapToGrid w:val="0"/>
          <w:kern w:val="0"/>
          <w:szCs w:val="21"/>
          <w:highlight w:val="none"/>
        </w:rPr>
        <w:t>本</w:t>
      </w:r>
      <w:r>
        <w:rPr>
          <w:rFonts w:hint="eastAsia" w:ascii="宋体" w:hAnsi="宋体"/>
          <w:snapToGrid w:val="0"/>
          <w:kern w:val="0"/>
          <w:szCs w:val="21"/>
          <w:highlight w:val="none"/>
          <w:lang w:eastAsia="zh-CN"/>
        </w:rPr>
        <w:t>招标</w:t>
      </w:r>
      <w:r>
        <w:rPr>
          <w:rFonts w:ascii="宋体" w:hAnsi="宋体"/>
          <w:snapToGrid w:val="0"/>
          <w:kern w:val="0"/>
          <w:szCs w:val="21"/>
          <w:highlight w:val="none"/>
        </w:rPr>
        <w:t>项目</w:t>
      </w:r>
      <w:r>
        <w:rPr>
          <w:rFonts w:hint="eastAsia" w:ascii="宋体" w:hAnsi="宋体"/>
          <w:snapToGrid w:val="0"/>
          <w:kern w:val="0"/>
          <w:szCs w:val="21"/>
          <w:highlight w:val="none"/>
        </w:rPr>
        <w:t>自行递交采购文件</w:t>
      </w:r>
      <w:r>
        <w:rPr>
          <w:rFonts w:ascii="宋体" w:hAnsi="宋体"/>
          <w:snapToGrid w:val="0"/>
          <w:kern w:val="0"/>
          <w:szCs w:val="21"/>
          <w:highlight w:val="none"/>
        </w:rPr>
        <w:t>，投标人在投标前可在</w:t>
      </w:r>
      <w:r>
        <w:rPr>
          <w:rFonts w:hint="eastAsia" w:ascii="宋体" w:hAnsi="宋体"/>
          <w:snapToGrid w:val="0"/>
          <w:kern w:val="0"/>
          <w:szCs w:val="21"/>
          <w:highlight w:val="none"/>
        </w:rPr>
        <w:t>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w:t>
      </w:r>
      <w:r>
        <w:rPr>
          <w:rFonts w:ascii="宋体" w:hAnsi="宋体"/>
          <w:snapToGrid w:val="0"/>
          <w:kern w:val="0"/>
          <w:szCs w:val="21"/>
          <w:highlight w:val="none"/>
        </w:rPr>
        <w:t>下载</w:t>
      </w:r>
      <w:r>
        <w:rPr>
          <w:rFonts w:hint="eastAsia" w:ascii="宋体" w:hAnsi="宋体"/>
          <w:snapToGrid w:val="0"/>
          <w:kern w:val="0"/>
          <w:szCs w:val="21"/>
          <w:highlight w:val="none"/>
        </w:rPr>
        <w:t>采购</w:t>
      </w:r>
      <w:r>
        <w:rPr>
          <w:rFonts w:ascii="宋体" w:hAnsi="宋体"/>
          <w:snapToGrid w:val="0"/>
          <w:kern w:val="0"/>
          <w:szCs w:val="21"/>
          <w:highlight w:val="none"/>
        </w:rPr>
        <w:t>文件、工程量清单、电子图纸等资料。</w:t>
      </w:r>
    </w:p>
    <w:p w14:paraId="63C574BC">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r>
        <w:rPr>
          <w:rFonts w:hint="eastAsia" w:ascii="宋体" w:hAnsi="宋体"/>
          <w:snapToGrid w:val="0"/>
          <w:kern w:val="0"/>
          <w:szCs w:val="21"/>
          <w:highlight w:val="none"/>
        </w:rPr>
        <w:t>4.2  投标人可通过采购公告中的联系人及联系地址书面递交对</w:t>
      </w:r>
      <w:r>
        <w:rPr>
          <w:rFonts w:hint="eastAsia" w:ascii="宋体" w:hAnsi="宋体"/>
          <w:snapToGrid w:val="0"/>
          <w:kern w:val="0"/>
          <w:szCs w:val="21"/>
          <w:highlight w:val="none"/>
          <w:u w:val="single"/>
        </w:rPr>
        <w:t xml:space="preserve">重庆经开区百乐园老旧街区城市更新项目（一期）百乐园站站前广场改造工程 </w:t>
      </w:r>
      <w:r>
        <w:rPr>
          <w:rFonts w:hint="eastAsia" w:ascii="宋体" w:hAnsi="宋体"/>
          <w:snapToGrid w:val="0"/>
          <w:kern w:val="0"/>
          <w:szCs w:val="21"/>
          <w:highlight w:val="none"/>
        </w:rPr>
        <w:t>提出疑问，提问截止时间为公告公示后第二天。（提示：公告公示后第二天结束后，不再接收任何书面质疑。）</w:t>
      </w:r>
    </w:p>
    <w:p w14:paraId="6881D86C">
      <w:pPr>
        <w:tabs>
          <w:tab w:val="left" w:pos="2420"/>
          <w:tab w:val="left" w:pos="5445"/>
        </w:tabs>
        <w:autoSpaceDE w:val="0"/>
        <w:autoSpaceDN w:val="0"/>
        <w:adjustRightInd w:val="0"/>
        <w:snapToGrid w:val="0"/>
        <w:spacing w:line="450" w:lineRule="exact"/>
        <w:ind w:firstLine="420"/>
        <w:jc w:val="left"/>
        <w:rPr>
          <w:rFonts w:ascii="宋体" w:hAnsi="宋体"/>
          <w:snapToGrid w:val="0"/>
          <w:kern w:val="0"/>
          <w:szCs w:val="21"/>
          <w:highlight w:val="none"/>
        </w:rPr>
      </w:pPr>
      <w:r>
        <w:rPr>
          <w:rFonts w:hint="eastAsia" w:ascii="宋体" w:hAnsi="宋体"/>
          <w:snapToGrid w:val="0"/>
          <w:kern w:val="0"/>
          <w:szCs w:val="21"/>
          <w:highlight w:val="none"/>
        </w:rPr>
        <w:t>4.3  采购人应于</w:t>
      </w:r>
      <w:r>
        <w:rPr>
          <w:rFonts w:hint="eastAsia" w:ascii="宋体" w:hAnsi="宋体" w:cs="宋体"/>
          <w:kern w:val="0"/>
          <w:szCs w:val="21"/>
          <w:highlight w:val="none"/>
          <w:u w:val="single"/>
        </w:rPr>
        <w:t>公告公示后第三天</w:t>
      </w:r>
      <w:r>
        <w:rPr>
          <w:rFonts w:hint="eastAsia" w:ascii="宋体" w:hAnsi="宋体"/>
          <w:snapToGrid w:val="0"/>
          <w:kern w:val="0"/>
          <w:szCs w:val="21"/>
          <w:highlight w:val="none"/>
        </w:rPr>
        <w:t>在重庆经开区投资集团官网</w:t>
      </w:r>
      <w:r>
        <w:rPr>
          <w:rFonts w:hint="eastAsia" w:ascii="宋体" w:hAnsi="宋体"/>
          <w:snapToGrid w:val="0"/>
          <w:kern w:val="0"/>
          <w:szCs w:val="21"/>
          <w:highlight w:val="none"/>
          <w:u w:val="single"/>
        </w:rPr>
        <w:t>（</w:t>
      </w:r>
      <w:r>
        <w:rPr>
          <w:highlight w:val="none"/>
        </w:rPr>
        <w:fldChar w:fldCharType="begin"/>
      </w:r>
      <w:r>
        <w:rPr>
          <w:highlight w:val="none"/>
        </w:rPr>
        <w:instrText xml:space="preserve"> HYPERLINK "http://www.cetzig.com/" </w:instrText>
      </w:r>
      <w:r>
        <w:rPr>
          <w:highlight w:val="none"/>
        </w:rPr>
        <w:fldChar w:fldCharType="separate"/>
      </w:r>
      <w:r>
        <w:rPr>
          <w:rFonts w:ascii="宋体" w:hAnsi="宋体"/>
          <w:snapToGrid w:val="0"/>
          <w:kern w:val="0"/>
          <w:szCs w:val="21"/>
          <w:highlight w:val="none"/>
          <w:u w:val="single"/>
        </w:rPr>
        <w:t>http://www.cetzig.com/</w:t>
      </w:r>
      <w:r>
        <w:rPr>
          <w:rFonts w:ascii="宋体" w:hAnsi="宋体"/>
          <w:snapToGrid w:val="0"/>
          <w:kern w:val="0"/>
          <w:szCs w:val="21"/>
          <w:highlight w:val="none"/>
          <w:u w:val="single"/>
        </w:rPr>
        <w:fldChar w:fldCharType="end"/>
      </w:r>
      <w:r>
        <w:rPr>
          <w:rFonts w:hint="eastAsia" w:ascii="宋体" w:hAnsi="宋体"/>
          <w:snapToGrid w:val="0"/>
          <w:kern w:val="0"/>
          <w:szCs w:val="21"/>
          <w:highlight w:val="none"/>
          <w:u w:val="single"/>
        </w:rPr>
        <w:t>）</w:t>
      </w:r>
      <w:r>
        <w:rPr>
          <w:rFonts w:hint="eastAsia" w:ascii="宋体" w:hAnsi="宋体"/>
          <w:snapToGrid w:val="0"/>
          <w:kern w:val="0"/>
          <w:szCs w:val="21"/>
          <w:highlight w:val="none"/>
        </w:rPr>
        <w:t>和行采家（https://www.gec123.com/）发布澄清。</w:t>
      </w:r>
    </w:p>
    <w:p w14:paraId="1B8D107D">
      <w:pPr>
        <w:tabs>
          <w:tab w:val="left" w:pos="2420"/>
          <w:tab w:val="left" w:pos="5445"/>
        </w:tabs>
        <w:autoSpaceDE w:val="0"/>
        <w:autoSpaceDN w:val="0"/>
        <w:adjustRightInd w:val="0"/>
        <w:snapToGrid w:val="0"/>
        <w:spacing w:line="450" w:lineRule="exact"/>
        <w:ind w:firstLine="420"/>
        <w:rPr>
          <w:rFonts w:ascii="宋体" w:hAnsi="宋体"/>
          <w:snapToGrid w:val="0"/>
          <w:kern w:val="0"/>
          <w:szCs w:val="21"/>
          <w:highlight w:val="none"/>
        </w:rPr>
      </w:pPr>
    </w:p>
    <w:p w14:paraId="28B12282">
      <w:pPr>
        <w:pStyle w:val="4"/>
        <w:spacing w:before="100" w:after="100" w:line="460" w:lineRule="exact"/>
        <w:rPr>
          <w:rFonts w:ascii="宋体" w:hAnsi="宋体"/>
          <w:snapToGrid w:val="0"/>
          <w:sz w:val="28"/>
          <w:szCs w:val="28"/>
          <w:highlight w:val="none"/>
        </w:rPr>
      </w:pPr>
      <w:bookmarkStart w:id="51" w:name="_Toc200359242"/>
      <w:bookmarkStart w:id="52" w:name="_Toc287607732"/>
      <w:bookmarkStart w:id="53" w:name="_Toc277082540"/>
      <w:bookmarkStart w:id="54" w:name="_Toc8046"/>
      <w:bookmarkStart w:id="55" w:name="_Toc224103303"/>
      <w:bookmarkStart w:id="56" w:name="_Toc509218696"/>
      <w:bookmarkStart w:id="57" w:name="_Toc287620671"/>
      <w:bookmarkStart w:id="58" w:name="_Toc430530420"/>
      <w:bookmarkStart w:id="59" w:name="_Toc200359431"/>
      <w:r>
        <w:rPr>
          <w:rFonts w:ascii="宋体" w:hAnsi="宋体"/>
          <w:snapToGrid w:val="0"/>
          <w:sz w:val="28"/>
          <w:szCs w:val="28"/>
          <w:highlight w:val="none"/>
        </w:rPr>
        <w:t xml:space="preserve">5. </w:t>
      </w:r>
      <w:r>
        <w:rPr>
          <w:rFonts w:hint="eastAsia" w:ascii="宋体" w:hAnsi="宋体"/>
          <w:snapToGrid w:val="0"/>
          <w:sz w:val="28"/>
          <w:szCs w:val="28"/>
          <w:highlight w:val="none"/>
        </w:rPr>
        <w:t xml:space="preserve"> </w:t>
      </w:r>
      <w:r>
        <w:rPr>
          <w:rFonts w:ascii="宋体" w:hAnsi="宋体"/>
          <w:snapToGrid w:val="0"/>
          <w:sz w:val="28"/>
          <w:szCs w:val="28"/>
          <w:highlight w:val="none"/>
        </w:rPr>
        <w:t>投标文件的递交</w:t>
      </w:r>
      <w:bookmarkEnd w:id="51"/>
      <w:bookmarkEnd w:id="52"/>
      <w:bookmarkEnd w:id="53"/>
      <w:bookmarkEnd w:id="54"/>
      <w:bookmarkEnd w:id="55"/>
      <w:bookmarkEnd w:id="56"/>
      <w:bookmarkEnd w:id="57"/>
      <w:bookmarkEnd w:id="58"/>
      <w:bookmarkEnd w:id="59"/>
    </w:p>
    <w:p w14:paraId="7331D3A4">
      <w:pPr>
        <w:tabs>
          <w:tab w:val="left" w:pos="2000"/>
          <w:tab w:val="left" w:pos="5580"/>
          <w:tab w:val="left" w:pos="6220"/>
          <w:tab w:val="left" w:pos="6840"/>
          <w:tab w:val="left" w:pos="7460"/>
          <w:tab w:val="left" w:pos="8100"/>
        </w:tabs>
        <w:autoSpaceDE w:val="0"/>
        <w:autoSpaceDN w:val="0"/>
        <w:adjustRightInd w:val="0"/>
        <w:snapToGrid w:val="0"/>
        <w:spacing w:line="450" w:lineRule="exact"/>
        <w:ind w:firstLine="420" w:firstLineChars="200"/>
        <w:rPr>
          <w:rFonts w:ascii="宋体" w:hAnsi="宋体"/>
          <w:snapToGrid w:val="0"/>
          <w:kern w:val="0"/>
          <w:szCs w:val="21"/>
          <w:highlight w:val="none"/>
        </w:rPr>
      </w:pPr>
      <w:r>
        <w:rPr>
          <w:rFonts w:ascii="宋体" w:hAnsi="宋体"/>
          <w:snapToGrid w:val="0"/>
          <w:kern w:val="0"/>
          <w:szCs w:val="21"/>
          <w:highlight w:val="none"/>
        </w:rPr>
        <w:t>5.1  投标文件递交的截止时间（投标截止时间，下同）为</w:t>
      </w:r>
      <w:r>
        <w:rPr>
          <w:rFonts w:hint="eastAsia" w:ascii="宋体" w:hAnsi="宋体"/>
          <w:kern w:val="0"/>
          <w:szCs w:val="21"/>
          <w:highlight w:val="none"/>
        </w:rPr>
        <w:t xml:space="preserve"> </w:t>
      </w:r>
      <w:r>
        <w:rPr>
          <w:rFonts w:ascii="宋体" w:hAnsi="宋体"/>
          <w:kern w:val="0"/>
          <w:szCs w:val="21"/>
          <w:highlight w:val="none"/>
        </w:rPr>
        <w:t>202</w:t>
      </w:r>
      <w:r>
        <w:rPr>
          <w:rFonts w:hint="eastAsia" w:ascii="宋体" w:hAnsi="宋体"/>
          <w:kern w:val="0"/>
          <w:szCs w:val="21"/>
          <w:highlight w:val="none"/>
          <w:lang w:val="en-US" w:eastAsia="zh-CN"/>
        </w:rPr>
        <w:t>5</w:t>
      </w:r>
      <w:r>
        <w:rPr>
          <w:rFonts w:ascii="宋体" w:hAnsi="宋体"/>
          <w:kern w:val="0"/>
          <w:szCs w:val="21"/>
          <w:highlight w:val="none"/>
        </w:rPr>
        <w:t>年</w:t>
      </w:r>
      <w:r>
        <w:rPr>
          <w:rFonts w:hint="eastAsia" w:ascii="宋体" w:hAnsi="宋体"/>
          <w:kern w:val="0"/>
          <w:szCs w:val="21"/>
          <w:highlight w:val="none"/>
          <w:lang w:val="en-US" w:eastAsia="zh-CN"/>
        </w:rPr>
        <w:t>5</w:t>
      </w:r>
      <w:r>
        <w:rPr>
          <w:rFonts w:ascii="宋体" w:hAnsi="宋体"/>
          <w:kern w:val="0"/>
          <w:szCs w:val="21"/>
          <w:highlight w:val="none"/>
        </w:rPr>
        <w:t>月</w:t>
      </w:r>
      <w:r>
        <w:rPr>
          <w:rFonts w:hint="eastAsia" w:ascii="宋体" w:hAnsi="宋体"/>
          <w:kern w:val="0"/>
          <w:szCs w:val="21"/>
          <w:highlight w:val="none"/>
          <w:lang w:val="en-US" w:eastAsia="zh-CN"/>
        </w:rPr>
        <w:t>29</w:t>
      </w:r>
      <w:r>
        <w:rPr>
          <w:rFonts w:ascii="宋体" w:hAnsi="宋体"/>
          <w:kern w:val="0"/>
          <w:szCs w:val="21"/>
          <w:highlight w:val="none"/>
        </w:rPr>
        <w:t>日</w:t>
      </w:r>
      <w:r>
        <w:rPr>
          <w:rFonts w:hint="eastAsia" w:ascii="宋体" w:hAnsi="宋体"/>
          <w:kern w:val="0"/>
          <w:szCs w:val="21"/>
          <w:highlight w:val="none"/>
          <w:lang w:val="en-US" w:eastAsia="zh-CN"/>
        </w:rPr>
        <w:t>10</w:t>
      </w:r>
      <w:r>
        <w:rPr>
          <w:rFonts w:ascii="宋体" w:hAnsi="宋体"/>
          <w:kern w:val="0"/>
          <w:szCs w:val="21"/>
          <w:highlight w:val="none"/>
        </w:rPr>
        <w:t>时</w:t>
      </w:r>
      <w:r>
        <w:rPr>
          <w:rFonts w:hint="eastAsia" w:ascii="宋体" w:hAnsi="宋体"/>
          <w:kern w:val="0"/>
          <w:szCs w:val="21"/>
          <w:highlight w:val="none"/>
          <w:lang w:val="en-US" w:eastAsia="zh-CN"/>
        </w:rPr>
        <w:t>00</w:t>
      </w:r>
      <w:r>
        <w:rPr>
          <w:rFonts w:ascii="宋体" w:hAnsi="宋体"/>
          <w:kern w:val="0"/>
          <w:szCs w:val="21"/>
          <w:highlight w:val="none"/>
        </w:rPr>
        <w:t>分</w:t>
      </w:r>
      <w:r>
        <w:rPr>
          <w:rFonts w:ascii="宋体" w:hAnsi="宋体"/>
          <w:snapToGrid w:val="0"/>
          <w:kern w:val="0"/>
          <w:szCs w:val="21"/>
          <w:highlight w:val="none"/>
        </w:rPr>
        <w:t>，</w:t>
      </w:r>
      <w:r>
        <w:rPr>
          <w:rFonts w:hint="eastAsia" w:ascii="宋体" w:hAnsi="宋体"/>
          <w:snapToGrid w:val="0"/>
          <w:kern w:val="0"/>
          <w:szCs w:val="21"/>
          <w:highlight w:val="none"/>
        </w:rPr>
        <w:t>投标人应当在投标截止时间前，递交至重庆市南岸区茶园江桥路一号附1号1420办公室。</w:t>
      </w:r>
    </w:p>
    <w:p w14:paraId="76CAD446">
      <w:pPr>
        <w:pStyle w:val="4"/>
        <w:spacing w:before="100" w:after="100" w:line="460" w:lineRule="exact"/>
        <w:rPr>
          <w:rFonts w:ascii="宋体" w:hAnsi="宋体"/>
          <w:snapToGrid w:val="0"/>
          <w:sz w:val="28"/>
          <w:szCs w:val="28"/>
          <w:highlight w:val="none"/>
        </w:rPr>
      </w:pPr>
      <w:bookmarkStart w:id="60" w:name="_Toc224103305"/>
      <w:bookmarkStart w:id="61" w:name="_Toc430530422"/>
      <w:bookmarkStart w:id="62" w:name="_Toc287607734"/>
      <w:bookmarkStart w:id="63" w:name="_Toc509218698"/>
      <w:bookmarkStart w:id="64" w:name="_Toc18038"/>
      <w:bookmarkStart w:id="65" w:name="_Toc277082542"/>
      <w:bookmarkStart w:id="66" w:name="_Toc287620673"/>
      <w:r>
        <w:rPr>
          <w:rFonts w:ascii="宋体" w:hAnsi="宋体"/>
          <w:snapToGrid w:val="0"/>
          <w:sz w:val="28"/>
          <w:szCs w:val="28"/>
          <w:highlight w:val="none"/>
        </w:rPr>
        <w:t xml:space="preserve">6. </w:t>
      </w:r>
      <w:r>
        <w:rPr>
          <w:rFonts w:hint="eastAsia" w:ascii="宋体" w:hAnsi="宋体"/>
          <w:snapToGrid w:val="0"/>
          <w:sz w:val="28"/>
          <w:szCs w:val="28"/>
          <w:highlight w:val="none"/>
        </w:rPr>
        <w:t xml:space="preserve"> </w:t>
      </w:r>
      <w:r>
        <w:rPr>
          <w:rFonts w:ascii="宋体" w:hAnsi="宋体"/>
          <w:snapToGrid w:val="0"/>
          <w:sz w:val="28"/>
          <w:szCs w:val="28"/>
          <w:highlight w:val="none"/>
        </w:rPr>
        <w:t>联系方式</w:t>
      </w:r>
      <w:bookmarkEnd w:id="60"/>
      <w:bookmarkEnd w:id="61"/>
      <w:bookmarkEnd w:id="62"/>
      <w:bookmarkEnd w:id="63"/>
      <w:bookmarkEnd w:id="64"/>
      <w:bookmarkEnd w:id="65"/>
      <w:bookmarkEnd w:id="66"/>
    </w:p>
    <w:p w14:paraId="6503F5F7">
      <w:pPr>
        <w:tabs>
          <w:tab w:val="left" w:pos="5140"/>
          <w:tab w:val="left" w:pos="85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招 标 人：</w:t>
      </w:r>
      <w:r>
        <w:rPr>
          <w:rFonts w:ascii="宋体" w:hAnsi="宋体"/>
          <w:snapToGrid w:val="0"/>
          <w:kern w:val="0"/>
          <w:szCs w:val="21"/>
          <w:highlight w:val="none"/>
          <w:u w:val="single"/>
        </w:rPr>
        <w:t xml:space="preserve"> 重庆经开区开发建设有限公司 </w:t>
      </w:r>
      <w:r>
        <w:rPr>
          <w:rFonts w:ascii="宋体" w:hAnsi="宋体"/>
          <w:snapToGrid w:val="0"/>
          <w:kern w:val="0"/>
          <w:szCs w:val="21"/>
          <w:highlight w:val="none"/>
        </w:rPr>
        <w:t xml:space="preserve">     </w:t>
      </w:r>
    </w:p>
    <w:p w14:paraId="74CC2D2D">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szCs w:val="21"/>
          <w:highlight w:val="none"/>
        </w:rPr>
        <w:t>地    址：</w:t>
      </w:r>
      <w:r>
        <w:rPr>
          <w:rFonts w:ascii="宋体" w:hAnsi="宋体"/>
          <w:snapToGrid w:val="0"/>
          <w:kern w:val="0"/>
          <w:szCs w:val="21"/>
          <w:highlight w:val="none"/>
          <w:u w:val="single"/>
        </w:rPr>
        <w:t xml:space="preserve"> </w:t>
      </w:r>
      <w:r>
        <w:rPr>
          <w:rFonts w:hint="eastAsia" w:ascii="宋体" w:hAnsi="宋体"/>
          <w:snapToGrid w:val="0"/>
          <w:kern w:val="0"/>
          <w:szCs w:val="21"/>
          <w:highlight w:val="none"/>
          <w:u w:val="single"/>
        </w:rPr>
        <w:t>重庆市南岸区茶园江桥路一号附1号</w:t>
      </w:r>
      <w:r>
        <w:rPr>
          <w:rFonts w:ascii="宋体" w:hAnsi="宋体"/>
          <w:snapToGrid w:val="0"/>
          <w:kern w:val="0"/>
          <w:szCs w:val="21"/>
          <w:highlight w:val="none"/>
          <w:u w:val="single"/>
        </w:rPr>
        <w:t xml:space="preserve">  </w:t>
      </w:r>
      <w:r>
        <w:rPr>
          <w:rFonts w:ascii="宋体" w:hAnsi="宋体"/>
          <w:snapToGrid w:val="0"/>
          <w:kern w:val="0"/>
          <w:szCs w:val="21"/>
          <w:highlight w:val="none"/>
        </w:rPr>
        <w:t xml:space="preserve">     </w:t>
      </w:r>
    </w:p>
    <w:p w14:paraId="6BB671DB">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highlight w:val="none"/>
        </w:rPr>
      </w:pPr>
      <w:r>
        <w:rPr>
          <w:rFonts w:ascii="宋体" w:hAnsi="宋体"/>
          <w:snapToGrid w:val="0"/>
          <w:kern w:val="0"/>
          <w:position w:val="-3"/>
          <w:szCs w:val="21"/>
          <w:highlight w:val="none"/>
        </w:rPr>
        <w:t>邮    编：</w:t>
      </w:r>
      <w:r>
        <w:rPr>
          <w:rFonts w:ascii="宋体" w:hAnsi="宋体"/>
          <w:snapToGrid w:val="0"/>
          <w:kern w:val="0"/>
          <w:szCs w:val="21"/>
          <w:highlight w:val="none"/>
          <w:u w:val="single"/>
        </w:rPr>
        <w:t xml:space="preserve">       400060                </w:t>
      </w:r>
      <w:r>
        <w:rPr>
          <w:rFonts w:ascii="宋体" w:hAnsi="宋体"/>
          <w:snapToGrid w:val="0"/>
          <w:kern w:val="0"/>
          <w:szCs w:val="21"/>
          <w:highlight w:val="none"/>
        </w:rPr>
        <w:t xml:space="preserve">     </w:t>
      </w:r>
    </w:p>
    <w:p w14:paraId="6723F345">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联 系 人：</w:t>
      </w:r>
      <w:r>
        <w:rPr>
          <w:rFonts w:ascii="宋体" w:hAnsi="宋体"/>
          <w:snapToGrid w:val="0"/>
          <w:kern w:val="0"/>
          <w:szCs w:val="21"/>
          <w:u w:val="single"/>
        </w:rPr>
        <w:t xml:space="preserve">       </w:t>
      </w:r>
      <w:r>
        <w:rPr>
          <w:rFonts w:hint="eastAsia" w:ascii="宋体" w:hAnsi="宋体"/>
          <w:snapToGrid w:val="0"/>
          <w:kern w:val="0"/>
          <w:szCs w:val="21"/>
          <w:u w:val="single"/>
        </w:rPr>
        <w:t>彭女士</w:t>
      </w:r>
      <w:r>
        <w:rPr>
          <w:rFonts w:ascii="宋体" w:hAnsi="宋体"/>
          <w:snapToGrid w:val="0"/>
          <w:kern w:val="0"/>
          <w:szCs w:val="21"/>
          <w:u w:val="single"/>
        </w:rPr>
        <w:t xml:space="preserve">                </w:t>
      </w:r>
      <w:r>
        <w:rPr>
          <w:rFonts w:ascii="宋体" w:hAnsi="宋体"/>
          <w:snapToGrid w:val="0"/>
          <w:kern w:val="0"/>
          <w:szCs w:val="21"/>
        </w:rPr>
        <w:t xml:space="preserve">     </w:t>
      </w:r>
    </w:p>
    <w:p w14:paraId="52E12413">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    话：</w:t>
      </w:r>
      <w:r>
        <w:rPr>
          <w:rFonts w:ascii="宋体" w:hAnsi="宋体"/>
          <w:snapToGrid w:val="0"/>
          <w:kern w:val="0"/>
          <w:szCs w:val="21"/>
          <w:u w:val="single"/>
        </w:rPr>
        <w:t xml:space="preserve">      </w:t>
      </w:r>
      <w:r>
        <w:rPr>
          <w:rFonts w:hint="eastAsia" w:ascii="宋体" w:hAnsi="宋体"/>
          <w:snapToGrid w:val="0"/>
          <w:kern w:val="0"/>
          <w:szCs w:val="21"/>
          <w:u w:val="single"/>
        </w:rPr>
        <w:t>（023）62633026</w:t>
      </w:r>
      <w:r>
        <w:rPr>
          <w:rFonts w:ascii="宋体" w:hAnsi="宋体"/>
          <w:snapToGrid w:val="0"/>
          <w:kern w:val="0"/>
          <w:szCs w:val="21"/>
          <w:u w:val="single"/>
        </w:rPr>
        <w:t xml:space="preserve">       </w:t>
      </w:r>
      <w:r>
        <w:rPr>
          <w:rFonts w:ascii="宋体" w:hAnsi="宋体"/>
          <w:snapToGrid w:val="0"/>
          <w:kern w:val="0"/>
          <w:szCs w:val="21"/>
        </w:rPr>
        <w:t xml:space="preserve">     </w:t>
      </w:r>
    </w:p>
    <w:p w14:paraId="6A824CA5">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传    真：</w:t>
      </w:r>
      <w:r>
        <w:rPr>
          <w:rFonts w:ascii="宋体" w:hAnsi="宋体"/>
          <w:snapToGrid w:val="0"/>
          <w:kern w:val="0"/>
          <w:szCs w:val="21"/>
          <w:u w:val="single"/>
        </w:rPr>
        <w:t xml:space="preserve">                             </w:t>
      </w:r>
      <w:r>
        <w:rPr>
          <w:rFonts w:ascii="宋体" w:hAnsi="宋体"/>
          <w:snapToGrid w:val="0"/>
          <w:kern w:val="0"/>
          <w:szCs w:val="21"/>
        </w:rPr>
        <w:t xml:space="preserve">    </w:t>
      </w:r>
    </w:p>
    <w:p w14:paraId="2E75A41A">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电子邮件：</w:t>
      </w:r>
      <w:r>
        <w:rPr>
          <w:rFonts w:ascii="宋体" w:hAnsi="宋体"/>
          <w:snapToGrid w:val="0"/>
          <w:kern w:val="0"/>
          <w:szCs w:val="21"/>
          <w:u w:val="single"/>
        </w:rPr>
        <w:t xml:space="preserve">                             </w:t>
      </w:r>
      <w:r>
        <w:rPr>
          <w:rFonts w:ascii="宋体" w:hAnsi="宋体"/>
          <w:snapToGrid w:val="0"/>
          <w:kern w:val="0"/>
          <w:szCs w:val="21"/>
        </w:rPr>
        <w:t xml:space="preserve">     </w:t>
      </w:r>
    </w:p>
    <w:p w14:paraId="53B631E0">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rPr>
      </w:pPr>
      <w:r>
        <w:rPr>
          <w:rFonts w:ascii="宋体" w:hAnsi="宋体"/>
          <w:snapToGrid w:val="0"/>
          <w:kern w:val="0"/>
          <w:szCs w:val="21"/>
        </w:rPr>
        <w:t>开户银行：</w:t>
      </w:r>
      <w:r>
        <w:rPr>
          <w:rFonts w:ascii="宋体" w:hAnsi="宋体"/>
          <w:snapToGrid w:val="0"/>
          <w:kern w:val="0"/>
          <w:szCs w:val="21"/>
          <w:u w:val="single"/>
        </w:rPr>
        <w:t xml:space="preserve">                             </w:t>
      </w:r>
      <w:r>
        <w:rPr>
          <w:rFonts w:ascii="宋体" w:hAnsi="宋体"/>
          <w:snapToGrid w:val="0"/>
          <w:kern w:val="0"/>
          <w:szCs w:val="21"/>
        </w:rPr>
        <w:t xml:space="preserve">     </w:t>
      </w:r>
    </w:p>
    <w:p w14:paraId="5DED11C1">
      <w:pPr>
        <w:tabs>
          <w:tab w:val="left" w:pos="5140"/>
          <w:tab w:val="left" w:pos="8420"/>
        </w:tabs>
        <w:autoSpaceDE w:val="0"/>
        <w:autoSpaceDN w:val="0"/>
        <w:adjustRightInd w:val="0"/>
        <w:snapToGrid w:val="0"/>
        <w:spacing w:line="450" w:lineRule="exact"/>
        <w:ind w:firstLine="420" w:firstLineChars="200"/>
        <w:jc w:val="left"/>
        <w:rPr>
          <w:rFonts w:ascii="宋体" w:hAnsi="宋体"/>
          <w:snapToGrid w:val="0"/>
          <w:kern w:val="0"/>
          <w:szCs w:val="21"/>
          <w:u w:val="single"/>
        </w:rPr>
      </w:pPr>
      <w:r>
        <w:rPr>
          <w:rFonts w:ascii="宋体" w:hAnsi="宋体"/>
          <w:snapToGrid w:val="0"/>
          <w:kern w:val="0"/>
          <w:szCs w:val="21"/>
        </w:rPr>
        <w:t>账    号：</w:t>
      </w:r>
      <w:r>
        <w:rPr>
          <w:rFonts w:ascii="宋体" w:hAnsi="宋体"/>
          <w:snapToGrid w:val="0"/>
          <w:kern w:val="0"/>
          <w:szCs w:val="21"/>
          <w:u w:val="single"/>
        </w:rPr>
        <w:t xml:space="preserve">                             </w:t>
      </w:r>
      <w:r>
        <w:rPr>
          <w:rFonts w:ascii="宋体" w:hAnsi="宋体"/>
          <w:snapToGrid w:val="0"/>
          <w:kern w:val="0"/>
          <w:szCs w:val="21"/>
        </w:rPr>
        <w:t xml:space="preserve">     </w:t>
      </w:r>
    </w:p>
    <w:p w14:paraId="7FD161B8">
      <w:pPr>
        <w:tabs>
          <w:tab w:val="left" w:pos="5140"/>
          <w:tab w:val="left" w:pos="8420"/>
        </w:tabs>
        <w:autoSpaceDE w:val="0"/>
        <w:autoSpaceDN w:val="0"/>
        <w:adjustRightInd w:val="0"/>
        <w:snapToGrid w:val="0"/>
        <w:spacing w:line="400" w:lineRule="exact"/>
        <w:jc w:val="left"/>
        <w:rPr>
          <w:rFonts w:ascii="宋体" w:hAnsi="宋体"/>
          <w:snapToGrid w:val="0"/>
          <w:kern w:val="0"/>
          <w:szCs w:val="21"/>
          <w:u w:val="single"/>
        </w:rPr>
      </w:pPr>
    </w:p>
    <w:p w14:paraId="42A9E114">
      <w:pPr>
        <w:wordWrap w:val="0"/>
        <w:autoSpaceDE w:val="0"/>
        <w:autoSpaceDN w:val="0"/>
        <w:adjustRightInd w:val="0"/>
        <w:snapToGrid w:val="0"/>
        <w:spacing w:line="440" w:lineRule="exact"/>
        <w:ind w:firstLine="3906" w:firstLineChars="1860"/>
        <w:jc w:val="right"/>
        <w:rPr>
          <w:rFonts w:ascii="宋体" w:hAnsi="宋体"/>
          <w:snapToGrid w:val="0"/>
          <w:kern w:val="0"/>
          <w:sz w:val="20"/>
          <w:szCs w:val="20"/>
        </w:rPr>
      </w:pPr>
      <w:r>
        <w:rPr>
          <w:rFonts w:ascii="宋体" w:hAnsi="宋体"/>
          <w:snapToGrid w:val="0"/>
          <w:kern w:val="0"/>
          <w:szCs w:val="21"/>
          <w:u w:val="single"/>
        </w:rPr>
        <w:t xml:space="preserve">   202</w:t>
      </w:r>
      <w:r>
        <w:rPr>
          <w:rFonts w:hint="eastAsia" w:ascii="宋体" w:hAnsi="宋体"/>
          <w:snapToGrid w:val="0"/>
          <w:kern w:val="0"/>
          <w:szCs w:val="21"/>
          <w:u w:val="single"/>
          <w:lang w:val="en-US" w:eastAsia="zh-CN"/>
        </w:rPr>
        <w:t>5</w:t>
      </w:r>
      <w:r>
        <w:rPr>
          <w:rFonts w:hint="eastAsia" w:ascii="宋体" w:hAnsi="宋体"/>
          <w:snapToGrid w:val="0"/>
          <w:kern w:val="0"/>
          <w:szCs w:val="21"/>
          <w:u w:val="single"/>
        </w:rPr>
        <w:t xml:space="preserve">  </w:t>
      </w:r>
      <w:r>
        <w:rPr>
          <w:rFonts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5</w:t>
      </w:r>
      <w:r>
        <w:rPr>
          <w:rFonts w:hint="eastAsia" w:ascii="宋体" w:hAnsi="宋体"/>
          <w:snapToGrid w:val="0"/>
          <w:kern w:val="0"/>
          <w:szCs w:val="21"/>
          <w:u w:val="single"/>
        </w:rPr>
        <w:t xml:space="preserve"> </w:t>
      </w:r>
      <w:r>
        <w:rPr>
          <w:rFonts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u w:val="single"/>
          <w:lang w:val="en-US" w:eastAsia="zh-CN"/>
        </w:rPr>
        <w:t>23</w:t>
      </w:r>
      <w:r>
        <w:rPr>
          <w:rFonts w:hint="eastAsia" w:ascii="宋体" w:hAnsi="宋体"/>
          <w:snapToGrid w:val="0"/>
          <w:kern w:val="0"/>
          <w:szCs w:val="21"/>
          <w:u w:val="single"/>
        </w:rPr>
        <w:t xml:space="preserve"> </w:t>
      </w:r>
      <w:r>
        <w:rPr>
          <w:rFonts w:ascii="宋体" w:hAnsi="宋体"/>
          <w:snapToGrid w:val="0"/>
          <w:kern w:val="0"/>
          <w:szCs w:val="21"/>
        </w:rPr>
        <w:t>日</w:t>
      </w:r>
      <w:r>
        <w:rPr>
          <w:rFonts w:hint="eastAsia" w:ascii="宋体" w:hAnsi="宋体"/>
          <w:snapToGrid w:val="0"/>
          <w:kern w:val="0"/>
          <w:szCs w:val="21"/>
        </w:rPr>
        <w:t xml:space="preserve">  </w:t>
      </w:r>
    </w:p>
    <w:p w14:paraId="5A0A3364">
      <w:pPr>
        <w:pStyle w:val="3"/>
        <w:spacing w:before="0" w:after="0" w:line="592" w:lineRule="exact"/>
        <w:rPr>
          <w:rFonts w:ascii="宋体" w:hAnsi="宋体"/>
          <w:snapToGrid w:val="0"/>
          <w:kern w:val="0"/>
          <w:szCs w:val="21"/>
        </w:rPr>
      </w:pPr>
      <w:r>
        <w:rPr>
          <w:rFonts w:ascii="宋体" w:hAnsi="宋体"/>
          <w:snapToGrid w:val="0"/>
          <w:kern w:val="0"/>
          <w:szCs w:val="21"/>
        </w:rPr>
        <w:br w:type="page"/>
      </w:r>
      <w:bookmarkStart w:id="67" w:name="_Toc28381"/>
      <w:bookmarkStart w:id="68" w:name="_Toc287620683"/>
      <w:bookmarkStart w:id="69" w:name="_Toc430530432"/>
      <w:bookmarkStart w:id="70" w:name="_Toc224103315"/>
      <w:bookmarkStart w:id="71" w:name="_Toc287607744"/>
      <w:r>
        <w:rPr>
          <w:rFonts w:ascii="宋体" w:hAnsi="宋体"/>
          <w:snapToGrid w:val="0"/>
          <w:kern w:val="0"/>
        </w:rPr>
        <w:t>第二章  投标人须知</w:t>
      </w:r>
      <w:bookmarkEnd w:id="67"/>
      <w:bookmarkEnd w:id="68"/>
      <w:bookmarkEnd w:id="69"/>
      <w:bookmarkEnd w:id="70"/>
      <w:bookmarkEnd w:id="71"/>
      <w:bookmarkStart w:id="72" w:name="_Toc224103316"/>
      <w:bookmarkStart w:id="73" w:name="_Toc287607745"/>
      <w:bookmarkStart w:id="74" w:name="_Toc430530433"/>
      <w:bookmarkStart w:id="75" w:name="_Toc277082551"/>
      <w:bookmarkStart w:id="76" w:name="_Toc287620684"/>
    </w:p>
    <w:p w14:paraId="430BD76C">
      <w:pPr>
        <w:pStyle w:val="4"/>
        <w:spacing w:before="100" w:after="100" w:line="592" w:lineRule="exact"/>
        <w:rPr>
          <w:rFonts w:ascii="宋体" w:hAnsi="宋体"/>
        </w:rPr>
      </w:pPr>
      <w:bookmarkStart w:id="77" w:name="_Toc509218708"/>
      <w:bookmarkStart w:id="78" w:name="_Toc32562"/>
      <w:r>
        <w:rPr>
          <w:rFonts w:hint="eastAsia" w:ascii="宋体" w:hAnsi="宋体"/>
        </w:rPr>
        <w:t>投标人须知前附表</w:t>
      </w:r>
      <w:bookmarkEnd w:id="72"/>
      <w:bookmarkEnd w:id="73"/>
      <w:bookmarkEnd w:id="74"/>
      <w:bookmarkEnd w:id="75"/>
      <w:bookmarkEnd w:id="76"/>
      <w:bookmarkEnd w:id="77"/>
      <w:bookmarkEnd w:id="78"/>
    </w:p>
    <w:p w14:paraId="25A28055">
      <w:pPr>
        <w:spacing w:line="360" w:lineRule="auto"/>
        <w:ind w:firstLine="420" w:firstLineChars="200"/>
        <w:rPr>
          <w:rFonts w:ascii="宋体" w:hAnsi="宋体"/>
          <w:szCs w:val="21"/>
        </w:rPr>
      </w:pPr>
      <w:r>
        <w:rPr>
          <w:rFonts w:ascii="宋体" w:hAnsi="宋体"/>
          <w:szCs w:val="21"/>
        </w:rPr>
        <w:t>正文内容不允许修改。若投标人须知前附表与正文不一致的地方，以投标人须知前附表为准。</w:t>
      </w:r>
    </w:p>
    <w:tbl>
      <w:tblPr>
        <w:tblStyle w:val="45"/>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1451"/>
        <w:gridCol w:w="6683"/>
      </w:tblGrid>
      <w:tr w14:paraId="116F12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40" w:type="dxa"/>
            <w:vAlign w:val="center"/>
          </w:tcPr>
          <w:p w14:paraId="6DD12B9A">
            <w:pPr>
              <w:snapToGrid w:val="0"/>
              <w:spacing w:line="400" w:lineRule="exact"/>
              <w:jc w:val="center"/>
              <w:rPr>
                <w:rFonts w:ascii="宋体" w:hAnsi="宋体"/>
                <w:b/>
                <w:kern w:val="0"/>
                <w:szCs w:val="21"/>
              </w:rPr>
            </w:pPr>
            <w:r>
              <w:rPr>
                <w:rFonts w:ascii="宋体" w:hAnsi="宋体"/>
                <w:b/>
                <w:kern w:val="0"/>
                <w:szCs w:val="21"/>
              </w:rPr>
              <w:t>条 款 号</w:t>
            </w:r>
          </w:p>
        </w:tc>
        <w:tc>
          <w:tcPr>
            <w:tcW w:w="1451" w:type="dxa"/>
            <w:vAlign w:val="center"/>
          </w:tcPr>
          <w:p w14:paraId="0018895E">
            <w:pPr>
              <w:snapToGrid w:val="0"/>
              <w:spacing w:line="400" w:lineRule="exact"/>
              <w:jc w:val="center"/>
              <w:rPr>
                <w:rFonts w:ascii="宋体" w:hAnsi="宋体"/>
                <w:b/>
                <w:kern w:val="0"/>
                <w:szCs w:val="21"/>
              </w:rPr>
            </w:pPr>
            <w:r>
              <w:rPr>
                <w:rFonts w:ascii="宋体" w:hAnsi="宋体"/>
                <w:b/>
                <w:kern w:val="0"/>
                <w:szCs w:val="21"/>
              </w:rPr>
              <w:t>条款名称</w:t>
            </w:r>
          </w:p>
        </w:tc>
        <w:tc>
          <w:tcPr>
            <w:tcW w:w="6683" w:type="dxa"/>
            <w:vAlign w:val="center"/>
          </w:tcPr>
          <w:p w14:paraId="00284604">
            <w:pPr>
              <w:snapToGrid w:val="0"/>
              <w:spacing w:line="400" w:lineRule="exact"/>
              <w:jc w:val="center"/>
              <w:rPr>
                <w:rFonts w:ascii="宋体" w:hAnsi="宋体"/>
                <w:b/>
                <w:kern w:val="0"/>
                <w:szCs w:val="21"/>
              </w:rPr>
            </w:pPr>
            <w:r>
              <w:rPr>
                <w:rFonts w:ascii="宋体" w:hAnsi="宋体"/>
                <w:b/>
                <w:kern w:val="0"/>
                <w:szCs w:val="21"/>
              </w:rPr>
              <w:t>编  列  内  容</w:t>
            </w:r>
          </w:p>
        </w:tc>
      </w:tr>
      <w:tr w14:paraId="29D01D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2A34C8B">
            <w:pPr>
              <w:snapToGrid w:val="0"/>
              <w:spacing w:line="400" w:lineRule="exact"/>
              <w:jc w:val="center"/>
              <w:rPr>
                <w:rFonts w:ascii="宋体" w:hAnsi="宋体"/>
                <w:kern w:val="0"/>
                <w:szCs w:val="21"/>
              </w:rPr>
            </w:pPr>
            <w:r>
              <w:rPr>
                <w:rFonts w:ascii="宋体" w:hAnsi="宋体"/>
                <w:kern w:val="0"/>
                <w:szCs w:val="21"/>
              </w:rPr>
              <w:t>1.1.2</w:t>
            </w:r>
          </w:p>
        </w:tc>
        <w:tc>
          <w:tcPr>
            <w:tcW w:w="1451" w:type="dxa"/>
            <w:vAlign w:val="center"/>
          </w:tcPr>
          <w:p w14:paraId="30BFDDEE">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w:t>
            </w:r>
          </w:p>
        </w:tc>
        <w:tc>
          <w:tcPr>
            <w:tcW w:w="6683" w:type="dxa"/>
            <w:vAlign w:val="center"/>
          </w:tcPr>
          <w:p w14:paraId="04C3DC39">
            <w:pPr>
              <w:snapToGrid w:val="0"/>
              <w:spacing w:line="400" w:lineRule="exact"/>
              <w:rPr>
                <w:rFonts w:ascii="宋体" w:hAnsi="宋体"/>
                <w:kern w:val="0"/>
                <w:szCs w:val="21"/>
              </w:rPr>
            </w:pPr>
            <w:r>
              <w:rPr>
                <w:rFonts w:ascii="宋体" w:hAnsi="宋体"/>
                <w:kern w:val="0"/>
                <w:szCs w:val="21"/>
              </w:rPr>
              <w:t>名称：重庆经开区开发建设有限公司</w:t>
            </w:r>
          </w:p>
          <w:p w14:paraId="2654341A">
            <w:pPr>
              <w:snapToGrid w:val="0"/>
              <w:spacing w:line="400" w:lineRule="exact"/>
              <w:rPr>
                <w:rFonts w:ascii="宋体" w:hAnsi="宋体"/>
                <w:kern w:val="0"/>
                <w:szCs w:val="21"/>
              </w:rPr>
            </w:pPr>
            <w:r>
              <w:rPr>
                <w:rFonts w:ascii="宋体" w:hAnsi="宋体"/>
                <w:kern w:val="0"/>
                <w:szCs w:val="21"/>
              </w:rPr>
              <w:t>地址：</w:t>
            </w:r>
            <w:r>
              <w:rPr>
                <w:rFonts w:hint="eastAsia" w:ascii="宋体" w:hAnsi="宋体"/>
                <w:snapToGrid w:val="0"/>
                <w:kern w:val="0"/>
                <w:szCs w:val="21"/>
              </w:rPr>
              <w:t>重庆市南岸区茶园江桥路一号附1号</w:t>
            </w:r>
          </w:p>
          <w:p w14:paraId="2345FFDD">
            <w:pPr>
              <w:snapToGrid w:val="0"/>
              <w:spacing w:line="400" w:lineRule="exact"/>
              <w:rPr>
                <w:rFonts w:ascii="宋体" w:hAnsi="宋体"/>
                <w:kern w:val="0"/>
                <w:szCs w:val="21"/>
              </w:rPr>
            </w:pPr>
            <w:r>
              <w:rPr>
                <w:rFonts w:ascii="宋体" w:hAnsi="宋体"/>
                <w:kern w:val="0"/>
                <w:szCs w:val="21"/>
              </w:rPr>
              <w:t>联系人：</w:t>
            </w:r>
            <w:r>
              <w:rPr>
                <w:rFonts w:hint="eastAsia" w:ascii="宋体" w:hAnsi="宋体"/>
                <w:kern w:val="0"/>
                <w:szCs w:val="21"/>
              </w:rPr>
              <w:t>彭女士</w:t>
            </w:r>
          </w:p>
          <w:p w14:paraId="1438C22B">
            <w:pPr>
              <w:snapToGrid w:val="0"/>
              <w:spacing w:line="400" w:lineRule="exact"/>
              <w:rPr>
                <w:rFonts w:ascii="宋体" w:hAnsi="宋体"/>
                <w:kern w:val="0"/>
                <w:szCs w:val="21"/>
              </w:rPr>
            </w:pPr>
            <w:r>
              <w:rPr>
                <w:rFonts w:ascii="宋体" w:hAnsi="宋体"/>
                <w:kern w:val="0"/>
                <w:szCs w:val="21"/>
              </w:rPr>
              <w:t>电话：</w:t>
            </w:r>
            <w:r>
              <w:rPr>
                <w:rFonts w:hint="eastAsia" w:ascii="宋体" w:hAnsi="宋体"/>
                <w:kern w:val="0"/>
                <w:szCs w:val="21"/>
              </w:rPr>
              <w:t>（023）62633026</w:t>
            </w:r>
          </w:p>
        </w:tc>
      </w:tr>
      <w:tr w14:paraId="2A22A9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0331B3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3</w:t>
            </w:r>
          </w:p>
        </w:tc>
        <w:tc>
          <w:tcPr>
            <w:tcW w:w="1451" w:type="dxa"/>
            <w:vAlign w:val="center"/>
          </w:tcPr>
          <w:p w14:paraId="0C608206">
            <w:pPr>
              <w:snapToGrid w:val="0"/>
              <w:spacing w:line="400" w:lineRule="exact"/>
              <w:jc w:val="center"/>
              <w:rPr>
                <w:rFonts w:ascii="宋体" w:hAnsi="宋体"/>
                <w:kern w:val="0"/>
                <w:szCs w:val="21"/>
                <w:highlight w:val="none"/>
              </w:rPr>
            </w:pPr>
            <w:r>
              <w:rPr>
                <w:rFonts w:ascii="宋体" w:hAnsi="宋体"/>
                <w:kern w:val="0"/>
                <w:szCs w:val="21"/>
                <w:highlight w:val="none"/>
              </w:rPr>
              <w:t>项目名称</w:t>
            </w:r>
          </w:p>
        </w:tc>
        <w:tc>
          <w:tcPr>
            <w:tcW w:w="6683" w:type="dxa"/>
            <w:vAlign w:val="center"/>
          </w:tcPr>
          <w:p w14:paraId="73ECD033">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重庆经开区百乐园老旧街区城市更新项目（一期）百乐园站站前广场改造工程</w:t>
            </w:r>
          </w:p>
        </w:tc>
      </w:tr>
      <w:tr w14:paraId="0172A3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BED3A6D">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4</w:t>
            </w:r>
          </w:p>
        </w:tc>
        <w:tc>
          <w:tcPr>
            <w:tcW w:w="1451" w:type="dxa"/>
            <w:vAlign w:val="center"/>
          </w:tcPr>
          <w:p w14:paraId="4EDAE1AB">
            <w:pPr>
              <w:snapToGrid w:val="0"/>
              <w:spacing w:line="400" w:lineRule="exact"/>
              <w:jc w:val="center"/>
              <w:rPr>
                <w:rFonts w:ascii="宋体" w:hAnsi="宋体"/>
                <w:kern w:val="0"/>
                <w:szCs w:val="21"/>
                <w:highlight w:val="none"/>
              </w:rPr>
            </w:pPr>
            <w:r>
              <w:rPr>
                <w:rFonts w:ascii="宋体" w:hAnsi="宋体"/>
                <w:kern w:val="0"/>
                <w:szCs w:val="21"/>
                <w:highlight w:val="none"/>
              </w:rPr>
              <w:t>建设地点</w:t>
            </w:r>
          </w:p>
        </w:tc>
        <w:tc>
          <w:tcPr>
            <w:tcW w:w="6683" w:type="dxa"/>
            <w:vAlign w:val="center"/>
          </w:tcPr>
          <w:p w14:paraId="7B8D589C">
            <w:pPr>
              <w:snapToGrid w:val="0"/>
              <w:spacing w:line="400" w:lineRule="exact"/>
              <w:jc w:val="left"/>
              <w:rPr>
                <w:rFonts w:ascii="宋体" w:hAnsi="宋体"/>
                <w:szCs w:val="21"/>
                <w:highlight w:val="none"/>
              </w:rPr>
            </w:pPr>
            <w:r>
              <w:rPr>
                <w:rFonts w:hint="eastAsia" w:ascii="宋体" w:hAnsi="宋体"/>
                <w:snapToGrid w:val="0"/>
                <w:kern w:val="0"/>
                <w:szCs w:val="21"/>
                <w:highlight w:val="none"/>
                <w:u w:val="single"/>
              </w:rPr>
              <w:t>重庆市南岸区</w:t>
            </w:r>
          </w:p>
        </w:tc>
      </w:tr>
      <w:tr w14:paraId="576AE3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9DF0153">
            <w:pPr>
              <w:snapToGrid w:val="0"/>
              <w:spacing w:line="400" w:lineRule="exact"/>
              <w:jc w:val="center"/>
              <w:rPr>
                <w:rFonts w:ascii="宋体" w:hAnsi="宋体"/>
                <w:kern w:val="0"/>
                <w:szCs w:val="21"/>
                <w:highlight w:val="none"/>
              </w:rPr>
            </w:pPr>
            <w:r>
              <w:rPr>
                <w:rFonts w:ascii="宋体" w:hAnsi="宋体"/>
                <w:kern w:val="0"/>
                <w:szCs w:val="21"/>
                <w:highlight w:val="none"/>
              </w:rPr>
              <w:t>1.1.</w:t>
            </w:r>
            <w:r>
              <w:rPr>
                <w:rFonts w:hint="eastAsia" w:ascii="宋体" w:hAnsi="宋体"/>
                <w:kern w:val="0"/>
                <w:szCs w:val="21"/>
                <w:highlight w:val="none"/>
              </w:rPr>
              <w:t>5</w:t>
            </w:r>
          </w:p>
        </w:tc>
        <w:tc>
          <w:tcPr>
            <w:tcW w:w="1451" w:type="dxa"/>
            <w:vAlign w:val="center"/>
          </w:tcPr>
          <w:p w14:paraId="2234417B">
            <w:pPr>
              <w:snapToGrid w:val="0"/>
              <w:spacing w:line="400" w:lineRule="exact"/>
              <w:jc w:val="center"/>
              <w:rPr>
                <w:rFonts w:ascii="宋体" w:hAnsi="宋体"/>
                <w:kern w:val="0"/>
                <w:szCs w:val="21"/>
                <w:highlight w:val="none"/>
              </w:rPr>
            </w:pPr>
            <w:r>
              <w:rPr>
                <w:rFonts w:ascii="宋体" w:hAnsi="宋体"/>
                <w:kern w:val="0"/>
                <w:szCs w:val="21"/>
                <w:highlight w:val="none"/>
              </w:rPr>
              <w:t>建设规模</w:t>
            </w:r>
          </w:p>
        </w:tc>
        <w:tc>
          <w:tcPr>
            <w:tcW w:w="6683" w:type="dxa"/>
            <w:vAlign w:val="center"/>
          </w:tcPr>
          <w:p w14:paraId="71D4E68E">
            <w:pPr>
              <w:tabs>
                <w:tab w:val="left" w:pos="3840"/>
                <w:tab w:val="left" w:pos="5300"/>
              </w:tabs>
              <w:autoSpaceDE w:val="0"/>
              <w:autoSpaceDN w:val="0"/>
              <w:adjustRightInd w:val="0"/>
              <w:snapToGrid w:val="0"/>
              <w:spacing w:line="460" w:lineRule="exact"/>
              <w:jc w:val="left"/>
              <w:rPr>
                <w:rFonts w:eastAsia="方正仿宋_GBK"/>
                <w:color w:val="FF0000"/>
                <w:sz w:val="32"/>
                <w:szCs w:val="32"/>
                <w:highlight w:val="none"/>
              </w:rPr>
            </w:pPr>
            <w:r>
              <w:rPr>
                <w:rFonts w:hint="eastAsia" w:ascii="宋体" w:hAnsi="宋体"/>
                <w:snapToGrid w:val="0"/>
                <w:kern w:val="0"/>
                <w:szCs w:val="21"/>
                <w:highlight w:val="none"/>
                <w:lang w:eastAsia="zh-CN"/>
              </w:rPr>
              <w:t>包括但不限于</w:t>
            </w:r>
            <w:r>
              <w:rPr>
                <w:rFonts w:hint="eastAsia" w:ascii="宋体" w:hAnsi="宋体"/>
                <w:snapToGrid w:val="0"/>
                <w:kern w:val="0"/>
                <w:szCs w:val="21"/>
                <w:highlight w:val="none"/>
                <w:u w:val="single"/>
              </w:rPr>
              <w:t>对轨道6号线百乐园站站前拆迁后区域进行整体改造，建设临时性社会停车场，满足站点开通后市民使用需求。主要建设内容包括场地平整、水稳层铺设、停车位设置、出入口道闸安装等。</w:t>
            </w:r>
            <w:r>
              <w:rPr>
                <w:rFonts w:hint="eastAsia" w:ascii="宋体" w:hAnsi="宋体"/>
                <w:snapToGrid w:val="0"/>
                <w:kern w:val="0"/>
                <w:szCs w:val="21"/>
                <w:highlight w:val="none"/>
                <w:u w:val="single"/>
                <w:lang w:eastAsia="zh-CN"/>
              </w:rPr>
              <w:t>具体范围以招标人发布的施工图、工程量清单为准。</w:t>
            </w:r>
          </w:p>
        </w:tc>
      </w:tr>
      <w:tr w14:paraId="660E1C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1E84864">
            <w:pPr>
              <w:snapToGrid w:val="0"/>
              <w:spacing w:line="400" w:lineRule="exact"/>
              <w:jc w:val="center"/>
              <w:rPr>
                <w:rFonts w:ascii="宋体" w:hAnsi="宋体"/>
                <w:kern w:val="0"/>
                <w:szCs w:val="21"/>
                <w:highlight w:val="none"/>
              </w:rPr>
            </w:pPr>
            <w:r>
              <w:rPr>
                <w:rFonts w:ascii="宋体" w:hAnsi="宋体"/>
                <w:kern w:val="0"/>
                <w:szCs w:val="21"/>
                <w:highlight w:val="none"/>
              </w:rPr>
              <w:t>1.2.</w:t>
            </w:r>
            <w:r>
              <w:rPr>
                <w:rFonts w:hint="eastAsia" w:ascii="宋体" w:hAnsi="宋体"/>
                <w:kern w:val="0"/>
                <w:szCs w:val="21"/>
                <w:highlight w:val="none"/>
              </w:rPr>
              <w:t>6</w:t>
            </w:r>
          </w:p>
        </w:tc>
        <w:tc>
          <w:tcPr>
            <w:tcW w:w="1451" w:type="dxa"/>
            <w:vAlign w:val="center"/>
          </w:tcPr>
          <w:p w14:paraId="6CAE0BC1">
            <w:pPr>
              <w:snapToGrid w:val="0"/>
              <w:spacing w:line="400" w:lineRule="exact"/>
              <w:jc w:val="center"/>
              <w:rPr>
                <w:rFonts w:ascii="宋体" w:hAnsi="宋体"/>
                <w:kern w:val="0"/>
                <w:szCs w:val="21"/>
                <w:highlight w:val="none"/>
              </w:rPr>
            </w:pPr>
            <w:r>
              <w:rPr>
                <w:rFonts w:ascii="宋体" w:hAnsi="宋体"/>
                <w:kern w:val="0"/>
                <w:szCs w:val="21"/>
                <w:highlight w:val="none"/>
              </w:rPr>
              <w:t>资金来源</w:t>
            </w:r>
          </w:p>
        </w:tc>
        <w:tc>
          <w:tcPr>
            <w:tcW w:w="6683" w:type="dxa"/>
            <w:vAlign w:val="center"/>
          </w:tcPr>
          <w:p w14:paraId="2C1D88EE">
            <w:pPr>
              <w:tabs>
                <w:tab w:val="left" w:pos="3840"/>
                <w:tab w:val="left" w:pos="5300"/>
              </w:tabs>
              <w:autoSpaceDE w:val="0"/>
              <w:autoSpaceDN w:val="0"/>
              <w:adjustRightInd w:val="0"/>
              <w:snapToGrid w:val="0"/>
              <w:spacing w:line="460" w:lineRule="exact"/>
              <w:rPr>
                <w:rFonts w:hint="eastAsia" w:ascii="宋体" w:hAnsi="宋体" w:eastAsia="宋体"/>
                <w:snapToGrid w:val="0"/>
                <w:kern w:val="0"/>
                <w:szCs w:val="21"/>
                <w:highlight w:val="none"/>
                <w:lang w:eastAsia="zh-CN"/>
              </w:rPr>
            </w:pPr>
            <w:r>
              <w:rPr>
                <w:rFonts w:hint="eastAsia" w:ascii="宋体" w:hAnsi="宋体"/>
                <w:snapToGrid w:val="0"/>
                <w:kern w:val="0"/>
                <w:szCs w:val="21"/>
                <w:highlight w:val="none"/>
                <w:u w:val="single"/>
                <w:lang w:eastAsia="zh-CN"/>
              </w:rPr>
              <w:t>业主自筹</w:t>
            </w:r>
          </w:p>
        </w:tc>
      </w:tr>
      <w:tr w14:paraId="556472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BC43C1D">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7</w:t>
            </w:r>
          </w:p>
        </w:tc>
        <w:tc>
          <w:tcPr>
            <w:tcW w:w="1451" w:type="dxa"/>
            <w:vAlign w:val="center"/>
          </w:tcPr>
          <w:p w14:paraId="185C0822">
            <w:pPr>
              <w:snapToGrid w:val="0"/>
              <w:spacing w:line="400" w:lineRule="exact"/>
              <w:jc w:val="center"/>
              <w:rPr>
                <w:rFonts w:ascii="宋体" w:hAnsi="宋体"/>
                <w:kern w:val="0"/>
                <w:szCs w:val="21"/>
              </w:rPr>
            </w:pPr>
            <w:r>
              <w:rPr>
                <w:rFonts w:ascii="宋体" w:hAnsi="宋体"/>
                <w:kern w:val="0"/>
                <w:szCs w:val="21"/>
              </w:rPr>
              <w:t>出资比例</w:t>
            </w:r>
          </w:p>
        </w:tc>
        <w:tc>
          <w:tcPr>
            <w:tcW w:w="6683" w:type="dxa"/>
            <w:vAlign w:val="center"/>
          </w:tcPr>
          <w:p w14:paraId="024596E3">
            <w:pPr>
              <w:snapToGrid w:val="0"/>
              <w:spacing w:line="400" w:lineRule="exact"/>
              <w:jc w:val="left"/>
              <w:rPr>
                <w:rFonts w:ascii="宋体" w:hAnsi="宋体"/>
                <w:szCs w:val="21"/>
                <w:u w:val="single"/>
              </w:rPr>
            </w:pPr>
            <w:r>
              <w:rPr>
                <w:rFonts w:hint="eastAsia" w:ascii="宋体" w:hAnsi="宋体"/>
                <w:szCs w:val="21"/>
                <w:u w:val="single"/>
              </w:rPr>
              <w:t>100%</w:t>
            </w:r>
          </w:p>
        </w:tc>
      </w:tr>
      <w:tr w14:paraId="640A83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F8B6754">
            <w:pPr>
              <w:snapToGrid w:val="0"/>
              <w:spacing w:line="400" w:lineRule="exact"/>
              <w:jc w:val="center"/>
              <w:rPr>
                <w:rFonts w:ascii="宋体" w:hAnsi="宋体"/>
                <w:kern w:val="0"/>
                <w:szCs w:val="21"/>
              </w:rPr>
            </w:pPr>
            <w:r>
              <w:rPr>
                <w:rFonts w:ascii="宋体" w:hAnsi="宋体"/>
                <w:kern w:val="0"/>
                <w:szCs w:val="21"/>
              </w:rPr>
              <w:t>1.2.</w:t>
            </w:r>
            <w:r>
              <w:rPr>
                <w:rFonts w:hint="eastAsia" w:ascii="宋体" w:hAnsi="宋体"/>
                <w:kern w:val="0"/>
                <w:szCs w:val="21"/>
              </w:rPr>
              <w:t>8</w:t>
            </w:r>
          </w:p>
        </w:tc>
        <w:tc>
          <w:tcPr>
            <w:tcW w:w="1451" w:type="dxa"/>
            <w:vAlign w:val="center"/>
          </w:tcPr>
          <w:p w14:paraId="3005CFEB">
            <w:pPr>
              <w:snapToGrid w:val="0"/>
              <w:spacing w:line="400" w:lineRule="exact"/>
              <w:jc w:val="center"/>
              <w:rPr>
                <w:rFonts w:ascii="宋体" w:hAnsi="宋体"/>
                <w:kern w:val="0"/>
                <w:szCs w:val="21"/>
              </w:rPr>
            </w:pPr>
            <w:r>
              <w:rPr>
                <w:rFonts w:ascii="宋体" w:hAnsi="宋体"/>
                <w:kern w:val="0"/>
                <w:szCs w:val="21"/>
              </w:rPr>
              <w:t>资金落实情况</w:t>
            </w:r>
          </w:p>
        </w:tc>
        <w:tc>
          <w:tcPr>
            <w:tcW w:w="6683" w:type="dxa"/>
            <w:vAlign w:val="center"/>
          </w:tcPr>
          <w:p w14:paraId="2DD49ACD">
            <w:pPr>
              <w:snapToGrid w:val="0"/>
              <w:spacing w:line="400" w:lineRule="exact"/>
              <w:jc w:val="left"/>
              <w:rPr>
                <w:rFonts w:ascii="宋体" w:hAnsi="宋体"/>
                <w:szCs w:val="21"/>
                <w:u w:val="single"/>
              </w:rPr>
            </w:pPr>
            <w:r>
              <w:rPr>
                <w:rFonts w:hint="eastAsia" w:ascii="宋体" w:hAnsi="宋体"/>
                <w:szCs w:val="21"/>
                <w:u w:val="single"/>
              </w:rPr>
              <w:t>已落实</w:t>
            </w:r>
          </w:p>
        </w:tc>
      </w:tr>
      <w:tr w14:paraId="22C1E4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8018FE">
            <w:pPr>
              <w:snapToGrid w:val="0"/>
              <w:spacing w:line="400" w:lineRule="exact"/>
              <w:jc w:val="center"/>
              <w:rPr>
                <w:rFonts w:ascii="宋体" w:hAnsi="宋体"/>
                <w:kern w:val="0"/>
                <w:szCs w:val="21"/>
              </w:rPr>
            </w:pPr>
            <w:r>
              <w:rPr>
                <w:rFonts w:hint="eastAsia" w:ascii="宋体" w:hAnsi="宋体"/>
                <w:kern w:val="0"/>
                <w:szCs w:val="21"/>
              </w:rPr>
              <w:t>1.3.1</w:t>
            </w:r>
          </w:p>
        </w:tc>
        <w:tc>
          <w:tcPr>
            <w:tcW w:w="1451" w:type="dxa"/>
            <w:vAlign w:val="center"/>
          </w:tcPr>
          <w:p w14:paraId="0E288D3B">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范围</w:t>
            </w:r>
          </w:p>
        </w:tc>
        <w:tc>
          <w:tcPr>
            <w:tcW w:w="6683" w:type="dxa"/>
            <w:vAlign w:val="center"/>
          </w:tcPr>
          <w:p w14:paraId="78115467">
            <w:pPr>
              <w:snapToGrid w:val="0"/>
              <w:spacing w:line="400" w:lineRule="exact"/>
              <w:rPr>
                <w:rFonts w:ascii="宋体" w:hAnsi="宋体"/>
                <w:snapToGrid w:val="0"/>
                <w:kern w:val="0"/>
                <w:szCs w:val="21"/>
                <w:u w:val="single"/>
              </w:rPr>
            </w:pPr>
            <w:r>
              <w:rPr>
                <w:rFonts w:hint="eastAsia" w:ascii="宋体" w:hAnsi="宋体"/>
                <w:snapToGrid w:val="0"/>
                <w:kern w:val="0"/>
                <w:szCs w:val="21"/>
                <w:u w:val="single"/>
              </w:rPr>
              <w:t>施工部分：详见施工图、工程量清单。</w:t>
            </w:r>
          </w:p>
          <w:p w14:paraId="4D886636">
            <w:pPr>
              <w:snapToGrid w:val="0"/>
              <w:spacing w:line="400" w:lineRule="exact"/>
              <w:rPr>
                <w:rFonts w:ascii="宋体" w:hAnsi="宋体"/>
                <w:szCs w:val="21"/>
              </w:rPr>
            </w:pPr>
          </w:p>
        </w:tc>
      </w:tr>
      <w:tr w14:paraId="7C98DC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45ADDBF">
            <w:pPr>
              <w:snapToGrid w:val="0"/>
              <w:spacing w:line="400" w:lineRule="exact"/>
              <w:jc w:val="center"/>
              <w:rPr>
                <w:rFonts w:ascii="宋体" w:hAnsi="宋体"/>
                <w:kern w:val="0"/>
                <w:szCs w:val="21"/>
                <w:highlight w:val="none"/>
              </w:rPr>
            </w:pPr>
            <w:r>
              <w:rPr>
                <w:rFonts w:ascii="宋体" w:hAnsi="宋体"/>
                <w:kern w:val="0"/>
                <w:szCs w:val="21"/>
                <w:highlight w:val="none"/>
              </w:rPr>
              <w:t>1.3.2</w:t>
            </w:r>
          </w:p>
        </w:tc>
        <w:tc>
          <w:tcPr>
            <w:tcW w:w="1451" w:type="dxa"/>
            <w:vAlign w:val="center"/>
          </w:tcPr>
          <w:p w14:paraId="5E7E5C0C">
            <w:pPr>
              <w:snapToGrid w:val="0"/>
              <w:spacing w:line="400" w:lineRule="exact"/>
              <w:jc w:val="center"/>
              <w:rPr>
                <w:rFonts w:ascii="宋体" w:hAnsi="宋体"/>
                <w:kern w:val="0"/>
                <w:szCs w:val="21"/>
                <w:highlight w:val="none"/>
              </w:rPr>
            </w:pPr>
            <w:r>
              <w:rPr>
                <w:rFonts w:ascii="宋体" w:hAnsi="宋体"/>
                <w:kern w:val="0"/>
                <w:szCs w:val="21"/>
                <w:highlight w:val="none"/>
              </w:rPr>
              <w:t>计划工期</w:t>
            </w:r>
          </w:p>
          <w:p w14:paraId="14515797">
            <w:pPr>
              <w:snapToGrid w:val="0"/>
              <w:spacing w:line="400" w:lineRule="exact"/>
              <w:jc w:val="center"/>
              <w:rPr>
                <w:rFonts w:ascii="宋体" w:hAnsi="宋体"/>
                <w:kern w:val="0"/>
                <w:szCs w:val="21"/>
                <w:highlight w:val="none"/>
              </w:rPr>
            </w:pPr>
            <w:r>
              <w:rPr>
                <w:rFonts w:hint="eastAsia" w:ascii="宋体" w:hAnsi="宋体"/>
                <w:kern w:val="0"/>
                <w:szCs w:val="21"/>
                <w:highlight w:val="none"/>
              </w:rPr>
              <w:t>缺陷责任期</w:t>
            </w:r>
          </w:p>
        </w:tc>
        <w:tc>
          <w:tcPr>
            <w:tcW w:w="6683" w:type="dxa"/>
            <w:vAlign w:val="center"/>
          </w:tcPr>
          <w:p w14:paraId="5CE32967">
            <w:pPr>
              <w:snapToGrid w:val="0"/>
              <w:spacing w:line="400" w:lineRule="exact"/>
              <w:rPr>
                <w:rFonts w:ascii="宋体" w:hAnsi="宋体"/>
                <w:snapToGrid w:val="0"/>
                <w:kern w:val="0"/>
                <w:szCs w:val="21"/>
                <w:highlight w:val="none"/>
                <w:u w:val="single"/>
              </w:rPr>
            </w:pPr>
            <w:r>
              <w:rPr>
                <w:rFonts w:hint="eastAsia" w:ascii="宋体" w:hAnsi="宋体"/>
                <w:kern w:val="0"/>
                <w:szCs w:val="21"/>
                <w:highlight w:val="none"/>
              </w:rPr>
              <w:t>工期：</w:t>
            </w:r>
            <w:r>
              <w:rPr>
                <w:rFonts w:hint="eastAsia" w:ascii="宋体" w:hAnsi="宋体"/>
                <w:snapToGrid w:val="0"/>
                <w:color w:val="auto"/>
                <w:kern w:val="0"/>
                <w:szCs w:val="21"/>
                <w:highlight w:val="none"/>
                <w:u w:val="single"/>
                <w:lang w:val="en-US" w:eastAsia="zh-CN"/>
              </w:rPr>
              <w:t>25</w:t>
            </w:r>
            <w:r>
              <w:rPr>
                <w:rFonts w:hint="eastAsia" w:ascii="宋体" w:hAnsi="宋体"/>
                <w:snapToGrid w:val="0"/>
                <w:color w:val="auto"/>
                <w:kern w:val="0"/>
                <w:szCs w:val="21"/>
                <w:highlight w:val="none"/>
                <w:u w:val="single"/>
              </w:rPr>
              <w:t>天</w:t>
            </w:r>
          </w:p>
          <w:p w14:paraId="05F01D43">
            <w:pPr>
              <w:snapToGrid w:val="0"/>
              <w:spacing w:line="400" w:lineRule="exact"/>
              <w:rPr>
                <w:rFonts w:ascii="宋体" w:hAnsi="宋体"/>
                <w:kern w:val="0"/>
                <w:szCs w:val="21"/>
                <w:highlight w:val="none"/>
              </w:rPr>
            </w:pPr>
            <w:r>
              <w:rPr>
                <w:rFonts w:hint="eastAsia" w:ascii="宋体" w:hAnsi="宋体"/>
                <w:kern w:val="0"/>
                <w:szCs w:val="21"/>
                <w:highlight w:val="none"/>
              </w:rPr>
              <w:t>缺陷责任期：</w:t>
            </w:r>
            <w:r>
              <w:rPr>
                <w:rFonts w:hint="eastAsia" w:ascii="宋体" w:hAnsi="宋体"/>
                <w:snapToGrid w:val="0"/>
                <w:kern w:val="0"/>
                <w:szCs w:val="21"/>
                <w:highlight w:val="none"/>
                <w:u w:val="single"/>
              </w:rPr>
              <w:t xml:space="preserve">  </w:t>
            </w:r>
            <w:r>
              <w:rPr>
                <w:rFonts w:ascii="宋体" w:hAnsi="宋体"/>
                <w:snapToGrid w:val="0"/>
                <w:kern w:val="0"/>
                <w:szCs w:val="21"/>
                <w:highlight w:val="none"/>
                <w:u w:val="single"/>
              </w:rPr>
              <w:t>24</w:t>
            </w:r>
            <w:r>
              <w:rPr>
                <w:rFonts w:hint="eastAsia" w:ascii="宋体" w:hAnsi="宋体"/>
                <w:snapToGrid w:val="0"/>
                <w:kern w:val="0"/>
                <w:szCs w:val="21"/>
                <w:highlight w:val="none"/>
                <w:u w:val="single"/>
              </w:rPr>
              <w:t>个月</w:t>
            </w:r>
          </w:p>
        </w:tc>
      </w:tr>
      <w:tr w14:paraId="3B9227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88C1A03">
            <w:pPr>
              <w:snapToGrid w:val="0"/>
              <w:spacing w:line="400" w:lineRule="exact"/>
              <w:jc w:val="center"/>
              <w:rPr>
                <w:rFonts w:ascii="宋体" w:hAnsi="宋体"/>
                <w:kern w:val="0"/>
                <w:szCs w:val="21"/>
              </w:rPr>
            </w:pPr>
            <w:r>
              <w:rPr>
                <w:rFonts w:ascii="宋体" w:hAnsi="宋体"/>
                <w:kern w:val="0"/>
                <w:szCs w:val="21"/>
              </w:rPr>
              <w:t>1.3.3</w:t>
            </w:r>
          </w:p>
        </w:tc>
        <w:tc>
          <w:tcPr>
            <w:tcW w:w="1451" w:type="dxa"/>
            <w:vAlign w:val="center"/>
          </w:tcPr>
          <w:p w14:paraId="648EC9E3">
            <w:pPr>
              <w:snapToGrid w:val="0"/>
              <w:spacing w:line="400" w:lineRule="exact"/>
              <w:jc w:val="center"/>
              <w:rPr>
                <w:rFonts w:ascii="宋体" w:hAnsi="宋体"/>
                <w:kern w:val="0"/>
                <w:szCs w:val="21"/>
              </w:rPr>
            </w:pPr>
            <w:r>
              <w:rPr>
                <w:rFonts w:ascii="宋体" w:hAnsi="宋体"/>
                <w:kern w:val="0"/>
                <w:szCs w:val="21"/>
              </w:rPr>
              <w:t>质量要求</w:t>
            </w:r>
          </w:p>
        </w:tc>
        <w:tc>
          <w:tcPr>
            <w:tcW w:w="6683" w:type="dxa"/>
            <w:vAlign w:val="center"/>
          </w:tcPr>
          <w:p w14:paraId="79B0A2E9">
            <w:pPr>
              <w:snapToGrid w:val="0"/>
              <w:spacing w:line="400" w:lineRule="exact"/>
              <w:rPr>
                <w:rFonts w:ascii="宋体" w:hAnsi="宋体"/>
                <w:szCs w:val="21"/>
              </w:rPr>
            </w:pPr>
            <w:r>
              <w:rPr>
                <w:rFonts w:hint="eastAsia" w:ascii="宋体" w:hAnsi="宋体"/>
                <w:szCs w:val="21"/>
              </w:rPr>
              <w:t>符合强制性质量标准，</w:t>
            </w:r>
            <w:r>
              <w:rPr>
                <w:rFonts w:hint="eastAsia" w:ascii="宋体" w:hAnsi="宋体"/>
                <w:szCs w:val="21"/>
                <w:u w:val="single"/>
              </w:rPr>
              <w:t>符合</w:t>
            </w:r>
            <w:r>
              <w:rPr>
                <w:rFonts w:ascii="宋体" w:hAnsi="宋体"/>
                <w:szCs w:val="21"/>
                <w:u w:val="single"/>
              </w:rPr>
              <w:t>国家和重庆市现行有关施工质量验收规范要求，并达到合格标准</w:t>
            </w:r>
            <w:r>
              <w:rPr>
                <w:rFonts w:ascii="宋体" w:hAnsi="宋体"/>
                <w:szCs w:val="21"/>
              </w:rPr>
              <w:t>。</w:t>
            </w:r>
          </w:p>
        </w:tc>
      </w:tr>
      <w:tr w14:paraId="344010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12" w:hRule="atLeast"/>
          <w:jc w:val="center"/>
        </w:trPr>
        <w:tc>
          <w:tcPr>
            <w:tcW w:w="1240" w:type="dxa"/>
            <w:vAlign w:val="center"/>
          </w:tcPr>
          <w:p w14:paraId="5DEA7A38">
            <w:pPr>
              <w:snapToGrid w:val="0"/>
              <w:spacing w:line="400" w:lineRule="exact"/>
              <w:jc w:val="center"/>
              <w:rPr>
                <w:rFonts w:ascii="宋体" w:hAnsi="宋体"/>
                <w:kern w:val="0"/>
                <w:szCs w:val="21"/>
                <w:highlight w:val="none"/>
              </w:rPr>
            </w:pPr>
          </w:p>
          <w:p w14:paraId="69305FD8">
            <w:pPr>
              <w:snapToGrid w:val="0"/>
              <w:spacing w:line="400" w:lineRule="exact"/>
              <w:jc w:val="center"/>
              <w:rPr>
                <w:rFonts w:ascii="宋体" w:hAnsi="宋体"/>
                <w:kern w:val="0"/>
                <w:szCs w:val="21"/>
                <w:highlight w:val="none"/>
              </w:rPr>
            </w:pPr>
          </w:p>
          <w:p w14:paraId="5841714B">
            <w:pPr>
              <w:snapToGrid w:val="0"/>
              <w:spacing w:line="400" w:lineRule="exact"/>
              <w:jc w:val="center"/>
              <w:rPr>
                <w:rFonts w:ascii="宋体" w:hAnsi="宋体"/>
                <w:kern w:val="0"/>
                <w:szCs w:val="21"/>
                <w:highlight w:val="none"/>
              </w:rPr>
            </w:pPr>
          </w:p>
          <w:p w14:paraId="3807CDC8">
            <w:pPr>
              <w:snapToGrid w:val="0"/>
              <w:spacing w:line="400" w:lineRule="exact"/>
              <w:jc w:val="center"/>
              <w:rPr>
                <w:rFonts w:ascii="宋体" w:hAnsi="宋体"/>
                <w:kern w:val="0"/>
                <w:szCs w:val="21"/>
                <w:highlight w:val="none"/>
              </w:rPr>
            </w:pPr>
          </w:p>
          <w:p w14:paraId="2B36FED1">
            <w:pPr>
              <w:snapToGrid w:val="0"/>
              <w:spacing w:line="400" w:lineRule="exact"/>
              <w:jc w:val="center"/>
              <w:rPr>
                <w:rFonts w:ascii="宋体" w:hAnsi="宋体"/>
                <w:kern w:val="0"/>
                <w:szCs w:val="21"/>
                <w:highlight w:val="none"/>
              </w:rPr>
            </w:pPr>
          </w:p>
          <w:p w14:paraId="73D5A6F9">
            <w:pPr>
              <w:snapToGrid w:val="0"/>
              <w:spacing w:line="400" w:lineRule="exact"/>
              <w:jc w:val="center"/>
              <w:rPr>
                <w:rFonts w:ascii="宋体" w:hAnsi="宋体"/>
                <w:kern w:val="0"/>
                <w:szCs w:val="21"/>
                <w:highlight w:val="none"/>
              </w:rPr>
            </w:pPr>
          </w:p>
          <w:p w14:paraId="0501DB96">
            <w:pPr>
              <w:snapToGrid w:val="0"/>
              <w:spacing w:line="400" w:lineRule="exact"/>
              <w:jc w:val="center"/>
              <w:rPr>
                <w:rFonts w:ascii="宋体" w:hAnsi="宋体"/>
                <w:kern w:val="0"/>
                <w:szCs w:val="21"/>
                <w:highlight w:val="none"/>
              </w:rPr>
            </w:pPr>
          </w:p>
          <w:p w14:paraId="4D5A4345">
            <w:pPr>
              <w:snapToGrid w:val="0"/>
              <w:spacing w:line="400" w:lineRule="exact"/>
              <w:jc w:val="center"/>
              <w:rPr>
                <w:rFonts w:ascii="宋体" w:hAnsi="宋体"/>
                <w:kern w:val="0"/>
                <w:szCs w:val="21"/>
                <w:highlight w:val="none"/>
              </w:rPr>
            </w:pPr>
          </w:p>
          <w:p w14:paraId="5577031F">
            <w:pPr>
              <w:snapToGrid w:val="0"/>
              <w:spacing w:line="400" w:lineRule="exact"/>
              <w:jc w:val="center"/>
              <w:rPr>
                <w:rFonts w:ascii="宋体" w:hAnsi="宋体"/>
                <w:kern w:val="0"/>
                <w:szCs w:val="21"/>
                <w:highlight w:val="none"/>
              </w:rPr>
            </w:pPr>
          </w:p>
          <w:p w14:paraId="3F3A24CB">
            <w:pPr>
              <w:snapToGrid w:val="0"/>
              <w:spacing w:line="400" w:lineRule="exact"/>
              <w:jc w:val="center"/>
              <w:rPr>
                <w:rFonts w:ascii="宋体" w:hAnsi="宋体"/>
                <w:kern w:val="0"/>
                <w:szCs w:val="21"/>
                <w:highlight w:val="none"/>
              </w:rPr>
            </w:pPr>
          </w:p>
          <w:p w14:paraId="092BC374">
            <w:pPr>
              <w:snapToGrid w:val="0"/>
              <w:spacing w:line="400" w:lineRule="exact"/>
              <w:jc w:val="center"/>
              <w:rPr>
                <w:rFonts w:ascii="宋体" w:hAnsi="宋体"/>
                <w:kern w:val="0"/>
                <w:szCs w:val="21"/>
                <w:highlight w:val="none"/>
              </w:rPr>
            </w:pPr>
          </w:p>
          <w:p w14:paraId="1D99A507">
            <w:pPr>
              <w:snapToGrid w:val="0"/>
              <w:spacing w:line="400" w:lineRule="exact"/>
              <w:jc w:val="center"/>
              <w:rPr>
                <w:rFonts w:ascii="宋体" w:hAnsi="宋体"/>
                <w:kern w:val="0"/>
                <w:szCs w:val="21"/>
                <w:highlight w:val="none"/>
              </w:rPr>
            </w:pPr>
          </w:p>
          <w:p w14:paraId="74BCD732">
            <w:pPr>
              <w:snapToGrid w:val="0"/>
              <w:spacing w:line="400" w:lineRule="exact"/>
              <w:jc w:val="center"/>
              <w:rPr>
                <w:rFonts w:ascii="宋体" w:hAnsi="宋体"/>
                <w:kern w:val="0"/>
                <w:szCs w:val="21"/>
                <w:highlight w:val="none"/>
              </w:rPr>
            </w:pPr>
          </w:p>
          <w:p w14:paraId="356580D7">
            <w:pPr>
              <w:snapToGrid w:val="0"/>
              <w:spacing w:line="400" w:lineRule="exact"/>
              <w:jc w:val="center"/>
              <w:rPr>
                <w:rFonts w:ascii="宋体" w:hAnsi="宋体"/>
                <w:kern w:val="0"/>
                <w:szCs w:val="21"/>
                <w:highlight w:val="none"/>
              </w:rPr>
            </w:pPr>
          </w:p>
          <w:p w14:paraId="0FA22F4B">
            <w:pPr>
              <w:snapToGrid w:val="0"/>
              <w:spacing w:line="400" w:lineRule="exact"/>
              <w:jc w:val="center"/>
              <w:rPr>
                <w:rFonts w:ascii="宋体" w:hAnsi="宋体"/>
                <w:kern w:val="0"/>
                <w:szCs w:val="21"/>
                <w:highlight w:val="none"/>
              </w:rPr>
            </w:pPr>
          </w:p>
          <w:p w14:paraId="76D0C745">
            <w:pPr>
              <w:snapToGrid w:val="0"/>
              <w:spacing w:line="400" w:lineRule="exact"/>
              <w:jc w:val="center"/>
              <w:rPr>
                <w:rFonts w:ascii="宋体" w:hAnsi="宋体"/>
                <w:kern w:val="0"/>
                <w:szCs w:val="21"/>
                <w:highlight w:val="none"/>
              </w:rPr>
            </w:pPr>
          </w:p>
          <w:p w14:paraId="5FC59F60">
            <w:pPr>
              <w:snapToGrid w:val="0"/>
              <w:spacing w:line="400" w:lineRule="exact"/>
              <w:jc w:val="center"/>
              <w:rPr>
                <w:rFonts w:ascii="宋体" w:hAnsi="宋体"/>
                <w:kern w:val="0"/>
                <w:szCs w:val="21"/>
                <w:highlight w:val="none"/>
              </w:rPr>
            </w:pPr>
          </w:p>
          <w:p w14:paraId="4BDA5F3C">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09752020">
            <w:pPr>
              <w:snapToGrid w:val="0"/>
              <w:spacing w:line="400" w:lineRule="exact"/>
              <w:jc w:val="center"/>
              <w:rPr>
                <w:rFonts w:ascii="宋体" w:hAnsi="宋体"/>
                <w:kern w:val="0"/>
                <w:szCs w:val="21"/>
                <w:highlight w:val="none"/>
              </w:rPr>
            </w:pPr>
          </w:p>
          <w:p w14:paraId="4843CFFE">
            <w:pPr>
              <w:snapToGrid w:val="0"/>
              <w:spacing w:line="400" w:lineRule="exact"/>
              <w:jc w:val="center"/>
              <w:rPr>
                <w:rFonts w:ascii="宋体" w:hAnsi="宋体"/>
                <w:kern w:val="0"/>
                <w:szCs w:val="21"/>
                <w:highlight w:val="none"/>
              </w:rPr>
            </w:pPr>
          </w:p>
          <w:p w14:paraId="6D079B67">
            <w:pPr>
              <w:snapToGrid w:val="0"/>
              <w:spacing w:line="400" w:lineRule="exact"/>
              <w:jc w:val="center"/>
              <w:rPr>
                <w:rFonts w:ascii="宋体" w:hAnsi="宋体"/>
                <w:kern w:val="0"/>
                <w:szCs w:val="21"/>
                <w:highlight w:val="none"/>
              </w:rPr>
            </w:pPr>
          </w:p>
          <w:p w14:paraId="1246BC0B">
            <w:pPr>
              <w:snapToGrid w:val="0"/>
              <w:spacing w:line="400" w:lineRule="exact"/>
              <w:jc w:val="center"/>
              <w:rPr>
                <w:rFonts w:ascii="宋体" w:hAnsi="宋体"/>
                <w:kern w:val="0"/>
                <w:szCs w:val="21"/>
                <w:highlight w:val="none"/>
              </w:rPr>
            </w:pPr>
          </w:p>
          <w:p w14:paraId="2B90EC6D">
            <w:pPr>
              <w:snapToGrid w:val="0"/>
              <w:spacing w:line="400" w:lineRule="exact"/>
              <w:jc w:val="center"/>
              <w:rPr>
                <w:rFonts w:ascii="宋体" w:hAnsi="宋体"/>
                <w:kern w:val="0"/>
                <w:szCs w:val="21"/>
                <w:highlight w:val="none"/>
              </w:rPr>
            </w:pPr>
          </w:p>
          <w:p w14:paraId="2D10D9F3">
            <w:pPr>
              <w:snapToGrid w:val="0"/>
              <w:spacing w:line="400" w:lineRule="exact"/>
              <w:jc w:val="center"/>
              <w:rPr>
                <w:rFonts w:ascii="宋体" w:hAnsi="宋体"/>
                <w:kern w:val="0"/>
                <w:szCs w:val="21"/>
                <w:highlight w:val="none"/>
              </w:rPr>
            </w:pPr>
          </w:p>
          <w:p w14:paraId="4847AA4D">
            <w:pPr>
              <w:snapToGrid w:val="0"/>
              <w:spacing w:line="400" w:lineRule="exact"/>
              <w:jc w:val="center"/>
              <w:rPr>
                <w:rFonts w:ascii="宋体" w:hAnsi="宋体"/>
                <w:kern w:val="0"/>
                <w:szCs w:val="21"/>
                <w:highlight w:val="none"/>
              </w:rPr>
            </w:pPr>
          </w:p>
          <w:p w14:paraId="2A23AD97">
            <w:pPr>
              <w:snapToGrid w:val="0"/>
              <w:spacing w:line="400" w:lineRule="exact"/>
              <w:jc w:val="center"/>
              <w:rPr>
                <w:rFonts w:ascii="宋体" w:hAnsi="宋体"/>
                <w:kern w:val="0"/>
                <w:szCs w:val="21"/>
                <w:highlight w:val="none"/>
              </w:rPr>
            </w:pPr>
          </w:p>
          <w:p w14:paraId="13117F9C">
            <w:pPr>
              <w:snapToGrid w:val="0"/>
              <w:spacing w:line="400" w:lineRule="exact"/>
              <w:jc w:val="center"/>
              <w:rPr>
                <w:rFonts w:ascii="宋体" w:hAnsi="宋体"/>
                <w:kern w:val="0"/>
                <w:szCs w:val="21"/>
                <w:highlight w:val="none"/>
              </w:rPr>
            </w:pPr>
          </w:p>
          <w:p w14:paraId="7C334598">
            <w:pPr>
              <w:snapToGrid w:val="0"/>
              <w:spacing w:line="400" w:lineRule="exact"/>
              <w:jc w:val="center"/>
              <w:rPr>
                <w:rFonts w:ascii="宋体" w:hAnsi="宋体"/>
                <w:kern w:val="0"/>
                <w:szCs w:val="21"/>
                <w:highlight w:val="none"/>
              </w:rPr>
            </w:pPr>
          </w:p>
          <w:p w14:paraId="1A837AB1">
            <w:pPr>
              <w:snapToGrid w:val="0"/>
              <w:spacing w:line="400" w:lineRule="exact"/>
              <w:jc w:val="center"/>
              <w:rPr>
                <w:rFonts w:ascii="宋体" w:hAnsi="宋体"/>
                <w:kern w:val="0"/>
                <w:szCs w:val="21"/>
                <w:highlight w:val="none"/>
              </w:rPr>
            </w:pPr>
          </w:p>
          <w:p w14:paraId="1ABAD2C9">
            <w:pPr>
              <w:snapToGrid w:val="0"/>
              <w:spacing w:line="400" w:lineRule="exact"/>
              <w:jc w:val="center"/>
              <w:rPr>
                <w:rFonts w:ascii="宋体" w:hAnsi="宋体"/>
                <w:kern w:val="0"/>
                <w:szCs w:val="21"/>
                <w:highlight w:val="none"/>
              </w:rPr>
            </w:pPr>
          </w:p>
          <w:p w14:paraId="1CDFA89A">
            <w:pPr>
              <w:snapToGrid w:val="0"/>
              <w:spacing w:line="400" w:lineRule="exact"/>
              <w:jc w:val="center"/>
              <w:rPr>
                <w:rFonts w:ascii="宋体" w:hAnsi="宋体"/>
                <w:kern w:val="0"/>
                <w:szCs w:val="21"/>
                <w:highlight w:val="none"/>
              </w:rPr>
            </w:pPr>
          </w:p>
          <w:p w14:paraId="5CEEC831">
            <w:pPr>
              <w:snapToGrid w:val="0"/>
              <w:spacing w:line="400" w:lineRule="exact"/>
              <w:jc w:val="center"/>
              <w:rPr>
                <w:rFonts w:ascii="宋体" w:hAnsi="宋体"/>
                <w:kern w:val="0"/>
                <w:szCs w:val="21"/>
                <w:highlight w:val="none"/>
              </w:rPr>
            </w:pPr>
          </w:p>
          <w:p w14:paraId="5CA64D57">
            <w:pPr>
              <w:snapToGrid w:val="0"/>
              <w:spacing w:line="400" w:lineRule="exact"/>
              <w:jc w:val="center"/>
              <w:rPr>
                <w:rFonts w:ascii="宋体" w:hAnsi="宋体"/>
                <w:kern w:val="0"/>
                <w:szCs w:val="21"/>
                <w:highlight w:val="none"/>
              </w:rPr>
            </w:pPr>
          </w:p>
          <w:p w14:paraId="2B095E77">
            <w:pPr>
              <w:snapToGrid w:val="0"/>
              <w:spacing w:line="400" w:lineRule="exact"/>
              <w:jc w:val="center"/>
              <w:rPr>
                <w:rFonts w:ascii="宋体" w:hAnsi="宋体"/>
                <w:kern w:val="0"/>
                <w:szCs w:val="21"/>
                <w:highlight w:val="none"/>
              </w:rPr>
            </w:pPr>
          </w:p>
          <w:p w14:paraId="2007D1CE">
            <w:pPr>
              <w:snapToGrid w:val="0"/>
              <w:spacing w:line="400" w:lineRule="exact"/>
              <w:jc w:val="center"/>
              <w:rPr>
                <w:rFonts w:ascii="宋体" w:hAnsi="宋体"/>
                <w:kern w:val="0"/>
                <w:szCs w:val="21"/>
                <w:highlight w:val="none"/>
              </w:rPr>
            </w:pPr>
          </w:p>
          <w:p w14:paraId="6F82ACCB">
            <w:pPr>
              <w:snapToGrid w:val="0"/>
              <w:spacing w:line="400" w:lineRule="exact"/>
              <w:jc w:val="center"/>
              <w:rPr>
                <w:rFonts w:ascii="宋体" w:hAnsi="宋体"/>
                <w:kern w:val="0"/>
                <w:szCs w:val="21"/>
                <w:highlight w:val="none"/>
              </w:rPr>
            </w:pPr>
          </w:p>
          <w:p w14:paraId="7E9A5248">
            <w:pPr>
              <w:snapToGrid w:val="0"/>
              <w:spacing w:line="400" w:lineRule="exact"/>
              <w:jc w:val="center"/>
              <w:rPr>
                <w:rFonts w:ascii="宋体" w:hAnsi="宋体"/>
                <w:kern w:val="0"/>
                <w:szCs w:val="21"/>
                <w:highlight w:val="none"/>
              </w:rPr>
            </w:pPr>
          </w:p>
          <w:p w14:paraId="5B9C6F45">
            <w:pPr>
              <w:snapToGrid w:val="0"/>
              <w:spacing w:line="400" w:lineRule="exact"/>
              <w:jc w:val="center"/>
              <w:rPr>
                <w:rFonts w:ascii="宋体" w:hAnsi="宋体"/>
                <w:kern w:val="0"/>
                <w:szCs w:val="21"/>
                <w:highlight w:val="none"/>
              </w:rPr>
            </w:pPr>
          </w:p>
          <w:p w14:paraId="46A5AAD6">
            <w:pPr>
              <w:snapToGrid w:val="0"/>
              <w:spacing w:line="400" w:lineRule="exact"/>
              <w:jc w:val="center"/>
              <w:rPr>
                <w:rFonts w:ascii="宋体" w:hAnsi="宋体"/>
                <w:kern w:val="0"/>
                <w:szCs w:val="21"/>
                <w:highlight w:val="none"/>
              </w:rPr>
            </w:pPr>
          </w:p>
          <w:p w14:paraId="6E451AAC">
            <w:pPr>
              <w:snapToGrid w:val="0"/>
              <w:spacing w:line="400" w:lineRule="exact"/>
              <w:jc w:val="center"/>
              <w:rPr>
                <w:rFonts w:ascii="宋体" w:hAnsi="宋体"/>
                <w:kern w:val="0"/>
                <w:szCs w:val="21"/>
                <w:highlight w:val="none"/>
              </w:rPr>
            </w:pPr>
          </w:p>
          <w:p w14:paraId="31A44C3B">
            <w:pPr>
              <w:snapToGrid w:val="0"/>
              <w:spacing w:line="400" w:lineRule="exact"/>
              <w:jc w:val="center"/>
              <w:rPr>
                <w:rFonts w:ascii="宋体" w:hAnsi="宋体"/>
                <w:kern w:val="0"/>
                <w:szCs w:val="21"/>
                <w:highlight w:val="none"/>
              </w:rPr>
            </w:pPr>
          </w:p>
          <w:p w14:paraId="29E3B72D">
            <w:pPr>
              <w:snapToGrid w:val="0"/>
              <w:spacing w:line="400" w:lineRule="exact"/>
              <w:jc w:val="center"/>
              <w:rPr>
                <w:rFonts w:ascii="宋体" w:hAnsi="宋体"/>
                <w:kern w:val="0"/>
                <w:szCs w:val="21"/>
                <w:highlight w:val="none"/>
              </w:rPr>
            </w:pPr>
          </w:p>
          <w:p w14:paraId="6BA01E40">
            <w:pPr>
              <w:snapToGrid w:val="0"/>
              <w:spacing w:line="400" w:lineRule="exact"/>
              <w:jc w:val="center"/>
              <w:rPr>
                <w:rFonts w:ascii="宋体" w:hAnsi="宋体"/>
                <w:kern w:val="0"/>
                <w:szCs w:val="21"/>
                <w:highlight w:val="none"/>
              </w:rPr>
            </w:pPr>
          </w:p>
          <w:p w14:paraId="609B61D5">
            <w:pPr>
              <w:snapToGrid w:val="0"/>
              <w:spacing w:line="400" w:lineRule="exact"/>
              <w:jc w:val="center"/>
              <w:rPr>
                <w:rFonts w:ascii="宋体" w:hAnsi="宋体"/>
                <w:kern w:val="0"/>
                <w:szCs w:val="21"/>
                <w:highlight w:val="none"/>
              </w:rPr>
            </w:pPr>
          </w:p>
          <w:p w14:paraId="06D0AF48">
            <w:pPr>
              <w:snapToGrid w:val="0"/>
              <w:spacing w:line="400" w:lineRule="exact"/>
              <w:jc w:val="center"/>
              <w:rPr>
                <w:rFonts w:ascii="宋体" w:hAnsi="宋体"/>
                <w:kern w:val="0"/>
                <w:szCs w:val="21"/>
                <w:highlight w:val="none"/>
              </w:rPr>
            </w:pPr>
          </w:p>
          <w:p w14:paraId="48A8709D">
            <w:pPr>
              <w:snapToGrid w:val="0"/>
              <w:spacing w:line="400" w:lineRule="exact"/>
              <w:jc w:val="center"/>
              <w:rPr>
                <w:rFonts w:ascii="宋体" w:hAnsi="宋体"/>
                <w:kern w:val="0"/>
                <w:szCs w:val="21"/>
                <w:highlight w:val="none"/>
              </w:rPr>
            </w:pPr>
          </w:p>
          <w:p w14:paraId="4B968D42">
            <w:pPr>
              <w:snapToGrid w:val="0"/>
              <w:spacing w:line="400" w:lineRule="exact"/>
              <w:jc w:val="center"/>
              <w:rPr>
                <w:rFonts w:ascii="宋体" w:hAnsi="宋体"/>
                <w:kern w:val="0"/>
                <w:szCs w:val="21"/>
                <w:highlight w:val="none"/>
              </w:rPr>
            </w:pPr>
          </w:p>
          <w:p w14:paraId="4F7C9203">
            <w:pPr>
              <w:snapToGrid w:val="0"/>
              <w:spacing w:line="400" w:lineRule="exact"/>
              <w:jc w:val="center"/>
              <w:rPr>
                <w:rFonts w:ascii="宋体" w:hAnsi="宋体"/>
                <w:kern w:val="0"/>
                <w:szCs w:val="21"/>
                <w:highlight w:val="none"/>
              </w:rPr>
            </w:pPr>
          </w:p>
          <w:p w14:paraId="093C915A">
            <w:pPr>
              <w:snapToGrid w:val="0"/>
              <w:spacing w:line="400" w:lineRule="exact"/>
              <w:jc w:val="center"/>
              <w:rPr>
                <w:rFonts w:ascii="宋体" w:hAnsi="宋体"/>
                <w:kern w:val="0"/>
                <w:szCs w:val="21"/>
                <w:highlight w:val="none"/>
              </w:rPr>
            </w:pPr>
          </w:p>
          <w:p w14:paraId="2E934217">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07581888">
            <w:pPr>
              <w:snapToGrid w:val="0"/>
              <w:spacing w:line="400" w:lineRule="exact"/>
              <w:jc w:val="center"/>
              <w:rPr>
                <w:rFonts w:ascii="宋体" w:hAnsi="宋体"/>
                <w:kern w:val="0"/>
                <w:szCs w:val="21"/>
                <w:highlight w:val="none"/>
              </w:rPr>
            </w:pPr>
          </w:p>
          <w:p w14:paraId="0AE00CE9">
            <w:pPr>
              <w:snapToGrid w:val="0"/>
              <w:spacing w:line="400" w:lineRule="exact"/>
              <w:jc w:val="center"/>
              <w:rPr>
                <w:rFonts w:ascii="宋体" w:hAnsi="宋体"/>
                <w:kern w:val="0"/>
                <w:szCs w:val="21"/>
                <w:highlight w:val="none"/>
              </w:rPr>
            </w:pPr>
          </w:p>
          <w:p w14:paraId="75D917B4">
            <w:pPr>
              <w:snapToGrid w:val="0"/>
              <w:spacing w:line="400" w:lineRule="exact"/>
              <w:jc w:val="center"/>
              <w:rPr>
                <w:rFonts w:ascii="宋体" w:hAnsi="宋体"/>
                <w:kern w:val="0"/>
                <w:szCs w:val="21"/>
                <w:highlight w:val="none"/>
              </w:rPr>
            </w:pPr>
          </w:p>
          <w:p w14:paraId="6A9D4320">
            <w:pPr>
              <w:snapToGrid w:val="0"/>
              <w:spacing w:line="400" w:lineRule="exact"/>
              <w:jc w:val="center"/>
              <w:rPr>
                <w:rFonts w:ascii="宋体" w:hAnsi="宋体"/>
                <w:kern w:val="0"/>
                <w:szCs w:val="21"/>
                <w:highlight w:val="none"/>
              </w:rPr>
            </w:pPr>
          </w:p>
          <w:p w14:paraId="0EBE601D">
            <w:pPr>
              <w:snapToGrid w:val="0"/>
              <w:spacing w:line="400" w:lineRule="exact"/>
              <w:jc w:val="center"/>
              <w:rPr>
                <w:rFonts w:ascii="宋体" w:hAnsi="宋体"/>
                <w:kern w:val="0"/>
                <w:szCs w:val="21"/>
                <w:highlight w:val="none"/>
              </w:rPr>
            </w:pPr>
          </w:p>
          <w:p w14:paraId="3424E3D0">
            <w:pPr>
              <w:snapToGrid w:val="0"/>
              <w:spacing w:line="400" w:lineRule="exact"/>
              <w:jc w:val="center"/>
              <w:rPr>
                <w:rFonts w:ascii="宋体" w:hAnsi="宋体"/>
                <w:kern w:val="0"/>
                <w:szCs w:val="21"/>
                <w:highlight w:val="none"/>
              </w:rPr>
            </w:pPr>
          </w:p>
          <w:p w14:paraId="2F053B52">
            <w:pPr>
              <w:snapToGrid w:val="0"/>
              <w:spacing w:line="400" w:lineRule="exact"/>
              <w:jc w:val="center"/>
              <w:rPr>
                <w:rFonts w:ascii="宋体" w:hAnsi="宋体"/>
                <w:kern w:val="0"/>
                <w:szCs w:val="21"/>
                <w:highlight w:val="none"/>
              </w:rPr>
            </w:pPr>
          </w:p>
          <w:p w14:paraId="0C19452F">
            <w:pPr>
              <w:snapToGrid w:val="0"/>
              <w:spacing w:line="400" w:lineRule="exact"/>
              <w:jc w:val="center"/>
              <w:rPr>
                <w:rFonts w:ascii="宋体" w:hAnsi="宋体"/>
                <w:kern w:val="0"/>
                <w:szCs w:val="21"/>
                <w:highlight w:val="none"/>
              </w:rPr>
            </w:pPr>
          </w:p>
          <w:p w14:paraId="79B4DAA9">
            <w:pPr>
              <w:snapToGrid w:val="0"/>
              <w:spacing w:line="400" w:lineRule="exact"/>
              <w:jc w:val="center"/>
              <w:rPr>
                <w:rFonts w:ascii="宋体" w:hAnsi="宋体"/>
                <w:kern w:val="0"/>
                <w:szCs w:val="21"/>
                <w:highlight w:val="none"/>
              </w:rPr>
            </w:pPr>
          </w:p>
          <w:p w14:paraId="3111E237">
            <w:pPr>
              <w:snapToGrid w:val="0"/>
              <w:spacing w:line="400" w:lineRule="exact"/>
              <w:jc w:val="center"/>
              <w:rPr>
                <w:rFonts w:ascii="宋体" w:hAnsi="宋体"/>
                <w:kern w:val="0"/>
                <w:szCs w:val="21"/>
                <w:highlight w:val="none"/>
              </w:rPr>
            </w:pPr>
          </w:p>
          <w:p w14:paraId="5F8D40E5">
            <w:pPr>
              <w:snapToGrid w:val="0"/>
              <w:spacing w:line="400" w:lineRule="exact"/>
              <w:jc w:val="center"/>
              <w:rPr>
                <w:rFonts w:ascii="宋体" w:hAnsi="宋体"/>
                <w:kern w:val="0"/>
                <w:szCs w:val="21"/>
                <w:highlight w:val="none"/>
              </w:rPr>
            </w:pPr>
          </w:p>
          <w:p w14:paraId="2D3185BA">
            <w:pPr>
              <w:snapToGrid w:val="0"/>
              <w:spacing w:line="400" w:lineRule="exact"/>
              <w:jc w:val="center"/>
              <w:rPr>
                <w:rFonts w:ascii="宋体" w:hAnsi="宋体"/>
                <w:kern w:val="0"/>
                <w:szCs w:val="21"/>
                <w:highlight w:val="none"/>
              </w:rPr>
            </w:pPr>
          </w:p>
          <w:p w14:paraId="2E4BDD1A">
            <w:pPr>
              <w:snapToGrid w:val="0"/>
              <w:spacing w:line="400" w:lineRule="exact"/>
              <w:jc w:val="center"/>
              <w:rPr>
                <w:rFonts w:ascii="宋体" w:hAnsi="宋体"/>
                <w:kern w:val="0"/>
                <w:szCs w:val="21"/>
                <w:highlight w:val="none"/>
              </w:rPr>
            </w:pPr>
          </w:p>
          <w:p w14:paraId="38C640D0">
            <w:pPr>
              <w:snapToGrid w:val="0"/>
              <w:spacing w:line="400" w:lineRule="exact"/>
              <w:jc w:val="center"/>
              <w:rPr>
                <w:rFonts w:ascii="宋体" w:hAnsi="宋体"/>
                <w:kern w:val="0"/>
                <w:szCs w:val="21"/>
                <w:highlight w:val="none"/>
              </w:rPr>
            </w:pPr>
          </w:p>
          <w:p w14:paraId="61265929">
            <w:pPr>
              <w:snapToGrid w:val="0"/>
              <w:spacing w:line="400" w:lineRule="exact"/>
              <w:jc w:val="center"/>
              <w:rPr>
                <w:rFonts w:ascii="宋体" w:hAnsi="宋体"/>
                <w:kern w:val="0"/>
                <w:szCs w:val="21"/>
                <w:highlight w:val="none"/>
              </w:rPr>
            </w:pPr>
          </w:p>
          <w:p w14:paraId="0A1EDF9D">
            <w:pPr>
              <w:snapToGrid w:val="0"/>
              <w:spacing w:line="400" w:lineRule="exact"/>
              <w:jc w:val="center"/>
              <w:rPr>
                <w:rFonts w:ascii="宋体" w:hAnsi="宋体"/>
                <w:kern w:val="0"/>
                <w:szCs w:val="21"/>
                <w:highlight w:val="none"/>
              </w:rPr>
            </w:pPr>
          </w:p>
          <w:p w14:paraId="67CD49A5">
            <w:pPr>
              <w:snapToGrid w:val="0"/>
              <w:spacing w:line="400" w:lineRule="exact"/>
              <w:jc w:val="center"/>
              <w:rPr>
                <w:rFonts w:ascii="宋体" w:hAnsi="宋体"/>
                <w:kern w:val="0"/>
                <w:szCs w:val="21"/>
                <w:highlight w:val="none"/>
              </w:rPr>
            </w:pPr>
          </w:p>
          <w:p w14:paraId="76A3C60A">
            <w:pPr>
              <w:snapToGrid w:val="0"/>
              <w:spacing w:line="400" w:lineRule="exact"/>
              <w:jc w:val="center"/>
              <w:rPr>
                <w:rFonts w:ascii="宋体" w:hAnsi="宋体"/>
                <w:kern w:val="0"/>
                <w:szCs w:val="21"/>
                <w:highlight w:val="none"/>
              </w:rPr>
            </w:pPr>
          </w:p>
          <w:p w14:paraId="71119058">
            <w:pPr>
              <w:snapToGrid w:val="0"/>
              <w:spacing w:line="400" w:lineRule="exact"/>
              <w:jc w:val="center"/>
              <w:rPr>
                <w:rFonts w:ascii="宋体" w:hAnsi="宋体"/>
                <w:kern w:val="0"/>
                <w:szCs w:val="21"/>
                <w:highlight w:val="none"/>
              </w:rPr>
            </w:pPr>
          </w:p>
          <w:p w14:paraId="2CCD4A2F">
            <w:pPr>
              <w:snapToGrid w:val="0"/>
              <w:spacing w:line="400" w:lineRule="exact"/>
              <w:jc w:val="center"/>
              <w:rPr>
                <w:rFonts w:ascii="宋体" w:hAnsi="宋体"/>
                <w:kern w:val="0"/>
                <w:szCs w:val="21"/>
                <w:highlight w:val="none"/>
              </w:rPr>
            </w:pPr>
          </w:p>
          <w:p w14:paraId="29E3070D">
            <w:pPr>
              <w:snapToGrid w:val="0"/>
              <w:spacing w:line="400" w:lineRule="exact"/>
              <w:jc w:val="center"/>
              <w:rPr>
                <w:rFonts w:ascii="宋体" w:hAnsi="宋体"/>
                <w:kern w:val="0"/>
                <w:szCs w:val="21"/>
                <w:highlight w:val="none"/>
              </w:rPr>
            </w:pPr>
          </w:p>
          <w:p w14:paraId="16E7D03B">
            <w:pPr>
              <w:snapToGrid w:val="0"/>
              <w:spacing w:line="400" w:lineRule="exact"/>
              <w:jc w:val="center"/>
              <w:rPr>
                <w:rFonts w:ascii="宋体" w:hAnsi="宋体"/>
                <w:kern w:val="0"/>
                <w:szCs w:val="21"/>
                <w:highlight w:val="none"/>
              </w:rPr>
            </w:pPr>
          </w:p>
          <w:p w14:paraId="095D7989">
            <w:pPr>
              <w:snapToGrid w:val="0"/>
              <w:spacing w:line="400" w:lineRule="exact"/>
              <w:jc w:val="center"/>
              <w:rPr>
                <w:rFonts w:ascii="宋体" w:hAnsi="宋体"/>
                <w:kern w:val="0"/>
                <w:szCs w:val="21"/>
                <w:highlight w:val="none"/>
              </w:rPr>
            </w:pPr>
          </w:p>
          <w:p w14:paraId="7B5E900C">
            <w:pPr>
              <w:snapToGrid w:val="0"/>
              <w:spacing w:line="400" w:lineRule="exact"/>
              <w:jc w:val="center"/>
              <w:rPr>
                <w:rFonts w:ascii="宋体" w:hAnsi="宋体"/>
                <w:kern w:val="0"/>
                <w:szCs w:val="21"/>
                <w:highlight w:val="none"/>
              </w:rPr>
            </w:pPr>
          </w:p>
          <w:p w14:paraId="450F0619">
            <w:pPr>
              <w:snapToGrid w:val="0"/>
              <w:spacing w:line="400" w:lineRule="exact"/>
              <w:jc w:val="center"/>
              <w:rPr>
                <w:rFonts w:ascii="宋体" w:hAnsi="宋体"/>
                <w:kern w:val="0"/>
                <w:szCs w:val="21"/>
                <w:highlight w:val="none"/>
              </w:rPr>
            </w:pPr>
          </w:p>
          <w:p w14:paraId="2682C54D">
            <w:pPr>
              <w:snapToGrid w:val="0"/>
              <w:spacing w:line="400" w:lineRule="exact"/>
              <w:jc w:val="center"/>
              <w:rPr>
                <w:rFonts w:ascii="宋体" w:hAnsi="宋体"/>
                <w:kern w:val="0"/>
                <w:szCs w:val="21"/>
                <w:highlight w:val="none"/>
              </w:rPr>
            </w:pPr>
          </w:p>
          <w:p w14:paraId="7A016107">
            <w:pPr>
              <w:snapToGrid w:val="0"/>
              <w:spacing w:line="400" w:lineRule="exact"/>
              <w:jc w:val="center"/>
              <w:rPr>
                <w:rFonts w:ascii="宋体" w:hAnsi="宋体"/>
                <w:kern w:val="0"/>
                <w:szCs w:val="21"/>
                <w:highlight w:val="none"/>
              </w:rPr>
            </w:pPr>
          </w:p>
          <w:p w14:paraId="14485171">
            <w:pPr>
              <w:snapToGrid w:val="0"/>
              <w:spacing w:line="400" w:lineRule="exact"/>
              <w:jc w:val="center"/>
              <w:rPr>
                <w:rFonts w:ascii="宋体" w:hAnsi="宋体"/>
                <w:kern w:val="0"/>
                <w:szCs w:val="21"/>
                <w:highlight w:val="none"/>
              </w:rPr>
            </w:pPr>
          </w:p>
          <w:p w14:paraId="7D24D388">
            <w:pPr>
              <w:snapToGrid w:val="0"/>
              <w:spacing w:line="400" w:lineRule="exact"/>
              <w:jc w:val="center"/>
              <w:rPr>
                <w:rFonts w:ascii="宋体" w:hAnsi="宋体"/>
                <w:kern w:val="0"/>
                <w:szCs w:val="21"/>
                <w:highlight w:val="none"/>
              </w:rPr>
            </w:pPr>
          </w:p>
          <w:p w14:paraId="4C882828">
            <w:pPr>
              <w:snapToGrid w:val="0"/>
              <w:spacing w:line="400" w:lineRule="exact"/>
              <w:jc w:val="center"/>
              <w:rPr>
                <w:rFonts w:ascii="宋体" w:hAnsi="宋体"/>
                <w:kern w:val="0"/>
                <w:szCs w:val="21"/>
                <w:highlight w:val="none"/>
              </w:rPr>
            </w:pPr>
          </w:p>
          <w:p w14:paraId="7835C9D1">
            <w:pPr>
              <w:snapToGrid w:val="0"/>
              <w:spacing w:line="400" w:lineRule="exact"/>
              <w:jc w:val="center"/>
              <w:rPr>
                <w:rFonts w:ascii="宋体" w:hAnsi="宋体"/>
                <w:kern w:val="0"/>
                <w:szCs w:val="21"/>
                <w:highlight w:val="none"/>
              </w:rPr>
            </w:pPr>
          </w:p>
          <w:p w14:paraId="339D2A4B">
            <w:pPr>
              <w:snapToGrid w:val="0"/>
              <w:spacing w:line="400" w:lineRule="exact"/>
              <w:jc w:val="center"/>
              <w:rPr>
                <w:rFonts w:ascii="宋体" w:hAnsi="宋体"/>
                <w:kern w:val="0"/>
                <w:szCs w:val="21"/>
                <w:highlight w:val="none"/>
              </w:rPr>
            </w:pPr>
          </w:p>
          <w:p w14:paraId="3BBE4FCE">
            <w:pPr>
              <w:snapToGrid w:val="0"/>
              <w:spacing w:line="400" w:lineRule="exact"/>
              <w:jc w:val="center"/>
              <w:rPr>
                <w:rFonts w:ascii="宋体" w:hAnsi="宋体"/>
                <w:kern w:val="0"/>
                <w:szCs w:val="21"/>
                <w:highlight w:val="none"/>
              </w:rPr>
            </w:pPr>
          </w:p>
          <w:p w14:paraId="4C431F95">
            <w:pPr>
              <w:snapToGrid w:val="0"/>
              <w:spacing w:line="400" w:lineRule="exact"/>
              <w:jc w:val="center"/>
              <w:rPr>
                <w:rFonts w:ascii="宋体" w:hAnsi="宋体"/>
                <w:kern w:val="0"/>
                <w:szCs w:val="21"/>
                <w:highlight w:val="none"/>
              </w:rPr>
            </w:pPr>
          </w:p>
          <w:p w14:paraId="0B18108C">
            <w:pPr>
              <w:snapToGrid w:val="0"/>
              <w:spacing w:line="400" w:lineRule="exact"/>
              <w:jc w:val="center"/>
              <w:rPr>
                <w:rFonts w:ascii="宋体" w:hAnsi="宋体"/>
                <w:kern w:val="0"/>
                <w:szCs w:val="21"/>
                <w:highlight w:val="none"/>
              </w:rPr>
            </w:pPr>
          </w:p>
          <w:p w14:paraId="39175D8A">
            <w:pPr>
              <w:snapToGrid w:val="0"/>
              <w:spacing w:line="400" w:lineRule="exact"/>
              <w:jc w:val="center"/>
              <w:rPr>
                <w:rFonts w:ascii="宋体" w:hAnsi="宋体"/>
                <w:kern w:val="0"/>
                <w:szCs w:val="21"/>
                <w:highlight w:val="none"/>
              </w:rPr>
            </w:pPr>
          </w:p>
          <w:p w14:paraId="1351C5A3">
            <w:pPr>
              <w:snapToGrid w:val="0"/>
              <w:spacing w:line="400" w:lineRule="exact"/>
              <w:jc w:val="center"/>
              <w:rPr>
                <w:rFonts w:ascii="宋体" w:hAnsi="宋体"/>
                <w:kern w:val="0"/>
                <w:szCs w:val="21"/>
                <w:highlight w:val="none"/>
              </w:rPr>
            </w:pPr>
          </w:p>
          <w:p w14:paraId="5A68EA8D">
            <w:pPr>
              <w:snapToGrid w:val="0"/>
              <w:spacing w:line="400" w:lineRule="exact"/>
              <w:jc w:val="center"/>
              <w:rPr>
                <w:rFonts w:ascii="宋体" w:hAnsi="宋体"/>
                <w:kern w:val="0"/>
                <w:szCs w:val="21"/>
                <w:highlight w:val="none"/>
              </w:rPr>
            </w:pPr>
          </w:p>
          <w:p w14:paraId="132DA3A6">
            <w:pPr>
              <w:snapToGrid w:val="0"/>
              <w:spacing w:line="400" w:lineRule="exact"/>
              <w:jc w:val="center"/>
              <w:rPr>
                <w:rFonts w:ascii="宋体" w:hAnsi="宋体"/>
                <w:kern w:val="0"/>
                <w:szCs w:val="21"/>
                <w:highlight w:val="none"/>
              </w:rPr>
            </w:pPr>
          </w:p>
          <w:p w14:paraId="6F5FE19A">
            <w:pPr>
              <w:snapToGrid w:val="0"/>
              <w:spacing w:line="400" w:lineRule="exact"/>
              <w:jc w:val="center"/>
              <w:rPr>
                <w:rFonts w:ascii="宋体" w:hAnsi="宋体"/>
                <w:kern w:val="0"/>
                <w:szCs w:val="21"/>
                <w:highlight w:val="none"/>
              </w:rPr>
            </w:pPr>
          </w:p>
          <w:p w14:paraId="71B8DDCC">
            <w:pPr>
              <w:snapToGrid w:val="0"/>
              <w:spacing w:line="400" w:lineRule="exact"/>
              <w:jc w:val="center"/>
              <w:rPr>
                <w:rFonts w:ascii="宋体" w:hAnsi="宋体"/>
                <w:kern w:val="0"/>
                <w:szCs w:val="21"/>
                <w:highlight w:val="none"/>
              </w:rPr>
            </w:pPr>
          </w:p>
          <w:p w14:paraId="0183679F">
            <w:pPr>
              <w:snapToGrid w:val="0"/>
              <w:spacing w:line="400" w:lineRule="exact"/>
              <w:jc w:val="center"/>
              <w:rPr>
                <w:rFonts w:ascii="宋体" w:hAnsi="宋体"/>
                <w:kern w:val="0"/>
                <w:szCs w:val="21"/>
                <w:highlight w:val="none"/>
              </w:rPr>
            </w:pPr>
            <w:r>
              <w:rPr>
                <w:rFonts w:ascii="宋体" w:hAnsi="宋体"/>
                <w:kern w:val="0"/>
                <w:szCs w:val="21"/>
                <w:highlight w:val="none"/>
              </w:rPr>
              <w:t>1.4.1</w:t>
            </w:r>
          </w:p>
          <w:p w14:paraId="12ED4831">
            <w:pPr>
              <w:snapToGrid w:val="0"/>
              <w:spacing w:line="400" w:lineRule="exact"/>
              <w:jc w:val="center"/>
              <w:rPr>
                <w:rFonts w:ascii="宋体" w:hAnsi="宋体"/>
                <w:kern w:val="0"/>
                <w:szCs w:val="21"/>
                <w:highlight w:val="none"/>
              </w:rPr>
            </w:pPr>
          </w:p>
          <w:p w14:paraId="04084B20">
            <w:pPr>
              <w:snapToGrid w:val="0"/>
              <w:spacing w:line="400" w:lineRule="exact"/>
              <w:jc w:val="center"/>
              <w:rPr>
                <w:rFonts w:ascii="宋体" w:hAnsi="宋体"/>
                <w:kern w:val="0"/>
                <w:szCs w:val="21"/>
                <w:highlight w:val="none"/>
              </w:rPr>
            </w:pPr>
          </w:p>
          <w:p w14:paraId="1A88A04E">
            <w:pPr>
              <w:snapToGrid w:val="0"/>
              <w:spacing w:line="400" w:lineRule="exact"/>
              <w:jc w:val="center"/>
              <w:rPr>
                <w:rFonts w:ascii="宋体" w:hAnsi="宋体"/>
                <w:kern w:val="0"/>
                <w:szCs w:val="21"/>
                <w:highlight w:val="none"/>
              </w:rPr>
            </w:pPr>
          </w:p>
          <w:p w14:paraId="4EE69E2E">
            <w:pPr>
              <w:snapToGrid w:val="0"/>
              <w:spacing w:line="400" w:lineRule="exact"/>
              <w:jc w:val="center"/>
              <w:rPr>
                <w:rFonts w:ascii="宋体" w:hAnsi="宋体"/>
                <w:kern w:val="0"/>
                <w:szCs w:val="21"/>
                <w:highlight w:val="none"/>
              </w:rPr>
            </w:pPr>
          </w:p>
          <w:p w14:paraId="17E9DAE1">
            <w:pPr>
              <w:snapToGrid w:val="0"/>
              <w:spacing w:line="400" w:lineRule="exact"/>
              <w:jc w:val="center"/>
              <w:rPr>
                <w:rFonts w:ascii="宋体" w:hAnsi="宋体"/>
                <w:kern w:val="0"/>
                <w:szCs w:val="21"/>
                <w:highlight w:val="none"/>
              </w:rPr>
            </w:pPr>
          </w:p>
          <w:p w14:paraId="270C0208">
            <w:pPr>
              <w:snapToGrid w:val="0"/>
              <w:spacing w:line="400" w:lineRule="exact"/>
              <w:jc w:val="center"/>
              <w:rPr>
                <w:rFonts w:ascii="宋体" w:hAnsi="宋体"/>
                <w:kern w:val="0"/>
                <w:szCs w:val="21"/>
                <w:highlight w:val="none"/>
              </w:rPr>
            </w:pPr>
          </w:p>
          <w:p w14:paraId="6384B1EA">
            <w:pPr>
              <w:snapToGrid w:val="0"/>
              <w:spacing w:line="400" w:lineRule="exact"/>
              <w:jc w:val="center"/>
              <w:rPr>
                <w:rFonts w:ascii="宋体" w:hAnsi="宋体"/>
                <w:kern w:val="0"/>
                <w:szCs w:val="21"/>
                <w:highlight w:val="none"/>
              </w:rPr>
            </w:pPr>
          </w:p>
          <w:p w14:paraId="68A7C6DD">
            <w:pPr>
              <w:snapToGrid w:val="0"/>
              <w:spacing w:line="400" w:lineRule="exact"/>
              <w:jc w:val="center"/>
              <w:rPr>
                <w:rFonts w:ascii="宋体" w:hAnsi="宋体"/>
                <w:kern w:val="0"/>
                <w:szCs w:val="21"/>
                <w:highlight w:val="none"/>
              </w:rPr>
            </w:pPr>
          </w:p>
          <w:p w14:paraId="26CC5A56">
            <w:pPr>
              <w:snapToGrid w:val="0"/>
              <w:spacing w:line="400" w:lineRule="exact"/>
              <w:jc w:val="center"/>
              <w:rPr>
                <w:rFonts w:ascii="宋体" w:hAnsi="宋体"/>
                <w:kern w:val="0"/>
                <w:szCs w:val="21"/>
                <w:highlight w:val="none"/>
              </w:rPr>
            </w:pPr>
          </w:p>
          <w:p w14:paraId="501340A5">
            <w:pPr>
              <w:snapToGrid w:val="0"/>
              <w:spacing w:line="400" w:lineRule="exact"/>
              <w:jc w:val="center"/>
              <w:rPr>
                <w:rFonts w:ascii="宋体" w:hAnsi="宋体"/>
                <w:kern w:val="0"/>
                <w:szCs w:val="21"/>
                <w:highlight w:val="none"/>
              </w:rPr>
            </w:pPr>
          </w:p>
          <w:p w14:paraId="46E6197A">
            <w:pPr>
              <w:snapToGrid w:val="0"/>
              <w:spacing w:line="400" w:lineRule="exact"/>
              <w:jc w:val="center"/>
              <w:rPr>
                <w:rFonts w:ascii="宋体" w:hAnsi="宋体"/>
                <w:kern w:val="0"/>
                <w:szCs w:val="21"/>
                <w:highlight w:val="none"/>
              </w:rPr>
            </w:pPr>
          </w:p>
          <w:p w14:paraId="09484975">
            <w:pPr>
              <w:snapToGrid w:val="0"/>
              <w:spacing w:line="400" w:lineRule="exact"/>
              <w:jc w:val="center"/>
              <w:rPr>
                <w:rFonts w:ascii="宋体" w:hAnsi="宋体"/>
                <w:kern w:val="0"/>
                <w:szCs w:val="21"/>
                <w:highlight w:val="none"/>
              </w:rPr>
            </w:pPr>
          </w:p>
          <w:p w14:paraId="453140BC">
            <w:pPr>
              <w:snapToGrid w:val="0"/>
              <w:spacing w:line="400" w:lineRule="exact"/>
              <w:jc w:val="center"/>
              <w:rPr>
                <w:rFonts w:ascii="宋体" w:hAnsi="宋体"/>
                <w:kern w:val="0"/>
                <w:szCs w:val="21"/>
                <w:highlight w:val="none"/>
              </w:rPr>
            </w:pPr>
          </w:p>
          <w:p w14:paraId="1FAD462D">
            <w:pPr>
              <w:snapToGrid w:val="0"/>
              <w:spacing w:line="400" w:lineRule="exact"/>
              <w:jc w:val="center"/>
              <w:rPr>
                <w:rFonts w:ascii="宋体" w:hAnsi="宋体"/>
                <w:kern w:val="0"/>
                <w:szCs w:val="21"/>
                <w:highlight w:val="none"/>
              </w:rPr>
            </w:pPr>
          </w:p>
          <w:p w14:paraId="2B15C439">
            <w:pPr>
              <w:snapToGrid w:val="0"/>
              <w:spacing w:line="400" w:lineRule="exact"/>
              <w:jc w:val="center"/>
              <w:rPr>
                <w:rFonts w:ascii="宋体" w:hAnsi="宋体"/>
                <w:kern w:val="0"/>
                <w:szCs w:val="21"/>
                <w:highlight w:val="none"/>
              </w:rPr>
            </w:pPr>
          </w:p>
          <w:p w14:paraId="409C4788">
            <w:pPr>
              <w:snapToGrid w:val="0"/>
              <w:spacing w:line="400" w:lineRule="exact"/>
              <w:jc w:val="center"/>
              <w:rPr>
                <w:rFonts w:ascii="宋体" w:hAnsi="宋体"/>
                <w:kern w:val="0"/>
                <w:szCs w:val="21"/>
                <w:highlight w:val="none"/>
              </w:rPr>
            </w:pPr>
          </w:p>
          <w:p w14:paraId="680BECF1">
            <w:pPr>
              <w:snapToGrid w:val="0"/>
              <w:spacing w:line="400" w:lineRule="exact"/>
              <w:jc w:val="center"/>
              <w:rPr>
                <w:rFonts w:ascii="宋体" w:hAnsi="宋体"/>
                <w:kern w:val="0"/>
                <w:szCs w:val="21"/>
                <w:highlight w:val="none"/>
              </w:rPr>
            </w:pPr>
          </w:p>
          <w:p w14:paraId="2FD690AB">
            <w:pPr>
              <w:snapToGrid w:val="0"/>
              <w:spacing w:line="400" w:lineRule="exact"/>
              <w:jc w:val="center"/>
              <w:rPr>
                <w:rFonts w:ascii="宋体" w:hAnsi="宋体"/>
                <w:kern w:val="0"/>
                <w:szCs w:val="21"/>
                <w:highlight w:val="none"/>
              </w:rPr>
            </w:pPr>
          </w:p>
          <w:p w14:paraId="6568FAE9">
            <w:pPr>
              <w:snapToGrid w:val="0"/>
              <w:spacing w:line="400" w:lineRule="exact"/>
              <w:rPr>
                <w:rFonts w:ascii="宋体" w:hAnsi="宋体"/>
                <w:kern w:val="0"/>
                <w:szCs w:val="21"/>
                <w:highlight w:val="none"/>
              </w:rPr>
            </w:pPr>
          </w:p>
        </w:tc>
        <w:tc>
          <w:tcPr>
            <w:tcW w:w="1451" w:type="dxa"/>
            <w:vAlign w:val="center"/>
          </w:tcPr>
          <w:p w14:paraId="4C6879EC">
            <w:pPr>
              <w:snapToGrid w:val="0"/>
              <w:spacing w:line="400" w:lineRule="exact"/>
              <w:jc w:val="center"/>
              <w:rPr>
                <w:rFonts w:ascii="宋体" w:hAnsi="宋体"/>
                <w:kern w:val="0"/>
                <w:szCs w:val="21"/>
                <w:highlight w:val="none"/>
              </w:rPr>
            </w:pPr>
          </w:p>
          <w:p w14:paraId="0A4AF69C">
            <w:pPr>
              <w:snapToGrid w:val="0"/>
              <w:spacing w:line="400" w:lineRule="exact"/>
              <w:jc w:val="center"/>
              <w:rPr>
                <w:rFonts w:ascii="宋体" w:hAnsi="宋体"/>
                <w:kern w:val="0"/>
                <w:szCs w:val="21"/>
                <w:highlight w:val="none"/>
              </w:rPr>
            </w:pPr>
          </w:p>
          <w:p w14:paraId="0E94FD02">
            <w:pPr>
              <w:snapToGrid w:val="0"/>
              <w:spacing w:line="400" w:lineRule="exact"/>
              <w:jc w:val="center"/>
              <w:rPr>
                <w:rFonts w:ascii="宋体" w:hAnsi="宋体"/>
                <w:kern w:val="0"/>
                <w:szCs w:val="21"/>
                <w:highlight w:val="none"/>
              </w:rPr>
            </w:pPr>
          </w:p>
          <w:p w14:paraId="2A4DE7B6">
            <w:pPr>
              <w:snapToGrid w:val="0"/>
              <w:spacing w:line="400" w:lineRule="exact"/>
              <w:jc w:val="center"/>
              <w:rPr>
                <w:rFonts w:ascii="宋体" w:hAnsi="宋体"/>
                <w:kern w:val="0"/>
                <w:szCs w:val="21"/>
                <w:highlight w:val="none"/>
              </w:rPr>
            </w:pPr>
          </w:p>
          <w:p w14:paraId="613646BD">
            <w:pPr>
              <w:snapToGrid w:val="0"/>
              <w:spacing w:line="400" w:lineRule="exact"/>
              <w:jc w:val="center"/>
              <w:rPr>
                <w:rFonts w:ascii="宋体" w:hAnsi="宋体"/>
                <w:kern w:val="0"/>
                <w:szCs w:val="21"/>
                <w:highlight w:val="none"/>
              </w:rPr>
            </w:pPr>
          </w:p>
          <w:p w14:paraId="3A303330">
            <w:pPr>
              <w:snapToGrid w:val="0"/>
              <w:spacing w:line="400" w:lineRule="exact"/>
              <w:jc w:val="center"/>
              <w:rPr>
                <w:rFonts w:ascii="宋体" w:hAnsi="宋体"/>
                <w:kern w:val="0"/>
                <w:szCs w:val="21"/>
                <w:highlight w:val="none"/>
              </w:rPr>
            </w:pPr>
          </w:p>
          <w:p w14:paraId="08435CE9">
            <w:pPr>
              <w:snapToGrid w:val="0"/>
              <w:spacing w:line="400" w:lineRule="exact"/>
              <w:jc w:val="center"/>
              <w:rPr>
                <w:rFonts w:ascii="宋体" w:hAnsi="宋体"/>
                <w:kern w:val="0"/>
                <w:szCs w:val="21"/>
                <w:highlight w:val="none"/>
              </w:rPr>
            </w:pPr>
          </w:p>
          <w:p w14:paraId="0871A01D">
            <w:pPr>
              <w:snapToGrid w:val="0"/>
              <w:spacing w:line="400" w:lineRule="exact"/>
              <w:jc w:val="center"/>
              <w:rPr>
                <w:rFonts w:ascii="宋体" w:hAnsi="宋体"/>
                <w:kern w:val="0"/>
                <w:szCs w:val="21"/>
                <w:highlight w:val="none"/>
              </w:rPr>
            </w:pPr>
          </w:p>
          <w:p w14:paraId="562B5E0D">
            <w:pPr>
              <w:snapToGrid w:val="0"/>
              <w:spacing w:line="400" w:lineRule="exact"/>
              <w:jc w:val="center"/>
              <w:rPr>
                <w:rFonts w:ascii="宋体" w:hAnsi="宋体"/>
                <w:kern w:val="0"/>
                <w:szCs w:val="21"/>
                <w:highlight w:val="none"/>
              </w:rPr>
            </w:pPr>
          </w:p>
          <w:p w14:paraId="0BA537EB">
            <w:pPr>
              <w:snapToGrid w:val="0"/>
              <w:spacing w:line="400" w:lineRule="exact"/>
              <w:jc w:val="center"/>
              <w:rPr>
                <w:rFonts w:ascii="宋体" w:hAnsi="宋体"/>
                <w:kern w:val="0"/>
                <w:szCs w:val="21"/>
                <w:highlight w:val="none"/>
              </w:rPr>
            </w:pPr>
          </w:p>
          <w:p w14:paraId="69F857DD">
            <w:pPr>
              <w:snapToGrid w:val="0"/>
              <w:spacing w:line="400" w:lineRule="exact"/>
              <w:jc w:val="center"/>
              <w:rPr>
                <w:rFonts w:ascii="宋体" w:hAnsi="宋体"/>
                <w:kern w:val="0"/>
                <w:szCs w:val="21"/>
                <w:highlight w:val="none"/>
              </w:rPr>
            </w:pPr>
          </w:p>
          <w:p w14:paraId="4839DB6A">
            <w:pPr>
              <w:snapToGrid w:val="0"/>
              <w:spacing w:line="400" w:lineRule="exact"/>
              <w:jc w:val="center"/>
              <w:rPr>
                <w:rFonts w:ascii="宋体" w:hAnsi="宋体"/>
                <w:kern w:val="0"/>
                <w:szCs w:val="21"/>
                <w:highlight w:val="none"/>
              </w:rPr>
            </w:pPr>
          </w:p>
          <w:p w14:paraId="4AE8A632">
            <w:pPr>
              <w:snapToGrid w:val="0"/>
              <w:spacing w:line="400" w:lineRule="exact"/>
              <w:jc w:val="center"/>
              <w:rPr>
                <w:rFonts w:ascii="宋体" w:hAnsi="宋体"/>
                <w:kern w:val="0"/>
                <w:szCs w:val="21"/>
                <w:highlight w:val="none"/>
              </w:rPr>
            </w:pPr>
          </w:p>
          <w:p w14:paraId="1DAF0F68">
            <w:pPr>
              <w:snapToGrid w:val="0"/>
              <w:spacing w:line="400" w:lineRule="exact"/>
              <w:jc w:val="center"/>
              <w:rPr>
                <w:rFonts w:ascii="宋体" w:hAnsi="宋体"/>
                <w:kern w:val="0"/>
                <w:szCs w:val="21"/>
                <w:highlight w:val="none"/>
              </w:rPr>
            </w:pPr>
          </w:p>
          <w:p w14:paraId="5505FA00">
            <w:pPr>
              <w:snapToGrid w:val="0"/>
              <w:spacing w:line="400" w:lineRule="exact"/>
              <w:jc w:val="center"/>
              <w:rPr>
                <w:rFonts w:ascii="宋体" w:hAnsi="宋体"/>
                <w:kern w:val="0"/>
                <w:szCs w:val="21"/>
                <w:highlight w:val="none"/>
              </w:rPr>
            </w:pPr>
          </w:p>
          <w:p w14:paraId="0D5BB07B">
            <w:pPr>
              <w:snapToGrid w:val="0"/>
              <w:spacing w:line="400" w:lineRule="exact"/>
              <w:jc w:val="center"/>
              <w:rPr>
                <w:rFonts w:ascii="宋体" w:hAnsi="宋体"/>
                <w:kern w:val="0"/>
                <w:szCs w:val="21"/>
                <w:highlight w:val="none"/>
              </w:rPr>
            </w:pPr>
          </w:p>
          <w:p w14:paraId="18951A5D">
            <w:pPr>
              <w:snapToGrid w:val="0"/>
              <w:spacing w:line="400" w:lineRule="exact"/>
              <w:jc w:val="center"/>
              <w:rPr>
                <w:rFonts w:ascii="宋体" w:hAnsi="宋体"/>
                <w:kern w:val="0"/>
                <w:szCs w:val="21"/>
                <w:highlight w:val="none"/>
              </w:rPr>
            </w:pPr>
          </w:p>
          <w:p w14:paraId="396FB352">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16F8E196">
            <w:pPr>
              <w:snapToGrid w:val="0"/>
              <w:spacing w:line="400" w:lineRule="exact"/>
              <w:jc w:val="center"/>
              <w:rPr>
                <w:rFonts w:ascii="宋体" w:hAnsi="宋体"/>
                <w:kern w:val="0"/>
                <w:szCs w:val="21"/>
                <w:highlight w:val="none"/>
              </w:rPr>
            </w:pPr>
          </w:p>
          <w:p w14:paraId="725A23FB">
            <w:pPr>
              <w:snapToGrid w:val="0"/>
              <w:spacing w:line="400" w:lineRule="exact"/>
              <w:jc w:val="center"/>
              <w:rPr>
                <w:rFonts w:ascii="宋体" w:hAnsi="宋体"/>
                <w:kern w:val="0"/>
                <w:szCs w:val="21"/>
                <w:highlight w:val="none"/>
              </w:rPr>
            </w:pPr>
          </w:p>
          <w:p w14:paraId="6505DCC6">
            <w:pPr>
              <w:snapToGrid w:val="0"/>
              <w:spacing w:line="400" w:lineRule="exact"/>
              <w:jc w:val="center"/>
              <w:rPr>
                <w:rFonts w:ascii="宋体" w:hAnsi="宋体"/>
                <w:kern w:val="0"/>
                <w:szCs w:val="21"/>
                <w:highlight w:val="none"/>
              </w:rPr>
            </w:pPr>
          </w:p>
          <w:p w14:paraId="5A037BE8">
            <w:pPr>
              <w:snapToGrid w:val="0"/>
              <w:spacing w:line="400" w:lineRule="exact"/>
              <w:jc w:val="center"/>
              <w:rPr>
                <w:rFonts w:ascii="宋体" w:hAnsi="宋体"/>
                <w:kern w:val="0"/>
                <w:szCs w:val="21"/>
                <w:highlight w:val="none"/>
              </w:rPr>
            </w:pPr>
          </w:p>
          <w:p w14:paraId="3FF94293">
            <w:pPr>
              <w:snapToGrid w:val="0"/>
              <w:spacing w:line="400" w:lineRule="exact"/>
              <w:jc w:val="center"/>
              <w:rPr>
                <w:rFonts w:ascii="宋体" w:hAnsi="宋体"/>
                <w:kern w:val="0"/>
                <w:szCs w:val="21"/>
                <w:highlight w:val="none"/>
              </w:rPr>
            </w:pPr>
          </w:p>
          <w:p w14:paraId="1E918AB9">
            <w:pPr>
              <w:snapToGrid w:val="0"/>
              <w:spacing w:line="400" w:lineRule="exact"/>
              <w:jc w:val="center"/>
              <w:rPr>
                <w:rFonts w:ascii="宋体" w:hAnsi="宋体"/>
                <w:kern w:val="0"/>
                <w:szCs w:val="21"/>
                <w:highlight w:val="none"/>
              </w:rPr>
            </w:pPr>
          </w:p>
          <w:p w14:paraId="05BB37F4">
            <w:pPr>
              <w:snapToGrid w:val="0"/>
              <w:spacing w:line="400" w:lineRule="exact"/>
              <w:jc w:val="center"/>
              <w:rPr>
                <w:rFonts w:ascii="宋体" w:hAnsi="宋体"/>
                <w:kern w:val="0"/>
                <w:szCs w:val="21"/>
                <w:highlight w:val="none"/>
              </w:rPr>
            </w:pPr>
          </w:p>
          <w:p w14:paraId="74BAB66D">
            <w:pPr>
              <w:snapToGrid w:val="0"/>
              <w:spacing w:line="400" w:lineRule="exact"/>
              <w:jc w:val="center"/>
              <w:rPr>
                <w:rFonts w:ascii="宋体" w:hAnsi="宋体"/>
                <w:kern w:val="0"/>
                <w:szCs w:val="21"/>
                <w:highlight w:val="none"/>
              </w:rPr>
            </w:pPr>
          </w:p>
          <w:p w14:paraId="31AFB4BF">
            <w:pPr>
              <w:snapToGrid w:val="0"/>
              <w:spacing w:line="400" w:lineRule="exact"/>
              <w:jc w:val="center"/>
              <w:rPr>
                <w:rFonts w:ascii="宋体" w:hAnsi="宋体"/>
                <w:kern w:val="0"/>
                <w:szCs w:val="21"/>
                <w:highlight w:val="none"/>
              </w:rPr>
            </w:pPr>
          </w:p>
          <w:p w14:paraId="658F5388">
            <w:pPr>
              <w:snapToGrid w:val="0"/>
              <w:spacing w:line="400" w:lineRule="exact"/>
              <w:jc w:val="center"/>
              <w:rPr>
                <w:rFonts w:ascii="宋体" w:hAnsi="宋体"/>
                <w:kern w:val="0"/>
                <w:szCs w:val="21"/>
                <w:highlight w:val="none"/>
              </w:rPr>
            </w:pPr>
          </w:p>
          <w:p w14:paraId="3BEFCE4F">
            <w:pPr>
              <w:snapToGrid w:val="0"/>
              <w:spacing w:line="400" w:lineRule="exact"/>
              <w:jc w:val="center"/>
              <w:rPr>
                <w:rFonts w:ascii="宋体" w:hAnsi="宋体"/>
                <w:kern w:val="0"/>
                <w:szCs w:val="21"/>
                <w:highlight w:val="none"/>
              </w:rPr>
            </w:pPr>
          </w:p>
          <w:p w14:paraId="32EEA315">
            <w:pPr>
              <w:snapToGrid w:val="0"/>
              <w:spacing w:line="400" w:lineRule="exact"/>
              <w:jc w:val="center"/>
              <w:rPr>
                <w:rFonts w:ascii="宋体" w:hAnsi="宋体"/>
                <w:kern w:val="0"/>
                <w:szCs w:val="21"/>
                <w:highlight w:val="none"/>
              </w:rPr>
            </w:pPr>
          </w:p>
          <w:p w14:paraId="22E4DEF4">
            <w:pPr>
              <w:snapToGrid w:val="0"/>
              <w:spacing w:line="400" w:lineRule="exact"/>
              <w:jc w:val="center"/>
              <w:rPr>
                <w:rFonts w:ascii="宋体" w:hAnsi="宋体"/>
                <w:kern w:val="0"/>
                <w:szCs w:val="21"/>
                <w:highlight w:val="none"/>
              </w:rPr>
            </w:pPr>
          </w:p>
          <w:p w14:paraId="00F76338">
            <w:pPr>
              <w:snapToGrid w:val="0"/>
              <w:spacing w:line="400" w:lineRule="exact"/>
              <w:jc w:val="center"/>
              <w:rPr>
                <w:rFonts w:ascii="宋体" w:hAnsi="宋体"/>
                <w:kern w:val="0"/>
                <w:szCs w:val="21"/>
                <w:highlight w:val="none"/>
              </w:rPr>
            </w:pPr>
          </w:p>
          <w:p w14:paraId="64EC6BAE">
            <w:pPr>
              <w:snapToGrid w:val="0"/>
              <w:spacing w:line="400" w:lineRule="exact"/>
              <w:jc w:val="center"/>
              <w:rPr>
                <w:rFonts w:ascii="宋体" w:hAnsi="宋体"/>
                <w:kern w:val="0"/>
                <w:szCs w:val="21"/>
                <w:highlight w:val="none"/>
              </w:rPr>
            </w:pPr>
          </w:p>
          <w:p w14:paraId="6C34CF0E">
            <w:pPr>
              <w:snapToGrid w:val="0"/>
              <w:spacing w:line="400" w:lineRule="exact"/>
              <w:jc w:val="center"/>
              <w:rPr>
                <w:rFonts w:ascii="宋体" w:hAnsi="宋体"/>
                <w:kern w:val="0"/>
                <w:szCs w:val="21"/>
                <w:highlight w:val="none"/>
              </w:rPr>
            </w:pPr>
          </w:p>
          <w:p w14:paraId="02EAC128">
            <w:pPr>
              <w:snapToGrid w:val="0"/>
              <w:spacing w:line="400" w:lineRule="exact"/>
              <w:jc w:val="center"/>
              <w:rPr>
                <w:rFonts w:ascii="宋体" w:hAnsi="宋体"/>
                <w:kern w:val="0"/>
                <w:szCs w:val="21"/>
                <w:highlight w:val="none"/>
              </w:rPr>
            </w:pPr>
          </w:p>
          <w:p w14:paraId="745D374D">
            <w:pPr>
              <w:snapToGrid w:val="0"/>
              <w:spacing w:line="400" w:lineRule="exact"/>
              <w:jc w:val="center"/>
              <w:rPr>
                <w:rFonts w:ascii="宋体" w:hAnsi="宋体"/>
                <w:kern w:val="0"/>
                <w:szCs w:val="21"/>
                <w:highlight w:val="none"/>
              </w:rPr>
            </w:pPr>
          </w:p>
          <w:p w14:paraId="73D13806">
            <w:pPr>
              <w:snapToGrid w:val="0"/>
              <w:spacing w:line="400" w:lineRule="exact"/>
              <w:jc w:val="center"/>
              <w:rPr>
                <w:rFonts w:ascii="宋体" w:hAnsi="宋体"/>
                <w:kern w:val="0"/>
                <w:szCs w:val="21"/>
                <w:highlight w:val="none"/>
              </w:rPr>
            </w:pPr>
          </w:p>
          <w:p w14:paraId="2BDBB99F">
            <w:pPr>
              <w:snapToGrid w:val="0"/>
              <w:spacing w:line="400" w:lineRule="exact"/>
              <w:jc w:val="center"/>
              <w:rPr>
                <w:rFonts w:ascii="宋体" w:hAnsi="宋体"/>
                <w:kern w:val="0"/>
                <w:szCs w:val="21"/>
                <w:highlight w:val="none"/>
              </w:rPr>
            </w:pPr>
          </w:p>
          <w:p w14:paraId="5B8C52D8">
            <w:pPr>
              <w:snapToGrid w:val="0"/>
              <w:spacing w:line="400" w:lineRule="exact"/>
              <w:jc w:val="center"/>
              <w:rPr>
                <w:rFonts w:ascii="宋体" w:hAnsi="宋体"/>
                <w:kern w:val="0"/>
                <w:szCs w:val="21"/>
                <w:highlight w:val="none"/>
              </w:rPr>
            </w:pPr>
          </w:p>
          <w:p w14:paraId="494C32BA">
            <w:pPr>
              <w:snapToGrid w:val="0"/>
              <w:spacing w:line="400" w:lineRule="exact"/>
              <w:jc w:val="center"/>
              <w:rPr>
                <w:rFonts w:ascii="宋体" w:hAnsi="宋体"/>
                <w:kern w:val="0"/>
                <w:szCs w:val="21"/>
                <w:highlight w:val="none"/>
              </w:rPr>
            </w:pPr>
          </w:p>
          <w:p w14:paraId="62BAE81A">
            <w:pPr>
              <w:snapToGrid w:val="0"/>
              <w:spacing w:line="400" w:lineRule="exact"/>
              <w:jc w:val="center"/>
              <w:rPr>
                <w:rFonts w:ascii="宋体" w:hAnsi="宋体"/>
                <w:kern w:val="0"/>
                <w:szCs w:val="21"/>
                <w:highlight w:val="none"/>
              </w:rPr>
            </w:pPr>
          </w:p>
          <w:p w14:paraId="7BEDC87B">
            <w:pPr>
              <w:snapToGrid w:val="0"/>
              <w:spacing w:line="400" w:lineRule="exact"/>
              <w:jc w:val="center"/>
              <w:rPr>
                <w:rFonts w:ascii="宋体" w:hAnsi="宋体"/>
                <w:kern w:val="0"/>
                <w:szCs w:val="21"/>
                <w:highlight w:val="none"/>
              </w:rPr>
            </w:pPr>
          </w:p>
          <w:p w14:paraId="4ADA9098">
            <w:pPr>
              <w:snapToGrid w:val="0"/>
              <w:spacing w:line="400" w:lineRule="exact"/>
              <w:jc w:val="center"/>
              <w:rPr>
                <w:rFonts w:ascii="宋体" w:hAnsi="宋体"/>
                <w:kern w:val="0"/>
                <w:szCs w:val="21"/>
                <w:highlight w:val="none"/>
              </w:rPr>
            </w:pPr>
          </w:p>
          <w:p w14:paraId="7CBB26AE">
            <w:pPr>
              <w:snapToGrid w:val="0"/>
              <w:spacing w:line="400" w:lineRule="exact"/>
              <w:jc w:val="center"/>
              <w:rPr>
                <w:rFonts w:ascii="宋体" w:hAnsi="宋体"/>
                <w:kern w:val="0"/>
                <w:szCs w:val="21"/>
                <w:highlight w:val="none"/>
              </w:rPr>
            </w:pPr>
          </w:p>
          <w:p w14:paraId="484358E5">
            <w:pPr>
              <w:snapToGrid w:val="0"/>
              <w:spacing w:line="400" w:lineRule="exact"/>
              <w:jc w:val="center"/>
              <w:rPr>
                <w:rFonts w:ascii="宋体" w:hAnsi="宋体"/>
                <w:kern w:val="0"/>
                <w:szCs w:val="21"/>
                <w:highlight w:val="none"/>
              </w:rPr>
            </w:pPr>
          </w:p>
          <w:p w14:paraId="03E09C99">
            <w:pPr>
              <w:snapToGrid w:val="0"/>
              <w:spacing w:line="400" w:lineRule="exact"/>
              <w:jc w:val="center"/>
              <w:rPr>
                <w:rFonts w:ascii="宋体" w:hAnsi="宋体"/>
                <w:kern w:val="0"/>
                <w:szCs w:val="21"/>
                <w:highlight w:val="none"/>
              </w:rPr>
            </w:pPr>
          </w:p>
          <w:p w14:paraId="4CA84A95">
            <w:pPr>
              <w:snapToGrid w:val="0"/>
              <w:spacing w:line="400" w:lineRule="exact"/>
              <w:jc w:val="center"/>
              <w:rPr>
                <w:rFonts w:ascii="宋体" w:hAnsi="宋体"/>
                <w:kern w:val="0"/>
                <w:szCs w:val="21"/>
                <w:highlight w:val="none"/>
              </w:rPr>
            </w:pPr>
          </w:p>
          <w:p w14:paraId="25AEA450">
            <w:pPr>
              <w:snapToGrid w:val="0"/>
              <w:spacing w:line="400" w:lineRule="exact"/>
              <w:jc w:val="center"/>
              <w:rPr>
                <w:rFonts w:ascii="宋体" w:hAnsi="宋体"/>
                <w:kern w:val="0"/>
                <w:szCs w:val="21"/>
                <w:highlight w:val="none"/>
              </w:rPr>
            </w:pPr>
          </w:p>
          <w:p w14:paraId="3D10E98C">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68031848">
            <w:pPr>
              <w:snapToGrid w:val="0"/>
              <w:spacing w:line="400" w:lineRule="exact"/>
              <w:jc w:val="center"/>
              <w:rPr>
                <w:rFonts w:ascii="宋体" w:hAnsi="宋体"/>
                <w:kern w:val="0"/>
                <w:szCs w:val="21"/>
                <w:highlight w:val="none"/>
              </w:rPr>
            </w:pPr>
          </w:p>
          <w:p w14:paraId="65AC7F87">
            <w:pPr>
              <w:snapToGrid w:val="0"/>
              <w:spacing w:line="400" w:lineRule="exact"/>
              <w:jc w:val="center"/>
              <w:rPr>
                <w:rFonts w:ascii="宋体" w:hAnsi="宋体"/>
                <w:kern w:val="0"/>
                <w:szCs w:val="21"/>
                <w:highlight w:val="none"/>
              </w:rPr>
            </w:pPr>
          </w:p>
          <w:p w14:paraId="77EACF1E">
            <w:pPr>
              <w:snapToGrid w:val="0"/>
              <w:spacing w:line="400" w:lineRule="exact"/>
              <w:jc w:val="center"/>
              <w:rPr>
                <w:rFonts w:ascii="宋体" w:hAnsi="宋体"/>
                <w:kern w:val="0"/>
                <w:szCs w:val="21"/>
                <w:highlight w:val="none"/>
              </w:rPr>
            </w:pPr>
          </w:p>
          <w:p w14:paraId="46C22C2B">
            <w:pPr>
              <w:snapToGrid w:val="0"/>
              <w:spacing w:line="400" w:lineRule="exact"/>
              <w:jc w:val="center"/>
              <w:rPr>
                <w:rFonts w:ascii="宋体" w:hAnsi="宋体"/>
                <w:kern w:val="0"/>
                <w:szCs w:val="21"/>
                <w:highlight w:val="none"/>
              </w:rPr>
            </w:pPr>
          </w:p>
          <w:p w14:paraId="2D235A22">
            <w:pPr>
              <w:snapToGrid w:val="0"/>
              <w:spacing w:line="400" w:lineRule="exact"/>
              <w:jc w:val="center"/>
              <w:rPr>
                <w:rFonts w:ascii="宋体" w:hAnsi="宋体"/>
                <w:kern w:val="0"/>
                <w:szCs w:val="21"/>
                <w:highlight w:val="none"/>
              </w:rPr>
            </w:pPr>
          </w:p>
          <w:p w14:paraId="586210EC">
            <w:pPr>
              <w:snapToGrid w:val="0"/>
              <w:spacing w:line="400" w:lineRule="exact"/>
              <w:jc w:val="center"/>
              <w:rPr>
                <w:rFonts w:ascii="宋体" w:hAnsi="宋体"/>
                <w:kern w:val="0"/>
                <w:szCs w:val="21"/>
                <w:highlight w:val="none"/>
              </w:rPr>
            </w:pPr>
          </w:p>
          <w:p w14:paraId="25AE9BB7">
            <w:pPr>
              <w:snapToGrid w:val="0"/>
              <w:spacing w:line="400" w:lineRule="exact"/>
              <w:jc w:val="center"/>
              <w:rPr>
                <w:rFonts w:ascii="宋体" w:hAnsi="宋体"/>
                <w:kern w:val="0"/>
                <w:szCs w:val="21"/>
                <w:highlight w:val="none"/>
              </w:rPr>
            </w:pPr>
          </w:p>
          <w:p w14:paraId="29100008">
            <w:pPr>
              <w:snapToGrid w:val="0"/>
              <w:spacing w:line="400" w:lineRule="exact"/>
              <w:jc w:val="center"/>
              <w:rPr>
                <w:rFonts w:ascii="宋体" w:hAnsi="宋体"/>
                <w:kern w:val="0"/>
                <w:szCs w:val="21"/>
                <w:highlight w:val="none"/>
              </w:rPr>
            </w:pPr>
          </w:p>
          <w:p w14:paraId="2EFEEE0C">
            <w:pPr>
              <w:snapToGrid w:val="0"/>
              <w:spacing w:line="400" w:lineRule="exact"/>
              <w:jc w:val="center"/>
              <w:rPr>
                <w:rFonts w:ascii="宋体" w:hAnsi="宋体"/>
                <w:kern w:val="0"/>
                <w:szCs w:val="21"/>
                <w:highlight w:val="none"/>
              </w:rPr>
            </w:pPr>
          </w:p>
          <w:p w14:paraId="64D5507F">
            <w:pPr>
              <w:snapToGrid w:val="0"/>
              <w:spacing w:line="400" w:lineRule="exact"/>
              <w:jc w:val="center"/>
              <w:rPr>
                <w:rFonts w:ascii="宋体" w:hAnsi="宋体"/>
                <w:kern w:val="0"/>
                <w:szCs w:val="21"/>
                <w:highlight w:val="none"/>
              </w:rPr>
            </w:pPr>
          </w:p>
          <w:p w14:paraId="1D0F655C">
            <w:pPr>
              <w:snapToGrid w:val="0"/>
              <w:spacing w:line="400" w:lineRule="exact"/>
              <w:jc w:val="center"/>
              <w:rPr>
                <w:rFonts w:ascii="宋体" w:hAnsi="宋体"/>
                <w:kern w:val="0"/>
                <w:szCs w:val="21"/>
                <w:highlight w:val="none"/>
              </w:rPr>
            </w:pPr>
          </w:p>
          <w:p w14:paraId="123A8942">
            <w:pPr>
              <w:snapToGrid w:val="0"/>
              <w:spacing w:line="400" w:lineRule="exact"/>
              <w:jc w:val="center"/>
              <w:rPr>
                <w:rFonts w:ascii="宋体" w:hAnsi="宋体"/>
                <w:kern w:val="0"/>
                <w:szCs w:val="21"/>
                <w:highlight w:val="none"/>
              </w:rPr>
            </w:pPr>
          </w:p>
          <w:p w14:paraId="4883A3B6">
            <w:pPr>
              <w:snapToGrid w:val="0"/>
              <w:spacing w:line="400" w:lineRule="exact"/>
              <w:jc w:val="center"/>
              <w:rPr>
                <w:rFonts w:ascii="宋体" w:hAnsi="宋体"/>
                <w:kern w:val="0"/>
                <w:szCs w:val="21"/>
                <w:highlight w:val="none"/>
              </w:rPr>
            </w:pPr>
          </w:p>
          <w:p w14:paraId="4AE44E71">
            <w:pPr>
              <w:snapToGrid w:val="0"/>
              <w:spacing w:line="400" w:lineRule="exact"/>
              <w:jc w:val="center"/>
              <w:rPr>
                <w:rFonts w:ascii="宋体" w:hAnsi="宋体"/>
                <w:kern w:val="0"/>
                <w:szCs w:val="21"/>
                <w:highlight w:val="none"/>
              </w:rPr>
            </w:pPr>
          </w:p>
          <w:p w14:paraId="027A4F6E">
            <w:pPr>
              <w:snapToGrid w:val="0"/>
              <w:spacing w:line="400" w:lineRule="exact"/>
              <w:jc w:val="center"/>
              <w:rPr>
                <w:rFonts w:ascii="宋体" w:hAnsi="宋体"/>
                <w:kern w:val="0"/>
                <w:szCs w:val="21"/>
                <w:highlight w:val="none"/>
              </w:rPr>
            </w:pPr>
          </w:p>
          <w:p w14:paraId="7FFD5994">
            <w:pPr>
              <w:snapToGrid w:val="0"/>
              <w:spacing w:line="400" w:lineRule="exact"/>
              <w:jc w:val="center"/>
              <w:rPr>
                <w:rFonts w:ascii="宋体" w:hAnsi="宋体"/>
                <w:kern w:val="0"/>
                <w:szCs w:val="21"/>
                <w:highlight w:val="none"/>
              </w:rPr>
            </w:pPr>
          </w:p>
          <w:p w14:paraId="54115FEB">
            <w:pPr>
              <w:snapToGrid w:val="0"/>
              <w:spacing w:line="400" w:lineRule="exact"/>
              <w:jc w:val="center"/>
              <w:rPr>
                <w:rFonts w:ascii="宋体" w:hAnsi="宋体"/>
                <w:kern w:val="0"/>
                <w:szCs w:val="21"/>
                <w:highlight w:val="none"/>
              </w:rPr>
            </w:pPr>
          </w:p>
          <w:p w14:paraId="678F2CCF">
            <w:pPr>
              <w:snapToGrid w:val="0"/>
              <w:spacing w:line="400" w:lineRule="exact"/>
              <w:jc w:val="center"/>
              <w:rPr>
                <w:rFonts w:ascii="宋体" w:hAnsi="宋体"/>
                <w:kern w:val="0"/>
                <w:szCs w:val="21"/>
                <w:highlight w:val="none"/>
              </w:rPr>
            </w:pPr>
          </w:p>
          <w:p w14:paraId="65C16613">
            <w:pPr>
              <w:snapToGrid w:val="0"/>
              <w:spacing w:line="400" w:lineRule="exact"/>
              <w:jc w:val="center"/>
              <w:rPr>
                <w:rFonts w:ascii="宋体" w:hAnsi="宋体"/>
                <w:kern w:val="0"/>
                <w:szCs w:val="21"/>
                <w:highlight w:val="none"/>
              </w:rPr>
            </w:pPr>
          </w:p>
          <w:p w14:paraId="526A2780">
            <w:pPr>
              <w:snapToGrid w:val="0"/>
              <w:spacing w:line="400" w:lineRule="exact"/>
              <w:jc w:val="center"/>
              <w:rPr>
                <w:rFonts w:ascii="宋体" w:hAnsi="宋体"/>
                <w:kern w:val="0"/>
                <w:szCs w:val="21"/>
                <w:highlight w:val="none"/>
              </w:rPr>
            </w:pPr>
          </w:p>
          <w:p w14:paraId="629FA973">
            <w:pPr>
              <w:snapToGrid w:val="0"/>
              <w:spacing w:line="400" w:lineRule="exact"/>
              <w:jc w:val="center"/>
              <w:rPr>
                <w:rFonts w:ascii="宋体" w:hAnsi="宋体"/>
                <w:kern w:val="0"/>
                <w:szCs w:val="21"/>
                <w:highlight w:val="none"/>
              </w:rPr>
            </w:pPr>
          </w:p>
          <w:p w14:paraId="066DEC43">
            <w:pPr>
              <w:snapToGrid w:val="0"/>
              <w:spacing w:line="400" w:lineRule="exact"/>
              <w:jc w:val="center"/>
              <w:rPr>
                <w:rFonts w:ascii="宋体" w:hAnsi="宋体"/>
                <w:kern w:val="0"/>
                <w:szCs w:val="21"/>
                <w:highlight w:val="none"/>
              </w:rPr>
            </w:pPr>
          </w:p>
          <w:p w14:paraId="1A661A46">
            <w:pPr>
              <w:snapToGrid w:val="0"/>
              <w:spacing w:line="400" w:lineRule="exact"/>
              <w:jc w:val="center"/>
              <w:rPr>
                <w:rFonts w:ascii="宋体" w:hAnsi="宋体"/>
                <w:kern w:val="0"/>
                <w:szCs w:val="21"/>
                <w:highlight w:val="none"/>
              </w:rPr>
            </w:pPr>
          </w:p>
          <w:p w14:paraId="5F0EB441">
            <w:pPr>
              <w:snapToGrid w:val="0"/>
              <w:spacing w:line="400" w:lineRule="exact"/>
              <w:jc w:val="center"/>
              <w:rPr>
                <w:rFonts w:ascii="宋体" w:hAnsi="宋体"/>
                <w:kern w:val="0"/>
                <w:szCs w:val="21"/>
                <w:highlight w:val="none"/>
              </w:rPr>
            </w:pPr>
          </w:p>
          <w:p w14:paraId="04A70D03">
            <w:pPr>
              <w:snapToGrid w:val="0"/>
              <w:spacing w:line="400" w:lineRule="exact"/>
              <w:jc w:val="center"/>
              <w:rPr>
                <w:rFonts w:ascii="宋体" w:hAnsi="宋体"/>
                <w:kern w:val="0"/>
                <w:szCs w:val="21"/>
                <w:highlight w:val="none"/>
              </w:rPr>
            </w:pPr>
          </w:p>
          <w:p w14:paraId="51F36264">
            <w:pPr>
              <w:snapToGrid w:val="0"/>
              <w:spacing w:line="400" w:lineRule="exact"/>
              <w:jc w:val="center"/>
              <w:rPr>
                <w:rFonts w:ascii="宋体" w:hAnsi="宋体"/>
                <w:kern w:val="0"/>
                <w:szCs w:val="21"/>
                <w:highlight w:val="none"/>
              </w:rPr>
            </w:pPr>
          </w:p>
          <w:p w14:paraId="5E3A925A">
            <w:pPr>
              <w:snapToGrid w:val="0"/>
              <w:spacing w:line="400" w:lineRule="exact"/>
              <w:jc w:val="center"/>
              <w:rPr>
                <w:rFonts w:ascii="宋体" w:hAnsi="宋体"/>
                <w:kern w:val="0"/>
                <w:szCs w:val="21"/>
                <w:highlight w:val="none"/>
              </w:rPr>
            </w:pPr>
          </w:p>
          <w:p w14:paraId="2B02626F">
            <w:pPr>
              <w:snapToGrid w:val="0"/>
              <w:spacing w:line="400" w:lineRule="exact"/>
              <w:jc w:val="center"/>
              <w:rPr>
                <w:rFonts w:ascii="宋体" w:hAnsi="宋体"/>
                <w:kern w:val="0"/>
                <w:szCs w:val="21"/>
                <w:highlight w:val="none"/>
              </w:rPr>
            </w:pPr>
          </w:p>
          <w:p w14:paraId="0F5DECF5">
            <w:pPr>
              <w:snapToGrid w:val="0"/>
              <w:spacing w:line="400" w:lineRule="exact"/>
              <w:jc w:val="center"/>
              <w:rPr>
                <w:rFonts w:ascii="宋体" w:hAnsi="宋体"/>
                <w:kern w:val="0"/>
                <w:szCs w:val="21"/>
                <w:highlight w:val="none"/>
              </w:rPr>
            </w:pPr>
          </w:p>
          <w:p w14:paraId="5331C777">
            <w:pPr>
              <w:snapToGrid w:val="0"/>
              <w:spacing w:line="400" w:lineRule="exact"/>
              <w:jc w:val="center"/>
              <w:rPr>
                <w:rFonts w:ascii="宋体" w:hAnsi="宋体"/>
                <w:kern w:val="0"/>
                <w:szCs w:val="21"/>
                <w:highlight w:val="none"/>
              </w:rPr>
            </w:pPr>
          </w:p>
          <w:p w14:paraId="24D4143F">
            <w:pPr>
              <w:snapToGrid w:val="0"/>
              <w:spacing w:line="400" w:lineRule="exact"/>
              <w:jc w:val="center"/>
              <w:rPr>
                <w:rFonts w:ascii="宋体" w:hAnsi="宋体"/>
                <w:kern w:val="0"/>
                <w:szCs w:val="21"/>
                <w:highlight w:val="none"/>
              </w:rPr>
            </w:pPr>
          </w:p>
          <w:p w14:paraId="3DADD429">
            <w:pPr>
              <w:snapToGrid w:val="0"/>
              <w:spacing w:line="400" w:lineRule="exact"/>
              <w:jc w:val="center"/>
              <w:rPr>
                <w:rFonts w:ascii="宋体" w:hAnsi="宋体"/>
                <w:kern w:val="0"/>
                <w:szCs w:val="21"/>
                <w:highlight w:val="none"/>
              </w:rPr>
            </w:pPr>
          </w:p>
          <w:p w14:paraId="1E8154BC">
            <w:pPr>
              <w:snapToGrid w:val="0"/>
              <w:spacing w:line="400" w:lineRule="exact"/>
              <w:jc w:val="center"/>
              <w:rPr>
                <w:rFonts w:ascii="宋体" w:hAnsi="宋体"/>
                <w:kern w:val="0"/>
                <w:szCs w:val="21"/>
                <w:highlight w:val="none"/>
              </w:rPr>
            </w:pPr>
          </w:p>
          <w:p w14:paraId="7F89FB1F">
            <w:pPr>
              <w:snapToGrid w:val="0"/>
              <w:spacing w:line="400" w:lineRule="exact"/>
              <w:jc w:val="center"/>
              <w:rPr>
                <w:rFonts w:ascii="宋体" w:hAnsi="宋体"/>
                <w:kern w:val="0"/>
                <w:szCs w:val="21"/>
                <w:highlight w:val="none"/>
              </w:rPr>
            </w:pPr>
          </w:p>
          <w:p w14:paraId="35D5E515">
            <w:pPr>
              <w:snapToGrid w:val="0"/>
              <w:spacing w:line="400" w:lineRule="exact"/>
              <w:jc w:val="center"/>
              <w:rPr>
                <w:rFonts w:ascii="宋体" w:hAnsi="宋体"/>
                <w:kern w:val="0"/>
                <w:szCs w:val="21"/>
                <w:highlight w:val="none"/>
              </w:rPr>
            </w:pPr>
          </w:p>
          <w:p w14:paraId="316C468A">
            <w:pPr>
              <w:snapToGrid w:val="0"/>
              <w:spacing w:line="400" w:lineRule="exact"/>
              <w:jc w:val="center"/>
              <w:rPr>
                <w:rFonts w:ascii="宋体" w:hAnsi="宋体"/>
                <w:kern w:val="0"/>
                <w:szCs w:val="21"/>
                <w:highlight w:val="none"/>
              </w:rPr>
            </w:pPr>
          </w:p>
          <w:p w14:paraId="46A6F697">
            <w:pPr>
              <w:snapToGrid w:val="0"/>
              <w:spacing w:line="400" w:lineRule="exact"/>
              <w:jc w:val="center"/>
              <w:rPr>
                <w:rFonts w:ascii="宋体" w:hAnsi="宋体"/>
                <w:kern w:val="0"/>
                <w:szCs w:val="21"/>
                <w:highlight w:val="none"/>
              </w:rPr>
            </w:pPr>
          </w:p>
          <w:p w14:paraId="3D97D565">
            <w:pPr>
              <w:snapToGrid w:val="0"/>
              <w:spacing w:line="400" w:lineRule="exact"/>
              <w:jc w:val="center"/>
              <w:rPr>
                <w:rFonts w:ascii="宋体" w:hAnsi="宋体"/>
                <w:kern w:val="0"/>
                <w:szCs w:val="21"/>
                <w:highlight w:val="none"/>
              </w:rPr>
            </w:pPr>
            <w:r>
              <w:rPr>
                <w:rFonts w:ascii="宋体" w:hAnsi="宋体"/>
                <w:kern w:val="0"/>
                <w:szCs w:val="21"/>
                <w:highlight w:val="none"/>
              </w:rPr>
              <w:t>投标人资质条件、能力和信誉</w:t>
            </w:r>
          </w:p>
          <w:p w14:paraId="4E45D93E">
            <w:pPr>
              <w:snapToGrid w:val="0"/>
              <w:spacing w:line="400" w:lineRule="exact"/>
              <w:jc w:val="center"/>
              <w:rPr>
                <w:rFonts w:ascii="宋体" w:hAnsi="宋体"/>
                <w:kern w:val="0"/>
                <w:szCs w:val="21"/>
                <w:highlight w:val="none"/>
              </w:rPr>
            </w:pPr>
          </w:p>
          <w:p w14:paraId="38493E00">
            <w:pPr>
              <w:snapToGrid w:val="0"/>
              <w:spacing w:line="400" w:lineRule="exact"/>
              <w:jc w:val="center"/>
              <w:rPr>
                <w:rFonts w:ascii="宋体" w:hAnsi="宋体"/>
                <w:kern w:val="0"/>
                <w:szCs w:val="21"/>
                <w:highlight w:val="none"/>
              </w:rPr>
            </w:pPr>
          </w:p>
          <w:p w14:paraId="1D7EE015">
            <w:pPr>
              <w:snapToGrid w:val="0"/>
              <w:spacing w:line="400" w:lineRule="exact"/>
              <w:jc w:val="center"/>
              <w:rPr>
                <w:rFonts w:ascii="宋体" w:hAnsi="宋体"/>
                <w:kern w:val="0"/>
                <w:szCs w:val="21"/>
                <w:highlight w:val="none"/>
              </w:rPr>
            </w:pPr>
          </w:p>
          <w:p w14:paraId="3B56AD51">
            <w:pPr>
              <w:snapToGrid w:val="0"/>
              <w:spacing w:line="400" w:lineRule="exact"/>
              <w:jc w:val="center"/>
              <w:rPr>
                <w:rFonts w:ascii="宋体" w:hAnsi="宋体"/>
                <w:kern w:val="0"/>
                <w:szCs w:val="21"/>
                <w:highlight w:val="none"/>
              </w:rPr>
            </w:pPr>
          </w:p>
          <w:p w14:paraId="5A07CB28">
            <w:pPr>
              <w:snapToGrid w:val="0"/>
              <w:spacing w:line="400" w:lineRule="exact"/>
              <w:jc w:val="center"/>
              <w:rPr>
                <w:rFonts w:ascii="宋体" w:hAnsi="宋体"/>
                <w:kern w:val="0"/>
                <w:szCs w:val="21"/>
                <w:highlight w:val="none"/>
              </w:rPr>
            </w:pPr>
          </w:p>
          <w:p w14:paraId="4C1F4EA5">
            <w:pPr>
              <w:snapToGrid w:val="0"/>
              <w:spacing w:line="400" w:lineRule="exact"/>
              <w:jc w:val="center"/>
              <w:rPr>
                <w:rFonts w:ascii="宋体" w:hAnsi="宋体"/>
                <w:kern w:val="0"/>
                <w:szCs w:val="21"/>
                <w:highlight w:val="none"/>
              </w:rPr>
            </w:pPr>
          </w:p>
          <w:p w14:paraId="65D33B72">
            <w:pPr>
              <w:snapToGrid w:val="0"/>
              <w:spacing w:line="400" w:lineRule="exact"/>
              <w:jc w:val="center"/>
              <w:rPr>
                <w:rFonts w:ascii="宋体" w:hAnsi="宋体"/>
                <w:kern w:val="0"/>
                <w:szCs w:val="21"/>
                <w:highlight w:val="none"/>
              </w:rPr>
            </w:pPr>
          </w:p>
          <w:p w14:paraId="4ACA8A28">
            <w:pPr>
              <w:snapToGrid w:val="0"/>
              <w:spacing w:line="400" w:lineRule="exact"/>
              <w:jc w:val="center"/>
              <w:rPr>
                <w:rFonts w:ascii="宋体" w:hAnsi="宋体"/>
                <w:kern w:val="0"/>
                <w:szCs w:val="21"/>
                <w:highlight w:val="none"/>
              </w:rPr>
            </w:pPr>
          </w:p>
          <w:p w14:paraId="45E30B7B">
            <w:pPr>
              <w:snapToGrid w:val="0"/>
              <w:spacing w:line="400" w:lineRule="exact"/>
              <w:jc w:val="center"/>
              <w:rPr>
                <w:rFonts w:ascii="宋体" w:hAnsi="宋体"/>
                <w:kern w:val="0"/>
                <w:szCs w:val="21"/>
                <w:highlight w:val="none"/>
              </w:rPr>
            </w:pPr>
          </w:p>
          <w:p w14:paraId="7DD51EC8">
            <w:pPr>
              <w:snapToGrid w:val="0"/>
              <w:spacing w:line="400" w:lineRule="exact"/>
              <w:jc w:val="center"/>
              <w:rPr>
                <w:rFonts w:ascii="宋体" w:hAnsi="宋体"/>
                <w:kern w:val="0"/>
                <w:szCs w:val="21"/>
                <w:highlight w:val="none"/>
              </w:rPr>
            </w:pPr>
          </w:p>
          <w:p w14:paraId="7FEEBBB8">
            <w:pPr>
              <w:snapToGrid w:val="0"/>
              <w:spacing w:line="400" w:lineRule="exact"/>
              <w:jc w:val="center"/>
              <w:rPr>
                <w:rFonts w:ascii="宋体" w:hAnsi="宋体"/>
                <w:kern w:val="0"/>
                <w:szCs w:val="21"/>
                <w:highlight w:val="none"/>
              </w:rPr>
            </w:pPr>
          </w:p>
          <w:p w14:paraId="716EC480">
            <w:pPr>
              <w:snapToGrid w:val="0"/>
              <w:spacing w:line="400" w:lineRule="exact"/>
              <w:jc w:val="center"/>
              <w:rPr>
                <w:rFonts w:ascii="宋体" w:hAnsi="宋体"/>
                <w:kern w:val="0"/>
                <w:szCs w:val="21"/>
                <w:highlight w:val="none"/>
              </w:rPr>
            </w:pPr>
          </w:p>
          <w:p w14:paraId="2A660B2F">
            <w:pPr>
              <w:snapToGrid w:val="0"/>
              <w:spacing w:line="400" w:lineRule="exact"/>
              <w:jc w:val="center"/>
              <w:rPr>
                <w:rFonts w:ascii="宋体" w:hAnsi="宋体"/>
                <w:kern w:val="0"/>
                <w:szCs w:val="21"/>
                <w:highlight w:val="none"/>
              </w:rPr>
            </w:pPr>
          </w:p>
          <w:p w14:paraId="48155213">
            <w:pPr>
              <w:snapToGrid w:val="0"/>
              <w:spacing w:line="400" w:lineRule="exact"/>
              <w:jc w:val="center"/>
              <w:rPr>
                <w:rFonts w:ascii="宋体" w:hAnsi="宋体"/>
                <w:kern w:val="0"/>
                <w:szCs w:val="21"/>
                <w:highlight w:val="none"/>
              </w:rPr>
            </w:pPr>
          </w:p>
          <w:p w14:paraId="26FDB21E">
            <w:pPr>
              <w:snapToGrid w:val="0"/>
              <w:spacing w:line="400" w:lineRule="exact"/>
              <w:jc w:val="center"/>
              <w:rPr>
                <w:rFonts w:ascii="宋体" w:hAnsi="宋体"/>
                <w:kern w:val="0"/>
                <w:szCs w:val="21"/>
                <w:highlight w:val="none"/>
              </w:rPr>
            </w:pPr>
          </w:p>
          <w:p w14:paraId="7D67A3EA">
            <w:pPr>
              <w:snapToGrid w:val="0"/>
              <w:spacing w:line="400" w:lineRule="exact"/>
              <w:rPr>
                <w:rFonts w:ascii="宋体" w:hAnsi="宋体"/>
                <w:kern w:val="0"/>
                <w:szCs w:val="21"/>
                <w:highlight w:val="none"/>
              </w:rPr>
            </w:pPr>
          </w:p>
        </w:tc>
        <w:tc>
          <w:tcPr>
            <w:tcW w:w="6683" w:type="dxa"/>
            <w:vAlign w:val="center"/>
          </w:tcPr>
          <w:p w14:paraId="365EB592">
            <w:pPr>
              <w:autoSpaceDE w:val="0"/>
              <w:autoSpaceDN w:val="0"/>
              <w:adjustRightInd w:val="0"/>
              <w:snapToGrid w:val="0"/>
              <w:spacing w:line="400" w:lineRule="exact"/>
              <w:rPr>
                <w:highlight w:val="none"/>
              </w:rPr>
            </w:pPr>
            <w:bookmarkStart w:id="79" w:name="一是"/>
            <w:bookmarkEnd w:id="79"/>
            <w:r>
              <w:rPr>
                <w:rFonts w:hint="eastAsia"/>
                <w:highlight w:val="none"/>
              </w:rPr>
              <w:t>1、资格条件</w:t>
            </w:r>
            <w:r>
              <w:rPr>
                <w:highlight w:val="none"/>
              </w:rPr>
              <w:t>、营业执照及安全生产条件</w:t>
            </w:r>
          </w:p>
          <w:p w14:paraId="793BC318">
            <w:pPr>
              <w:autoSpaceDE w:val="0"/>
              <w:autoSpaceDN w:val="0"/>
              <w:adjustRightInd w:val="0"/>
              <w:snapToGrid w:val="0"/>
              <w:spacing w:line="400" w:lineRule="exact"/>
              <w:ind w:firstLine="420" w:firstLineChars="200"/>
              <w:rPr>
                <w:highlight w:val="none"/>
              </w:rPr>
            </w:pPr>
            <w:r>
              <w:rPr>
                <w:highlight w:val="none"/>
              </w:rPr>
              <w:t>（1）具备建设行政主管部门颁发的有效的</w:t>
            </w:r>
            <w:r>
              <w:rPr>
                <w:rFonts w:hint="eastAsia"/>
                <w:highlight w:val="none"/>
              </w:rPr>
              <w:t>市政公用工程施工总承包三级</w:t>
            </w:r>
            <w:r>
              <w:rPr>
                <w:highlight w:val="none"/>
              </w:rPr>
              <w:t>及以上</w:t>
            </w:r>
            <w:r>
              <w:rPr>
                <w:rFonts w:hint="eastAsia"/>
                <w:highlight w:val="none"/>
              </w:rPr>
              <w:t>资质</w:t>
            </w:r>
            <w:r>
              <w:rPr>
                <w:highlight w:val="none"/>
              </w:rPr>
              <w:t>。</w:t>
            </w:r>
          </w:p>
          <w:p w14:paraId="5111783B">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有效的带二维码标识的资质证书</w:t>
            </w:r>
            <w:r>
              <w:rPr>
                <w:highlight w:val="none"/>
              </w:rPr>
              <w:t>。</w:t>
            </w:r>
          </w:p>
          <w:p w14:paraId="361A494F">
            <w:pPr>
              <w:autoSpaceDE w:val="0"/>
              <w:autoSpaceDN w:val="0"/>
              <w:adjustRightInd w:val="0"/>
              <w:snapToGrid w:val="0"/>
              <w:spacing w:line="400" w:lineRule="exact"/>
              <w:ind w:firstLine="420" w:firstLineChars="200"/>
              <w:rPr>
                <w:highlight w:val="none"/>
              </w:rPr>
            </w:pPr>
            <w:r>
              <w:rPr>
                <w:highlight w:val="none"/>
              </w:rPr>
              <w:t>（2）具备有效的营业执照。</w:t>
            </w:r>
          </w:p>
          <w:p w14:paraId="22BC6DB7">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提供有效的带二维码</w:t>
            </w:r>
            <w:r>
              <w:rPr>
                <w:rFonts w:hint="eastAsia"/>
                <w:highlight w:val="none"/>
              </w:rPr>
              <w:t>标识</w:t>
            </w:r>
            <w:r>
              <w:rPr>
                <w:highlight w:val="none"/>
              </w:rPr>
              <w:t>的营业执照。</w:t>
            </w:r>
            <w:r>
              <w:rPr>
                <w:rFonts w:hint="eastAsia"/>
                <w:highlight w:val="none"/>
              </w:rPr>
              <w:t>注：不得将投标人营业执照记载的经营范围作为评审因素。</w:t>
            </w:r>
          </w:p>
          <w:p w14:paraId="05417E21">
            <w:pPr>
              <w:autoSpaceDE w:val="0"/>
              <w:autoSpaceDN w:val="0"/>
              <w:adjustRightInd w:val="0"/>
              <w:snapToGrid w:val="0"/>
              <w:spacing w:line="400" w:lineRule="exact"/>
              <w:ind w:firstLine="420" w:firstLineChars="200"/>
              <w:rPr>
                <w:highlight w:val="none"/>
              </w:rPr>
            </w:pPr>
            <w:r>
              <w:rPr>
                <w:highlight w:val="none"/>
              </w:rPr>
              <w:t>（3）具备建设行政主管部门颁发的有效的安全生产许可证，企业</w:t>
            </w:r>
            <w:r>
              <w:rPr>
                <w:rFonts w:hint="eastAsia"/>
                <w:highlight w:val="none"/>
              </w:rPr>
              <w:t>主要</w:t>
            </w:r>
            <w:r>
              <w:rPr>
                <w:highlight w:val="none"/>
              </w:rPr>
              <w:t>负责人、拟担任该项目项目经理具备相应的由建设行政主管部门颁发的有效的安全生产考核合格证书</w:t>
            </w:r>
            <w:r>
              <w:rPr>
                <w:rFonts w:hint="eastAsia"/>
                <w:highlight w:val="none"/>
              </w:rPr>
              <w:t>。</w:t>
            </w:r>
          </w:p>
          <w:p w14:paraId="2C31596B">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投标人须在投标文件资格审查部分提供有效的安全生产许可证</w:t>
            </w:r>
            <w:r>
              <w:rPr>
                <w:highlight w:val="none"/>
              </w:rPr>
              <w:t>及安全生产考核合格证书。</w:t>
            </w:r>
          </w:p>
          <w:p w14:paraId="365647CC">
            <w:pPr>
              <w:autoSpaceDE w:val="0"/>
              <w:autoSpaceDN w:val="0"/>
              <w:adjustRightInd w:val="0"/>
              <w:snapToGrid w:val="0"/>
              <w:spacing w:line="400" w:lineRule="exact"/>
              <w:ind w:firstLine="420" w:firstLineChars="200"/>
              <w:rPr>
                <w:highlight w:val="none"/>
              </w:rPr>
            </w:pPr>
            <w:r>
              <w:rPr>
                <w:highlight w:val="none"/>
              </w:rPr>
              <w:t>2.财务要求</w:t>
            </w:r>
          </w:p>
          <w:p w14:paraId="32F5C722">
            <w:pPr>
              <w:autoSpaceDE w:val="0"/>
              <w:autoSpaceDN w:val="0"/>
              <w:adjustRightInd w:val="0"/>
              <w:snapToGrid w:val="0"/>
              <w:spacing w:line="400" w:lineRule="exact"/>
              <w:ind w:firstLine="420" w:firstLineChars="200"/>
              <w:rPr>
                <w:highlight w:val="none"/>
              </w:rPr>
            </w:pPr>
            <w:r>
              <w:rPr>
                <w:highlight w:val="none"/>
              </w:rPr>
              <w:t>20</w:t>
            </w:r>
            <w:r>
              <w:rPr>
                <w:rFonts w:hint="eastAsia"/>
                <w:highlight w:val="none"/>
                <w:lang w:val="en-US" w:eastAsia="zh-CN"/>
              </w:rPr>
              <w:t>22</w:t>
            </w:r>
            <w:r>
              <w:rPr>
                <w:rFonts w:hint="eastAsia"/>
                <w:highlight w:val="none"/>
              </w:rPr>
              <w:t>年、</w:t>
            </w:r>
            <w:r>
              <w:rPr>
                <w:highlight w:val="none"/>
              </w:rPr>
              <w:t>20</w:t>
            </w:r>
            <w:r>
              <w:rPr>
                <w:rFonts w:hint="eastAsia"/>
                <w:highlight w:val="none"/>
              </w:rPr>
              <w:t>2</w:t>
            </w:r>
            <w:r>
              <w:rPr>
                <w:rFonts w:hint="eastAsia"/>
                <w:highlight w:val="none"/>
                <w:lang w:val="en-US" w:eastAsia="zh-CN"/>
              </w:rPr>
              <w:t>3</w:t>
            </w:r>
            <w:r>
              <w:rPr>
                <w:rFonts w:hint="eastAsia"/>
                <w:highlight w:val="none"/>
              </w:rPr>
              <w:t>年、</w:t>
            </w:r>
            <w:r>
              <w:rPr>
                <w:highlight w:val="none"/>
              </w:rPr>
              <w:t>202</w:t>
            </w:r>
            <w:r>
              <w:rPr>
                <w:rFonts w:hint="eastAsia"/>
                <w:highlight w:val="none"/>
                <w:lang w:val="en-US" w:eastAsia="zh-CN"/>
              </w:rPr>
              <w:t>4</w:t>
            </w:r>
            <w:r>
              <w:rPr>
                <w:rFonts w:hint="eastAsia"/>
                <w:highlight w:val="none"/>
              </w:rPr>
              <w:t>年的年度财务状况不亏损。</w:t>
            </w:r>
          </w:p>
          <w:p w14:paraId="36D38236">
            <w:pPr>
              <w:snapToGrid w:val="0"/>
              <w:spacing w:line="400" w:lineRule="exact"/>
              <w:ind w:firstLine="420" w:firstLineChars="200"/>
              <w:rPr>
                <w:highlight w:val="none"/>
              </w:rPr>
            </w:pPr>
            <w:r>
              <w:rPr>
                <w:rFonts w:hint="eastAsia"/>
                <w:highlight w:val="none"/>
              </w:rPr>
              <w:t>投标人须在投标文件资格审查部分提供经会计师事务所或审计机构出具的合法有效的财务审计报告及财务报表，财务报表须至少包括现金流量表、资产负债表、利润表。</w:t>
            </w:r>
          </w:p>
          <w:p w14:paraId="1B34A75C">
            <w:pPr>
              <w:autoSpaceDE w:val="0"/>
              <w:autoSpaceDN w:val="0"/>
              <w:adjustRightInd w:val="0"/>
              <w:snapToGrid w:val="0"/>
              <w:spacing w:line="400" w:lineRule="exact"/>
              <w:ind w:firstLine="420" w:firstLineChars="200"/>
              <w:rPr>
                <w:highlight w:val="none"/>
              </w:rPr>
            </w:pPr>
            <w:r>
              <w:rPr>
                <w:rFonts w:hint="eastAsia"/>
                <w:highlight w:val="none"/>
              </w:rPr>
              <w:t>3.业绩要求</w:t>
            </w:r>
          </w:p>
          <w:p w14:paraId="031730E0">
            <w:pPr>
              <w:autoSpaceDE w:val="0"/>
              <w:autoSpaceDN w:val="0"/>
              <w:adjustRightInd w:val="0"/>
              <w:snapToGrid w:val="0"/>
              <w:spacing w:line="400" w:lineRule="exact"/>
              <w:ind w:firstLine="420" w:firstLineChars="200"/>
              <w:rPr>
                <w:highlight w:val="none"/>
              </w:rPr>
            </w:pPr>
            <w:r>
              <w:rPr>
                <w:rFonts w:hint="eastAsia"/>
                <w:highlight w:val="none"/>
              </w:rPr>
              <w:t>投标人提供的类似业绩应同时满足以下要求：</w:t>
            </w:r>
          </w:p>
          <w:p w14:paraId="3B8BD958">
            <w:pPr>
              <w:autoSpaceDE w:val="0"/>
              <w:autoSpaceDN w:val="0"/>
              <w:adjustRightInd w:val="0"/>
              <w:snapToGrid w:val="0"/>
              <w:spacing w:line="400" w:lineRule="exact"/>
              <w:ind w:firstLine="420" w:firstLineChars="200"/>
              <w:rPr>
                <w:highlight w:val="none"/>
              </w:rPr>
            </w:pPr>
            <w:r>
              <w:rPr>
                <w:rFonts w:hint="eastAsia"/>
                <w:highlight w:val="none"/>
              </w:rPr>
              <w:t>3.1业绩时间要求：</w:t>
            </w:r>
          </w:p>
          <w:p w14:paraId="20252994">
            <w:pPr>
              <w:autoSpaceDE w:val="0"/>
              <w:autoSpaceDN w:val="0"/>
              <w:adjustRightInd w:val="0"/>
              <w:snapToGrid w:val="0"/>
              <w:spacing w:line="400" w:lineRule="exact"/>
              <w:ind w:firstLine="420" w:firstLineChars="200"/>
              <w:rPr>
                <w:rFonts w:ascii="宋体" w:hAnsi="宋体"/>
                <w:szCs w:val="21"/>
                <w:highlight w:val="none"/>
                <w:u w:val="single"/>
              </w:rPr>
            </w:pPr>
            <w:r>
              <w:rPr>
                <w:highlight w:val="none"/>
              </w:rPr>
              <w:t>投标截止日前</w:t>
            </w:r>
            <w:r>
              <w:rPr>
                <w:rFonts w:hint="eastAsia"/>
                <w:highlight w:val="none"/>
              </w:rPr>
              <w:t>□3</w:t>
            </w:r>
            <w:r>
              <w:rPr>
                <w:highlight w:val="none"/>
              </w:rPr>
              <w:t>年</w:t>
            </w:r>
            <w:r>
              <w:rPr>
                <w:rFonts w:hint="eastAsia"/>
                <w:highlight w:val="none"/>
              </w:rPr>
              <w:t>[提示：8年以上选填，不包含投标截止日当年]，指投标人在</w:t>
            </w:r>
            <w:r>
              <w:rPr>
                <w:rFonts w:hint="eastAsia"/>
                <w:highlight w:val="none"/>
                <w:lang w:val="en-US" w:eastAsia="zh-CN"/>
              </w:rPr>
              <w:t>2022</w:t>
            </w:r>
            <w:r>
              <w:rPr>
                <w:rFonts w:hint="eastAsia"/>
                <w:highlight w:val="none"/>
              </w:rPr>
              <w:t>年1月1日起至投标截止日止（以竣工时间为准）完成的1个类似</w:t>
            </w:r>
            <w:r>
              <w:rPr>
                <w:rFonts w:hint="eastAsia" w:ascii="宋体" w:hAnsi="宋体"/>
                <w:szCs w:val="21"/>
                <w:highlight w:val="none"/>
              </w:rPr>
              <w:t>项目业绩。</w:t>
            </w:r>
          </w:p>
          <w:p w14:paraId="2B76580D">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3.2业绩规模要求：</w:t>
            </w:r>
          </w:p>
          <w:p w14:paraId="5BAF1A70">
            <w:pPr>
              <w:autoSpaceDE w:val="0"/>
              <w:autoSpaceDN w:val="0"/>
              <w:adjustRightInd w:val="0"/>
              <w:snapToGrid w:val="0"/>
              <w:spacing w:line="400" w:lineRule="exact"/>
              <w:ind w:firstLine="420" w:firstLineChars="200"/>
              <w:rPr>
                <w:rFonts w:hint="eastAsia" w:ascii="宋体" w:hAnsi="宋体" w:eastAsia="宋体"/>
                <w:szCs w:val="21"/>
                <w:highlight w:val="none"/>
                <w:u w:val="single"/>
                <w:lang w:eastAsia="zh-CN"/>
              </w:rPr>
            </w:pPr>
            <w:r>
              <w:rPr>
                <w:rFonts w:hint="eastAsia" w:ascii="宋体" w:hAnsi="宋体"/>
                <w:szCs w:val="21"/>
                <w:highlight w:val="none"/>
              </w:rPr>
              <w:t>工程类别：</w:t>
            </w:r>
            <w:r>
              <w:rPr>
                <w:rFonts w:hint="eastAsia" w:ascii="宋体" w:hAnsi="宋体"/>
                <w:szCs w:val="21"/>
                <w:highlight w:val="none"/>
                <w:u w:val="single"/>
                <w:lang w:eastAsia="zh-CN"/>
              </w:rPr>
              <w:t>路面工程</w:t>
            </w:r>
          </w:p>
          <w:p w14:paraId="662F672B">
            <w:pPr>
              <w:autoSpaceDE w:val="0"/>
              <w:autoSpaceDN w:val="0"/>
              <w:adjustRightInd w:val="0"/>
              <w:snapToGrid w:val="0"/>
              <w:spacing w:line="400" w:lineRule="exact"/>
              <w:ind w:firstLine="420" w:firstLineChars="200"/>
              <w:rPr>
                <w:rFonts w:ascii="宋体" w:hAnsi="宋体"/>
                <w:szCs w:val="21"/>
                <w:highlight w:val="none"/>
              </w:rPr>
            </w:pPr>
            <w:r>
              <w:rPr>
                <w:rFonts w:hint="eastAsia" w:ascii="宋体" w:hAnsi="宋体"/>
                <w:szCs w:val="21"/>
                <w:highlight w:val="none"/>
              </w:rPr>
              <w:t>若同时设置了工程造价和工程规模要求，则只须满足其中之一:</w:t>
            </w:r>
          </w:p>
          <w:p w14:paraId="46869144">
            <w:pPr>
              <w:autoSpaceDE w:val="0"/>
              <w:autoSpaceDN w:val="0"/>
              <w:adjustRightInd w:val="0"/>
              <w:snapToGrid w:val="0"/>
              <w:spacing w:line="400" w:lineRule="exact"/>
              <w:ind w:firstLine="420" w:firstLineChars="200"/>
              <w:rPr>
                <w:rFonts w:hint="default" w:ascii="宋体" w:hAnsi="宋体" w:eastAsia="宋体"/>
                <w:szCs w:val="21"/>
                <w:highlight w:val="none"/>
                <w:u w:val="single"/>
                <w:lang w:val="en-US" w:eastAsia="zh-CN"/>
              </w:rPr>
            </w:pPr>
            <w:r>
              <w:rPr>
                <w:rFonts w:hint="eastAsia" w:ascii="宋体" w:hAnsi="宋体"/>
                <w:szCs w:val="21"/>
                <w:highlight w:val="none"/>
              </w:rPr>
              <w:t>□工程造价：</w:t>
            </w:r>
            <w:r>
              <w:rPr>
                <w:rFonts w:hint="eastAsia" w:ascii="宋体" w:hAnsi="宋体"/>
                <w:szCs w:val="21"/>
                <w:highlight w:val="none"/>
                <w:u w:val="single"/>
                <w:lang w:val="en-US" w:eastAsia="zh-CN"/>
              </w:rPr>
              <w:t>75</w:t>
            </w:r>
            <w:bookmarkStart w:id="2117" w:name="_GoBack"/>
            <w:bookmarkEnd w:id="2117"/>
            <w:r>
              <w:rPr>
                <w:rFonts w:hint="eastAsia" w:ascii="宋体" w:hAnsi="宋体"/>
                <w:szCs w:val="21"/>
                <w:highlight w:val="none"/>
                <w:u w:val="single"/>
                <w:lang w:val="en-US" w:eastAsia="zh-CN"/>
              </w:rPr>
              <w:t>万及以上</w:t>
            </w:r>
          </w:p>
          <w:p w14:paraId="339E310B">
            <w:pPr>
              <w:autoSpaceDE w:val="0"/>
              <w:autoSpaceDN w:val="0"/>
              <w:adjustRightInd w:val="0"/>
              <w:snapToGrid w:val="0"/>
              <w:spacing w:line="400" w:lineRule="exact"/>
              <w:ind w:firstLine="420" w:firstLineChars="200"/>
              <w:rPr>
                <w:rFonts w:ascii="宋体" w:hAnsi="宋体"/>
                <w:i/>
                <w:szCs w:val="21"/>
                <w:highlight w:val="none"/>
              </w:rPr>
            </w:pPr>
            <w:r>
              <w:rPr>
                <w:rFonts w:hint="eastAsia" w:ascii="宋体" w:hAnsi="宋体"/>
                <w:i/>
                <w:szCs w:val="21"/>
                <w:highlight w:val="none"/>
              </w:rPr>
              <w:t>[提示：根据招标项目实际情况选用。]</w:t>
            </w:r>
          </w:p>
          <w:p w14:paraId="450807F8">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3.3业绩证明材料要求：</w:t>
            </w:r>
          </w:p>
          <w:p w14:paraId="709C0385">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投标人须在投标文件资格审查部分提供该业绩的中标通知书（直接发包的项目可提供项目发包人出具的项目直接发包情况说明或证明文书代替）、合同协议书和工程竣工验收合格的证明材料。若上述资料无法体现工程规模（如有）的，还须提供业主证明。</w:t>
            </w:r>
          </w:p>
          <w:p w14:paraId="3F1740BB">
            <w:pPr>
              <w:autoSpaceDE w:val="0"/>
              <w:autoSpaceDN w:val="0"/>
              <w:adjustRightInd w:val="0"/>
              <w:snapToGrid w:val="0"/>
              <w:spacing w:line="400" w:lineRule="exact"/>
              <w:ind w:firstLine="415" w:firstLineChars="198"/>
              <w:rPr>
                <w:rFonts w:ascii="宋体" w:hAnsi="宋体"/>
                <w:szCs w:val="21"/>
                <w:highlight w:val="none"/>
              </w:rPr>
            </w:pPr>
            <w:r>
              <w:rPr>
                <w:rFonts w:hint="eastAsia" w:ascii="宋体" w:hAnsi="宋体"/>
                <w:szCs w:val="21"/>
                <w:highlight w:val="none"/>
              </w:rPr>
              <w:t>注：投标人应对其提供的业绩证明材料的真实性负责。当上述资料中针对同一指标存在不一致时，以工程竣工验收合格的证明材料为准。</w:t>
            </w:r>
          </w:p>
          <w:p w14:paraId="64912140">
            <w:pPr>
              <w:ind w:firstLine="435"/>
              <w:rPr>
                <w:rFonts w:hint="eastAsia"/>
                <w:highlight w:val="none"/>
              </w:rPr>
            </w:pPr>
            <w:r>
              <w:rPr>
                <w:rFonts w:hint="eastAsia" w:ascii="宋体" w:hAnsi="宋体"/>
                <w:szCs w:val="21"/>
                <w:highlight w:val="none"/>
              </w:rPr>
              <w:t>不满足上述业绩要求的业绩无效。</w:t>
            </w:r>
          </w:p>
          <w:p w14:paraId="299881AA">
            <w:pPr>
              <w:adjustRightInd w:val="0"/>
              <w:snapToGrid w:val="0"/>
              <w:spacing w:line="400" w:lineRule="exact"/>
              <w:ind w:firstLine="420" w:firstLineChars="200"/>
              <w:rPr>
                <w:highlight w:val="none"/>
              </w:rPr>
            </w:pPr>
            <w:r>
              <w:rPr>
                <w:rFonts w:hint="eastAsia"/>
                <w:highlight w:val="none"/>
              </w:rPr>
              <w:t>4.</w:t>
            </w:r>
            <w:r>
              <w:rPr>
                <w:highlight w:val="none"/>
              </w:rPr>
              <w:t>投标截止日投标资格情况</w:t>
            </w:r>
          </w:p>
          <w:p w14:paraId="6CB41C9C">
            <w:pPr>
              <w:snapToGrid w:val="0"/>
              <w:spacing w:line="400" w:lineRule="exact"/>
              <w:ind w:firstLine="420" w:firstLineChars="200"/>
              <w:rPr>
                <w:highlight w:val="none"/>
              </w:rPr>
            </w:pPr>
            <w:r>
              <w:rPr>
                <w:rFonts w:hint="eastAsia"/>
                <w:highlight w:val="none"/>
              </w:rPr>
              <w:t>投标人自行承诺（格式见第八章投标文件格式）不得存在下列情形之一：</w:t>
            </w:r>
          </w:p>
          <w:p w14:paraId="6B251C1F">
            <w:pPr>
              <w:snapToGrid w:val="0"/>
              <w:spacing w:line="400" w:lineRule="exact"/>
              <w:ind w:firstLine="420" w:firstLineChars="200"/>
              <w:jc w:val="left"/>
              <w:rPr>
                <w:highlight w:val="none"/>
              </w:rPr>
            </w:pPr>
            <w:r>
              <w:rPr>
                <w:rFonts w:hint="eastAsia"/>
                <w:highlight w:val="none"/>
              </w:rPr>
              <w:t>（1）被人民法院列入失信被执行人名单且在被执行期内；</w:t>
            </w:r>
          </w:p>
          <w:p w14:paraId="04CFA86B">
            <w:pPr>
              <w:snapToGrid w:val="0"/>
              <w:spacing w:line="400" w:lineRule="exact"/>
              <w:ind w:firstLine="420" w:firstLineChars="200"/>
              <w:rPr>
                <w:highlight w:val="none"/>
              </w:rPr>
            </w:pPr>
            <w:r>
              <w:rPr>
                <w:rFonts w:hint="eastAsia"/>
                <w:highlight w:val="none"/>
              </w:rPr>
              <w:t>（2）被列入《重庆市工程建设领域采购投标信用管理暂行办法》规定的重点关注名单且记分达到12分且在记分有效期内；</w:t>
            </w:r>
          </w:p>
          <w:p w14:paraId="3ACD2838">
            <w:pPr>
              <w:snapToGrid w:val="0"/>
              <w:spacing w:line="400" w:lineRule="exact"/>
              <w:ind w:firstLine="420" w:firstLineChars="200"/>
              <w:rPr>
                <w:highlight w:val="none"/>
              </w:rPr>
            </w:pPr>
            <w:r>
              <w:rPr>
                <w:rFonts w:hint="eastAsia"/>
                <w:highlight w:val="none"/>
              </w:rPr>
              <w:t>（3）被列入《重庆市工程建设领域采购投标信用管理暂行办法》规定的重庆市工程建设领域采购投标失信惩戒对象名单（以下称黑名单）且在记分有效期内；</w:t>
            </w:r>
          </w:p>
          <w:p w14:paraId="4FC66495">
            <w:pPr>
              <w:snapToGrid w:val="0"/>
              <w:spacing w:line="400" w:lineRule="exact"/>
              <w:ind w:firstLine="420" w:firstLineChars="200"/>
              <w:rPr>
                <w:highlight w:val="none"/>
              </w:rPr>
            </w:pPr>
            <w:r>
              <w:rPr>
                <w:rFonts w:hint="eastAsia"/>
                <w:highlight w:val="none"/>
              </w:rPr>
              <w:t>（4）被国家、重庆市（含市或任意区县）有关行政部门处以暂停投标资格行政处罚，且在处罚期限内；</w:t>
            </w:r>
          </w:p>
          <w:p w14:paraId="74D33058">
            <w:pPr>
              <w:snapToGrid w:val="0"/>
              <w:spacing w:line="400" w:lineRule="exact"/>
              <w:ind w:firstLine="420" w:firstLineChars="200"/>
              <w:rPr>
                <w:highlight w:val="none"/>
              </w:rPr>
            </w:pPr>
            <w:r>
              <w:rPr>
                <w:rFonts w:hint="eastAsia"/>
                <w:highlight w:val="none"/>
              </w:rPr>
              <w:t>（5）被重庆市住房和城乡建设主管部门暂停在渝承揽新业务且在暂停期内。</w:t>
            </w:r>
          </w:p>
          <w:p w14:paraId="4A7768D0">
            <w:pPr>
              <w:spacing w:line="400" w:lineRule="exact"/>
              <w:ind w:firstLine="420" w:firstLineChars="200"/>
              <w:rPr>
                <w:highlight w:val="none"/>
              </w:rPr>
            </w:pPr>
            <w:r>
              <w:rPr>
                <w:rFonts w:hint="eastAsia"/>
                <w:highlight w:val="none"/>
              </w:rPr>
              <w:t>投标人须在投标文件资格审查部分提供承诺。</w:t>
            </w:r>
          </w:p>
          <w:p w14:paraId="32CEED63">
            <w:pPr>
              <w:spacing w:line="400" w:lineRule="exact"/>
              <w:ind w:firstLine="420" w:firstLineChars="200"/>
              <w:rPr>
                <w:highlight w:val="none"/>
              </w:rPr>
            </w:pPr>
            <w:r>
              <w:rPr>
                <w:rFonts w:hint="eastAsia"/>
                <w:highlight w:val="none"/>
              </w:rPr>
              <w:t>上述第（2）、（3）款信用状况在开标环节进行查询，查询结果交由评标委员会评审，若投标人针对上述第（2）、（3）款的承诺内容与查询结果不符，由评标委员会作否决投标处理。</w:t>
            </w:r>
          </w:p>
          <w:p w14:paraId="59CA9566">
            <w:pPr>
              <w:spacing w:line="400" w:lineRule="exact"/>
              <w:ind w:firstLine="420" w:firstLineChars="200"/>
              <w:rPr>
                <w:highlight w:val="none"/>
              </w:rPr>
            </w:pPr>
            <w:r>
              <w:rPr>
                <w:rFonts w:hint="eastAsia"/>
                <w:highlight w:val="none"/>
              </w:rPr>
              <w:t>注：投标人是否因有不良行为记分、进入重点关注名单或黑名单而被限制投标的，以开标环节信用状况查询结果为准。</w:t>
            </w:r>
          </w:p>
          <w:p w14:paraId="36F55A16">
            <w:pPr>
              <w:snapToGrid w:val="0"/>
              <w:spacing w:line="400" w:lineRule="exact"/>
              <w:ind w:firstLine="420" w:firstLineChars="200"/>
              <w:rPr>
                <w:highlight w:val="none"/>
              </w:rPr>
            </w:pPr>
            <w:r>
              <w:rPr>
                <w:rFonts w:hint="eastAsia"/>
                <w:highlight w:val="none"/>
              </w:rPr>
              <w:t>5.</w:t>
            </w:r>
            <w:r>
              <w:rPr>
                <w:highlight w:val="none"/>
              </w:rPr>
              <w:t>项目经理资格要求</w:t>
            </w:r>
          </w:p>
          <w:p w14:paraId="3BEB4434">
            <w:pPr>
              <w:snapToGrid w:val="0"/>
              <w:spacing w:line="400" w:lineRule="exact"/>
              <w:ind w:firstLine="420" w:firstLineChars="200"/>
              <w:rPr>
                <w:highlight w:val="none"/>
              </w:rPr>
            </w:pPr>
            <w:r>
              <w:rPr>
                <w:rFonts w:hint="eastAsia"/>
                <w:highlight w:val="none"/>
              </w:rPr>
              <w:t>5.1投标人拟派的</w:t>
            </w:r>
            <w:r>
              <w:rPr>
                <w:highlight w:val="none"/>
              </w:rPr>
              <w:t>项目经理必须已在</w:t>
            </w:r>
            <w:r>
              <w:rPr>
                <w:rFonts w:hint="eastAsia"/>
                <w:highlight w:val="none"/>
              </w:rPr>
              <w:t>投标人本</w:t>
            </w:r>
            <w:r>
              <w:rPr>
                <w:highlight w:val="none"/>
              </w:rPr>
              <w:t>单位注册并应具有</w:t>
            </w:r>
            <w:r>
              <w:rPr>
                <w:rFonts w:hint="eastAsia"/>
                <w:highlight w:val="none"/>
              </w:rPr>
              <w:t xml:space="preserve">    市政公用工程 专业二</w:t>
            </w:r>
            <w:r>
              <w:rPr>
                <w:highlight w:val="none"/>
              </w:rPr>
              <w:t>级及以上注册建造师执业资格</w:t>
            </w:r>
            <w:r>
              <w:rPr>
                <w:rFonts w:hint="eastAsia"/>
                <w:highlight w:val="none"/>
              </w:rPr>
              <w:t>。</w:t>
            </w:r>
          </w:p>
          <w:p w14:paraId="0B114FEF">
            <w:pPr>
              <w:snapToGrid w:val="0"/>
              <w:spacing w:line="400" w:lineRule="exact"/>
              <w:ind w:firstLine="420" w:firstLineChars="200"/>
              <w:jc w:val="left"/>
              <w:rPr>
                <w:highlight w:val="none"/>
              </w:rPr>
            </w:pPr>
            <w:r>
              <w:rPr>
                <w:rFonts w:hint="eastAsia"/>
                <w:highlight w:val="none"/>
              </w:rPr>
              <w:t>5.2项目经理承诺要求：投标人须承诺拟派项目经理按注册建造师的相关规定到岗履职和未被禁止参与投标。</w:t>
            </w:r>
          </w:p>
          <w:p w14:paraId="065B88B2">
            <w:pPr>
              <w:snapToGrid w:val="0"/>
              <w:spacing w:line="400" w:lineRule="exact"/>
              <w:ind w:firstLine="420" w:firstLineChars="200"/>
              <w:rPr>
                <w:highlight w:val="none"/>
              </w:rPr>
            </w:pPr>
            <w:r>
              <w:rPr>
                <w:rFonts w:hint="eastAsia"/>
                <w:highlight w:val="none"/>
              </w:rPr>
              <w:t>5</w:t>
            </w:r>
            <w:r>
              <w:rPr>
                <w:highlight w:val="none"/>
              </w:rPr>
              <w:t>.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highlight w:val="none"/>
              </w:rPr>
              <w:t>采购</w:t>
            </w:r>
            <w:r>
              <w:rPr>
                <w:highlight w:val="none"/>
              </w:rPr>
              <w:t>人造成损失的，投标人依法承担违约赔偿责任。拟派项目经理中标后不得随意更换。</w:t>
            </w:r>
          </w:p>
          <w:p w14:paraId="3DD66778">
            <w:pPr>
              <w:snapToGrid w:val="0"/>
              <w:spacing w:line="400" w:lineRule="exact"/>
              <w:ind w:firstLine="420" w:firstLineChars="200"/>
              <w:rPr>
                <w:highlight w:val="none"/>
              </w:rPr>
            </w:pPr>
            <w:r>
              <w:rPr>
                <w:rFonts w:hint="eastAsia"/>
                <w:highlight w:val="none"/>
              </w:rPr>
              <w:t>5</w:t>
            </w:r>
            <w:r>
              <w:rPr>
                <w:highlight w:val="none"/>
              </w:rPr>
              <w:t>.2.2未被禁止参与投标承诺要求：承诺拟派项目经理未被重庆市住房和城乡建设主管部门暂停在渝承揽新业务。若被暂停在渝承揽新业务但仍参加投标，将被否决投标；已取得中标候选人资格或中标资格的，</w:t>
            </w:r>
            <w:r>
              <w:rPr>
                <w:rFonts w:hint="eastAsia"/>
                <w:highlight w:val="none"/>
              </w:rPr>
              <w:t>采购</w:t>
            </w:r>
            <w:r>
              <w:rPr>
                <w:highlight w:val="none"/>
              </w:rPr>
              <w:t>人有权取消其中标候选人资格或中标资格；给</w:t>
            </w:r>
            <w:r>
              <w:rPr>
                <w:rFonts w:hint="eastAsia"/>
                <w:highlight w:val="none"/>
              </w:rPr>
              <w:t>采购</w:t>
            </w:r>
            <w:r>
              <w:rPr>
                <w:highlight w:val="none"/>
              </w:rPr>
              <w:t>人造成损失的，投标人依法承担违约赔偿责任。</w:t>
            </w:r>
          </w:p>
          <w:p w14:paraId="438C337B">
            <w:pPr>
              <w:snapToGrid w:val="0"/>
              <w:spacing w:line="400" w:lineRule="exact"/>
              <w:ind w:firstLine="420" w:firstLineChars="200"/>
              <w:rPr>
                <w:highlight w:val="none"/>
              </w:rPr>
            </w:pPr>
            <w:r>
              <w:rPr>
                <w:rFonts w:hint="eastAsia"/>
                <w:highlight w:val="none"/>
              </w:rPr>
              <w:t>5</w:t>
            </w:r>
            <w:r>
              <w:rPr>
                <w:highlight w:val="none"/>
              </w:rPr>
              <w:t>.2.3项目经理的其它承诺要求：为保证中标人拟派的项目经理到本项目到岗履职，中标人还需承诺：</w:t>
            </w:r>
          </w:p>
          <w:p w14:paraId="0023743D">
            <w:pPr>
              <w:snapToGrid w:val="0"/>
              <w:spacing w:line="400" w:lineRule="exact"/>
              <w:ind w:firstLine="420" w:firstLineChars="200"/>
              <w:rPr>
                <w:highlight w:val="none"/>
              </w:rPr>
            </w:pPr>
            <w:r>
              <w:rPr>
                <w:highlight w:val="none"/>
              </w:rPr>
              <w:t>若中标人拟派本项目的项目经理有在其他项目任职的情形的（或有在其他项目中标或拟中标的情形的），应在收到中标通知书后 14 日（7～30日）内，办理完成放弃在其他项目任职的手续（或办理完成放弃在其他项目中标</w:t>
            </w:r>
            <w:r>
              <w:rPr>
                <w:rFonts w:hint="eastAsia"/>
                <w:highlight w:val="none"/>
              </w:rPr>
              <w:t>或拟中标</w:t>
            </w:r>
            <w:r>
              <w:rPr>
                <w:highlight w:val="none"/>
              </w:rPr>
              <w:t>的手续），</w:t>
            </w:r>
            <w:r>
              <w:rPr>
                <w:rFonts w:hint="eastAsia"/>
                <w:highlight w:val="none"/>
              </w:rPr>
              <w:t>采购</w:t>
            </w:r>
            <w:r>
              <w:rPr>
                <w:highlight w:val="none"/>
              </w:rPr>
              <w:t>人在合同签订前有权对中标人拟派项目经理在其他项目的任职情形（或在其他项目的中标或拟中标情形）进行核查，若与</w:t>
            </w:r>
            <w:r>
              <w:rPr>
                <w:rFonts w:hint="eastAsia"/>
                <w:highlight w:val="none"/>
              </w:rPr>
              <w:t>中标人</w:t>
            </w:r>
            <w:r>
              <w:rPr>
                <w:highlight w:val="none"/>
              </w:rPr>
              <w:t>承诺内容不符或中标人未在上述时间内按照</w:t>
            </w:r>
            <w:r>
              <w:rPr>
                <w:rFonts w:hint="eastAsia"/>
                <w:highlight w:val="none"/>
              </w:rPr>
              <w:t>采购</w:t>
            </w:r>
            <w:r>
              <w:rPr>
                <w:highlight w:val="none"/>
              </w:rPr>
              <w:t>文件规定递交放弃在其他项目任职、中标或拟中标的相关资料，视为中标人放弃中标资格。在合同签订时，中标人需确保拟派项目经理符合《建筑施工企业项目经理资质管理办法》规定的项目经理任职条件，否则视为中标人放弃中标资格。</w:t>
            </w:r>
          </w:p>
          <w:p w14:paraId="346C9B03">
            <w:pPr>
              <w:snapToGrid w:val="0"/>
              <w:spacing w:line="400" w:lineRule="exact"/>
              <w:ind w:firstLine="420" w:firstLineChars="200"/>
              <w:rPr>
                <w:highlight w:val="none"/>
              </w:rPr>
            </w:pPr>
            <w:r>
              <w:rPr>
                <w:highlight w:val="none"/>
              </w:rPr>
              <w:t>放弃在其他项目任职的需提供</w:t>
            </w:r>
            <w:r>
              <w:rPr>
                <w:rFonts w:hint="eastAsia"/>
                <w:highlight w:val="none"/>
              </w:rPr>
              <w:t>：</w:t>
            </w:r>
            <w:r>
              <w:rPr>
                <w:highlight w:val="none"/>
              </w:rPr>
              <w:t>①</w:t>
            </w:r>
            <w:r>
              <w:rPr>
                <w:rFonts w:hint="eastAsia"/>
                <w:highlight w:val="none"/>
              </w:rPr>
              <w:t>经</w:t>
            </w:r>
            <w:r>
              <w:rPr>
                <w:highlight w:val="none"/>
              </w:rPr>
              <w:t>业主或建设单位同意任职变更的文件；②负责项目监管的行业行政主管部门出具同意任职变更的证明材料。</w:t>
            </w:r>
          </w:p>
          <w:p w14:paraId="679E6A58">
            <w:pPr>
              <w:snapToGrid w:val="0"/>
              <w:spacing w:line="400" w:lineRule="exact"/>
              <w:ind w:firstLine="420" w:firstLineChars="200"/>
              <w:rPr>
                <w:highlight w:val="none"/>
              </w:rPr>
            </w:pPr>
            <w:r>
              <w:rPr>
                <w:highlight w:val="none"/>
              </w:rPr>
              <w:t>放弃在其他项目中标或拟中标的需提供</w:t>
            </w:r>
            <w:r>
              <w:rPr>
                <w:rFonts w:hint="eastAsia"/>
                <w:highlight w:val="none"/>
              </w:rPr>
              <w:t>：</w:t>
            </w:r>
            <w:r>
              <w:rPr>
                <w:highlight w:val="none"/>
              </w:rPr>
              <w:t>①经中标或拟中标的其他项目建设单位同意的放弃中标函</w:t>
            </w:r>
            <w:r>
              <w:rPr>
                <w:rFonts w:hint="eastAsia"/>
                <w:highlight w:val="none"/>
              </w:rPr>
              <w:t>。</w:t>
            </w:r>
          </w:p>
          <w:p w14:paraId="5EC0CB9F">
            <w:pPr>
              <w:snapToGrid w:val="0"/>
              <w:spacing w:line="400" w:lineRule="exact"/>
              <w:ind w:firstLine="420" w:firstLineChars="200"/>
              <w:rPr>
                <w:highlight w:val="none"/>
              </w:rPr>
            </w:pPr>
            <w:r>
              <w:rPr>
                <w:rFonts w:hint="eastAsia"/>
                <w:highlight w:val="none"/>
              </w:rPr>
              <w:t>5.2.4未提供上述承诺或承诺内容不符合要求的，由评标委员会作否决投标处理。</w:t>
            </w:r>
          </w:p>
          <w:p w14:paraId="35930091">
            <w:pPr>
              <w:snapToGrid w:val="0"/>
              <w:spacing w:line="400" w:lineRule="exact"/>
              <w:ind w:firstLine="420" w:firstLineChars="200"/>
              <w:rPr>
                <w:highlight w:val="none"/>
              </w:rPr>
            </w:pPr>
            <w:r>
              <w:rPr>
                <w:rFonts w:hint="eastAsia"/>
                <w:highlight w:val="none"/>
              </w:rPr>
              <w:t>投标人须在投标文件资格审查部分提供有效的拟派项目经理建造师注册证、身份证、投标人为其缴纳的养老保险证明材料，拟派项目经理到岗履职和未被禁止参与投标的承诺（承诺格式见第八章投标文件格式）。</w:t>
            </w:r>
          </w:p>
          <w:p w14:paraId="42F1AFE7">
            <w:pPr>
              <w:autoSpaceDE w:val="0"/>
              <w:autoSpaceDN w:val="0"/>
              <w:adjustRightInd w:val="0"/>
              <w:snapToGrid w:val="0"/>
              <w:spacing w:line="400" w:lineRule="exact"/>
              <w:ind w:firstLine="420" w:firstLineChars="200"/>
              <w:rPr>
                <w:highlight w:val="none"/>
              </w:rPr>
            </w:pPr>
            <w:r>
              <w:rPr>
                <w:rFonts w:hint="eastAsia"/>
                <w:highlight w:val="none"/>
              </w:rPr>
              <w:t>6</w:t>
            </w:r>
            <w:r>
              <w:rPr>
                <w:highlight w:val="none"/>
              </w:rPr>
              <w:t>.其他要求</w:t>
            </w:r>
          </w:p>
          <w:p w14:paraId="1F9FC041">
            <w:pPr>
              <w:snapToGrid w:val="0"/>
              <w:spacing w:line="400" w:lineRule="exact"/>
              <w:ind w:firstLine="420" w:firstLineChars="200"/>
              <w:rPr>
                <w:highlight w:val="none"/>
              </w:rPr>
            </w:pPr>
            <w:r>
              <w:rPr>
                <w:highlight w:val="none"/>
              </w:rPr>
              <w:t>（1）项目技术负责人：</w:t>
            </w:r>
          </w:p>
          <w:p w14:paraId="5E0371F5">
            <w:pPr>
              <w:snapToGrid w:val="0"/>
              <w:spacing w:line="400" w:lineRule="exact"/>
              <w:ind w:firstLine="420" w:firstLineChars="200"/>
              <w:rPr>
                <w:highlight w:val="none"/>
              </w:rPr>
            </w:pPr>
            <w:r>
              <w:rPr>
                <w:highlight w:val="none"/>
              </w:rPr>
              <w:t>应具有</w:t>
            </w:r>
            <w:r>
              <w:rPr>
                <w:rFonts w:hint="eastAsia"/>
                <w:highlight w:val="none"/>
              </w:rPr>
              <w:t>工程类中</w:t>
            </w:r>
            <w:r>
              <w:rPr>
                <w:highlight w:val="none"/>
              </w:rPr>
              <w:t>级及以上职称；</w:t>
            </w:r>
          </w:p>
          <w:p w14:paraId="64AD712F">
            <w:pPr>
              <w:autoSpaceDE w:val="0"/>
              <w:autoSpaceDN w:val="0"/>
              <w:adjustRightInd w:val="0"/>
              <w:snapToGrid w:val="0"/>
              <w:spacing w:line="400" w:lineRule="exact"/>
              <w:ind w:firstLine="420" w:firstLineChars="200"/>
              <w:rPr>
                <w:highlight w:val="none"/>
              </w:rPr>
            </w:pPr>
            <w:r>
              <w:rPr>
                <w:rFonts w:hint="eastAsia"/>
                <w:highlight w:val="none"/>
              </w:rPr>
              <w:t>投标人须在投标文件资格审查部分提供拟派技术负责人身份证、职称证及投标人本单位为其缴纳的养老保险证明材料。</w:t>
            </w:r>
          </w:p>
          <w:p w14:paraId="5908FD33">
            <w:pPr>
              <w:autoSpaceDE w:val="0"/>
              <w:autoSpaceDN w:val="0"/>
              <w:adjustRightInd w:val="0"/>
              <w:snapToGrid w:val="0"/>
              <w:spacing w:line="400" w:lineRule="exact"/>
              <w:ind w:firstLine="420" w:firstLineChars="200"/>
              <w:rPr>
                <w:highlight w:val="none"/>
              </w:rPr>
            </w:pPr>
            <w:r>
              <w:rPr>
                <w:highlight w:val="none"/>
              </w:rPr>
              <w:t>（2）主要管理人员：</w:t>
            </w:r>
          </w:p>
          <w:p w14:paraId="5212C71B">
            <w:pPr>
              <w:autoSpaceDE w:val="0"/>
              <w:autoSpaceDN w:val="0"/>
              <w:adjustRightInd w:val="0"/>
              <w:spacing w:line="400" w:lineRule="exact"/>
              <w:ind w:firstLine="420" w:firstLineChars="200"/>
              <w:rPr>
                <w:highlight w:val="none"/>
              </w:rPr>
            </w:pPr>
            <w:r>
              <w:rPr>
                <w:rFonts w:hint="eastAsia"/>
                <w:highlight w:val="none"/>
              </w:rPr>
              <w:t>投标人自行承诺中标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投标人为其缴纳的养老保险证明材料。中标后不能满足该要求的，采购人可取消其中标资格，给采购人造成损失的，投标人依法承担违约赔偿责任。</w:t>
            </w:r>
          </w:p>
          <w:p w14:paraId="7C39D74C">
            <w:pPr>
              <w:autoSpaceDE w:val="0"/>
              <w:autoSpaceDN w:val="0"/>
              <w:adjustRightInd w:val="0"/>
              <w:spacing w:line="400" w:lineRule="exact"/>
              <w:ind w:firstLine="420" w:firstLineChars="200"/>
              <w:rPr>
                <w:highlight w:val="none"/>
              </w:rPr>
            </w:pPr>
            <w:r>
              <w:rPr>
                <w:rFonts w:hint="eastAsia"/>
                <w:highlight w:val="none"/>
              </w:rPr>
              <w:t>投标人须在投标文件资格审查部分提供承诺（承诺格式见第八章投标文件格式）。</w:t>
            </w:r>
          </w:p>
          <w:p w14:paraId="104D180C">
            <w:pPr>
              <w:autoSpaceDE w:val="0"/>
              <w:autoSpaceDN w:val="0"/>
              <w:adjustRightInd w:val="0"/>
              <w:snapToGrid w:val="0"/>
              <w:spacing w:line="400" w:lineRule="exact"/>
              <w:ind w:firstLine="420" w:firstLineChars="200"/>
              <w:rPr>
                <w:highlight w:val="none"/>
              </w:rPr>
            </w:pPr>
            <w:r>
              <w:rPr>
                <w:highlight w:val="none"/>
              </w:rPr>
              <w:t>（</w:t>
            </w:r>
            <w:r>
              <w:rPr>
                <w:rFonts w:hint="eastAsia"/>
                <w:highlight w:val="none"/>
              </w:rPr>
              <w:t>3</w:t>
            </w:r>
            <w:r>
              <w:rPr>
                <w:highlight w:val="none"/>
              </w:rPr>
              <w:t>）委托代理人</w:t>
            </w:r>
            <w:r>
              <w:rPr>
                <w:rFonts w:hint="eastAsia"/>
                <w:highlight w:val="none"/>
              </w:rPr>
              <w:t>：</w:t>
            </w:r>
          </w:p>
          <w:p w14:paraId="4C56A544">
            <w:pPr>
              <w:autoSpaceDE w:val="0"/>
              <w:autoSpaceDN w:val="0"/>
              <w:adjustRightInd w:val="0"/>
              <w:snapToGrid w:val="0"/>
              <w:spacing w:line="400" w:lineRule="exact"/>
              <w:ind w:firstLine="420" w:firstLineChars="200"/>
              <w:rPr>
                <w:highlight w:val="none"/>
              </w:rPr>
            </w:pPr>
            <w:r>
              <w:rPr>
                <w:highlight w:val="none"/>
              </w:rPr>
              <w:t>委托代理人必须为投标人本单位</w:t>
            </w:r>
            <w:r>
              <w:rPr>
                <w:rFonts w:hint="eastAsia"/>
                <w:highlight w:val="none"/>
              </w:rPr>
              <w:t>人员</w:t>
            </w:r>
            <w:r>
              <w:rPr>
                <w:highlight w:val="none"/>
              </w:rPr>
              <w:t>。</w:t>
            </w:r>
          </w:p>
          <w:p w14:paraId="625C44D4">
            <w:pPr>
              <w:autoSpaceDE w:val="0"/>
              <w:autoSpaceDN w:val="0"/>
              <w:adjustRightInd w:val="0"/>
              <w:snapToGrid w:val="0"/>
              <w:spacing w:line="400" w:lineRule="exact"/>
              <w:ind w:firstLine="420" w:firstLineChars="200"/>
              <w:rPr>
                <w:highlight w:val="none"/>
              </w:rPr>
            </w:pPr>
            <w:r>
              <w:rPr>
                <w:rFonts w:hint="eastAsia"/>
                <w:highlight w:val="none"/>
              </w:rPr>
              <w:t>投标人</w:t>
            </w:r>
            <w:r>
              <w:rPr>
                <w:highlight w:val="none"/>
              </w:rPr>
              <w:t>须</w:t>
            </w:r>
            <w:r>
              <w:rPr>
                <w:rFonts w:hint="eastAsia"/>
                <w:highlight w:val="none"/>
              </w:rPr>
              <w:t>在投标文件资格审查部分</w:t>
            </w:r>
            <w:r>
              <w:rPr>
                <w:highlight w:val="none"/>
              </w:rPr>
              <w:t>提供</w:t>
            </w:r>
            <w:r>
              <w:rPr>
                <w:rFonts w:hint="eastAsia"/>
                <w:highlight w:val="none"/>
              </w:rPr>
              <w:t>投标人为该</w:t>
            </w:r>
            <w:r>
              <w:rPr>
                <w:highlight w:val="none"/>
              </w:rPr>
              <w:t>委托代理人</w:t>
            </w:r>
            <w:r>
              <w:rPr>
                <w:rFonts w:hint="eastAsia"/>
                <w:highlight w:val="none"/>
              </w:rPr>
              <w:t>缴纳的养老保险证明。否则，将由评标委员会作否决投标处理。</w:t>
            </w:r>
          </w:p>
          <w:p w14:paraId="678A0BC8">
            <w:pPr>
              <w:autoSpaceDE w:val="0"/>
              <w:autoSpaceDN w:val="0"/>
              <w:adjustRightInd w:val="0"/>
              <w:snapToGrid w:val="0"/>
              <w:spacing w:line="400" w:lineRule="exact"/>
              <w:ind w:firstLine="415" w:firstLineChars="198"/>
              <w:rPr>
                <w:highlight w:val="none"/>
              </w:rPr>
            </w:pPr>
            <w:r>
              <w:rPr>
                <w:rFonts w:hint="eastAsia"/>
                <w:highlight w:val="none"/>
              </w:rPr>
              <w:t>特别说明：</w:t>
            </w:r>
          </w:p>
          <w:p w14:paraId="2E7EEBDE">
            <w:pPr>
              <w:autoSpaceDE w:val="0"/>
              <w:autoSpaceDN w:val="0"/>
              <w:adjustRightInd w:val="0"/>
              <w:snapToGrid w:val="0"/>
              <w:spacing w:line="400" w:lineRule="exact"/>
              <w:ind w:firstLine="415" w:firstLineChars="198"/>
              <w:rPr>
                <w:highlight w:val="none"/>
              </w:rPr>
            </w:pPr>
            <w:r>
              <w:rPr>
                <w:rFonts w:hint="eastAsia"/>
                <w:highlight w:val="none"/>
              </w:rPr>
              <w:t>（</w:t>
            </w:r>
            <w:r>
              <w:rPr>
                <w:highlight w:val="none"/>
              </w:rPr>
              <w:t>1）上述1～5</w:t>
            </w:r>
            <w:r>
              <w:rPr>
                <w:rFonts w:hint="eastAsia"/>
                <w:highlight w:val="none"/>
              </w:rPr>
              <w:t>条所须提交的相关证明材料均为扫描件（扫描件须清晰可辨），且均应加盖投标人合法的鲜章并编入投标文件资格审查部分中，</w:t>
            </w:r>
            <w:r>
              <w:rPr>
                <w:highlight w:val="none"/>
              </w:rPr>
              <w:t>上述1～5</w:t>
            </w:r>
            <w:r>
              <w:rPr>
                <w:rFonts w:hint="eastAsia"/>
                <w:highlight w:val="none"/>
              </w:rPr>
              <w:t>条，有一条不满足则投标文件由评标委员会作否决投标处理。</w:t>
            </w:r>
          </w:p>
          <w:p w14:paraId="52ACA334">
            <w:pPr>
              <w:autoSpaceDE w:val="0"/>
              <w:autoSpaceDN w:val="0"/>
              <w:adjustRightInd w:val="0"/>
              <w:snapToGrid w:val="0"/>
              <w:spacing w:line="400" w:lineRule="exact"/>
              <w:ind w:firstLine="415" w:firstLineChars="198"/>
              <w:rPr>
                <w:highlight w:val="none"/>
              </w:rPr>
            </w:pPr>
            <w:r>
              <w:rPr>
                <w:rFonts w:hint="eastAsia"/>
                <w:highlight w:val="none"/>
              </w:rPr>
              <w:t>（2）投标人须自行承诺其提供的上述相关证明材料真实有效，不存在弄虚作假情形（格式见第八章投标文件格式）。采购人在合同签订前均有权对投标人提供的资料（如业绩截图信息等相关证明材料）进行核实，若发现弄虚作假，取消其中标资格，并按相关法律法规报采购投标监督部门处理，其投标保证金不予退还，投标人承担因此造成的相关责任并赔偿相应损失。</w:t>
            </w:r>
          </w:p>
          <w:p w14:paraId="586163C6">
            <w:pPr>
              <w:spacing w:line="400" w:lineRule="exact"/>
              <w:ind w:firstLine="420" w:firstLineChars="200"/>
              <w:rPr>
                <w:rFonts w:ascii="宋体" w:hAnsi="宋体"/>
                <w:bCs/>
                <w:kern w:val="0"/>
                <w:szCs w:val="21"/>
                <w:highlight w:val="none"/>
              </w:rPr>
            </w:pPr>
            <w:r>
              <w:rPr>
                <w:rFonts w:hint="eastAsia" w:ascii="宋体" w:hAnsi="宋体"/>
                <w:bCs/>
                <w:kern w:val="0"/>
                <w:szCs w:val="21"/>
                <w:highlight w:val="none"/>
              </w:rPr>
              <w:t>（3）</w:t>
            </w:r>
            <w:r>
              <w:rPr>
                <w:rFonts w:ascii="宋体" w:hAnsi="宋体"/>
                <w:bCs/>
                <w:kern w:val="0"/>
                <w:szCs w:val="21"/>
                <w:highlight w:val="none"/>
              </w:rPr>
              <w:t>本</w:t>
            </w:r>
            <w:r>
              <w:rPr>
                <w:rFonts w:hint="eastAsia" w:ascii="宋体" w:hAnsi="宋体"/>
                <w:bCs/>
                <w:kern w:val="0"/>
                <w:szCs w:val="21"/>
                <w:highlight w:val="none"/>
              </w:rPr>
              <w:t>采购</w:t>
            </w:r>
            <w:r>
              <w:rPr>
                <w:rFonts w:ascii="宋体" w:hAnsi="宋体"/>
                <w:bCs/>
                <w:kern w:val="0"/>
                <w:szCs w:val="21"/>
                <w:highlight w:val="none"/>
              </w:rPr>
              <w:t>文件中所要求的人员</w:t>
            </w:r>
            <w:r>
              <w:rPr>
                <w:rFonts w:hint="eastAsia" w:ascii="宋体" w:hAnsi="宋体"/>
                <w:bCs/>
                <w:kern w:val="0"/>
                <w:szCs w:val="21"/>
                <w:highlight w:val="none"/>
              </w:rPr>
              <w:t>养老保险</w:t>
            </w:r>
            <w:r>
              <w:rPr>
                <w:rFonts w:ascii="宋体" w:hAnsi="宋体"/>
                <w:bCs/>
                <w:kern w:val="0"/>
                <w:szCs w:val="21"/>
                <w:highlight w:val="none"/>
              </w:rPr>
              <w:t>证明要求如下：</w:t>
            </w:r>
          </w:p>
          <w:p w14:paraId="3CEDDD87">
            <w:pPr>
              <w:spacing w:line="400" w:lineRule="exact"/>
              <w:ind w:firstLine="420" w:firstLineChars="200"/>
              <w:rPr>
                <w:highlight w:val="none"/>
              </w:rPr>
            </w:pPr>
            <w:r>
              <w:rPr>
                <w:rFonts w:hint="eastAsia" w:ascii="宋体" w:hAnsi="宋体"/>
                <w:bCs/>
                <w:snapToGrid w:val="0"/>
                <w:kern w:val="0"/>
                <w:szCs w:val="21"/>
                <w:highlight w:val="none"/>
              </w:rPr>
              <w:t>项目经理、</w:t>
            </w:r>
            <w:r>
              <w:rPr>
                <w:rFonts w:ascii="宋体" w:hAnsi="宋体"/>
                <w:bCs/>
                <w:snapToGrid w:val="0"/>
                <w:kern w:val="0"/>
                <w:szCs w:val="21"/>
                <w:highlight w:val="none"/>
              </w:rPr>
              <w:t>项目技术负责人和委托代理人的</w:t>
            </w:r>
            <w:r>
              <w:rPr>
                <w:rFonts w:hint="eastAsia" w:ascii="宋体" w:hAnsi="宋体"/>
                <w:bCs/>
                <w:snapToGrid w:val="0"/>
                <w:kern w:val="0"/>
                <w:szCs w:val="21"/>
                <w:highlight w:val="none"/>
              </w:rPr>
              <w:t>连续养老保险</w:t>
            </w:r>
            <w:r>
              <w:rPr>
                <w:rFonts w:ascii="宋体" w:hAnsi="宋体"/>
                <w:bCs/>
                <w:snapToGrid w:val="0"/>
                <w:kern w:val="0"/>
                <w:szCs w:val="21"/>
                <w:highlight w:val="none"/>
              </w:rPr>
              <w:t>证明期限为</w:t>
            </w:r>
            <w:r>
              <w:rPr>
                <w:rFonts w:hint="eastAsia" w:ascii="宋体" w:hAnsi="宋体"/>
                <w:bCs/>
                <w:snapToGrid w:val="0"/>
                <w:kern w:val="0"/>
                <w:szCs w:val="21"/>
                <w:highlight w:val="none"/>
              </w:rPr>
              <w:t>开标前6个月</w:t>
            </w:r>
            <w:r>
              <w:rPr>
                <w:rFonts w:hint="eastAsia" w:ascii="宋体" w:hAnsi="宋体"/>
                <w:bCs/>
                <w:snapToGrid w:val="0"/>
                <w:kern w:val="0"/>
                <w:szCs w:val="21"/>
                <w:highlight w:val="none"/>
                <w:u w:val="single"/>
              </w:rPr>
              <w:t>202</w:t>
            </w:r>
            <w:r>
              <w:rPr>
                <w:rFonts w:hint="eastAsia" w:ascii="宋体" w:hAnsi="宋体"/>
                <w:bCs/>
                <w:snapToGrid w:val="0"/>
                <w:kern w:val="0"/>
                <w:szCs w:val="21"/>
                <w:highlight w:val="none"/>
                <w:u w:val="single"/>
                <w:lang w:val="en-US" w:eastAsia="zh-CN"/>
              </w:rPr>
              <w:t>4</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11</w:t>
            </w:r>
            <w:r>
              <w:rPr>
                <w:rFonts w:ascii="宋体" w:hAnsi="宋体"/>
                <w:bCs/>
                <w:snapToGrid w:val="0"/>
                <w:kern w:val="0"/>
                <w:szCs w:val="21"/>
                <w:highlight w:val="none"/>
              </w:rPr>
              <w:t>月至</w:t>
            </w:r>
            <w:r>
              <w:rPr>
                <w:rFonts w:hint="eastAsia" w:ascii="宋体" w:hAnsi="宋体"/>
                <w:bCs/>
                <w:snapToGrid w:val="0"/>
                <w:kern w:val="0"/>
                <w:szCs w:val="21"/>
                <w:highlight w:val="none"/>
                <w:u w:val="single"/>
              </w:rPr>
              <w:t>202</w:t>
            </w:r>
            <w:r>
              <w:rPr>
                <w:rFonts w:hint="eastAsia" w:ascii="宋体" w:hAnsi="宋体"/>
                <w:bCs/>
                <w:snapToGrid w:val="0"/>
                <w:kern w:val="0"/>
                <w:szCs w:val="21"/>
                <w:highlight w:val="none"/>
                <w:u w:val="single"/>
                <w:lang w:val="en-US" w:eastAsia="zh-CN"/>
              </w:rPr>
              <w:t>5</w:t>
            </w:r>
            <w:r>
              <w:rPr>
                <w:rFonts w:ascii="宋体" w:hAnsi="宋体"/>
                <w:bCs/>
                <w:snapToGrid w:val="0"/>
                <w:kern w:val="0"/>
                <w:szCs w:val="21"/>
                <w:highlight w:val="none"/>
              </w:rPr>
              <w:t>年</w:t>
            </w:r>
            <w:r>
              <w:rPr>
                <w:rFonts w:hint="eastAsia" w:ascii="宋体" w:hAnsi="宋体"/>
                <w:bCs/>
                <w:snapToGrid w:val="0"/>
                <w:kern w:val="0"/>
                <w:szCs w:val="21"/>
                <w:highlight w:val="none"/>
                <w:u w:val="single"/>
                <w:lang w:val="en-US" w:eastAsia="zh-CN"/>
              </w:rPr>
              <w:t>4</w:t>
            </w:r>
            <w:r>
              <w:rPr>
                <w:rFonts w:ascii="宋体" w:hAnsi="宋体"/>
                <w:bCs/>
                <w:snapToGrid w:val="0"/>
                <w:kern w:val="0"/>
                <w:szCs w:val="21"/>
                <w:highlight w:val="none"/>
              </w:rPr>
              <w:t>月</w:t>
            </w:r>
            <w:r>
              <w:rPr>
                <w:rFonts w:hint="eastAsia" w:ascii="宋体" w:hAnsi="宋体"/>
                <w:bCs/>
                <w:szCs w:val="21"/>
                <w:highlight w:val="none"/>
              </w:rPr>
              <w:t>。提供的养老保险参保证明须体现上述人员的姓名、身份证号（或社保号）、单位名称、单位编号（或单位社保编号）、本单位参保时间（或起始参保时间），并带有社保部门公章。</w:t>
            </w:r>
          </w:p>
        </w:tc>
      </w:tr>
      <w:tr w14:paraId="5B19C4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DAA548E">
            <w:pPr>
              <w:snapToGrid w:val="0"/>
              <w:spacing w:line="400" w:lineRule="exact"/>
              <w:jc w:val="center"/>
              <w:rPr>
                <w:rFonts w:ascii="宋体" w:hAnsi="宋体"/>
                <w:kern w:val="0"/>
                <w:szCs w:val="21"/>
              </w:rPr>
            </w:pPr>
            <w:r>
              <w:rPr>
                <w:rFonts w:ascii="宋体" w:hAnsi="宋体"/>
                <w:kern w:val="0"/>
                <w:szCs w:val="21"/>
              </w:rPr>
              <w:t>1.4.2</w:t>
            </w:r>
          </w:p>
        </w:tc>
        <w:tc>
          <w:tcPr>
            <w:tcW w:w="1451" w:type="dxa"/>
            <w:vAlign w:val="center"/>
          </w:tcPr>
          <w:p w14:paraId="71CDA524">
            <w:pPr>
              <w:snapToGrid w:val="0"/>
              <w:spacing w:line="400" w:lineRule="exact"/>
              <w:jc w:val="center"/>
              <w:rPr>
                <w:rFonts w:ascii="宋体" w:hAnsi="宋体"/>
                <w:kern w:val="0"/>
                <w:szCs w:val="21"/>
              </w:rPr>
            </w:pPr>
            <w:r>
              <w:rPr>
                <w:rFonts w:ascii="宋体" w:hAnsi="宋体"/>
                <w:kern w:val="0"/>
                <w:szCs w:val="21"/>
              </w:rPr>
              <w:t>是否接受联合体投标</w:t>
            </w:r>
          </w:p>
        </w:tc>
        <w:tc>
          <w:tcPr>
            <w:tcW w:w="6683" w:type="dxa"/>
            <w:vAlign w:val="center"/>
          </w:tcPr>
          <w:p w14:paraId="3A4DEF73">
            <w:pPr>
              <w:snapToGrid w:val="0"/>
              <w:spacing w:line="400" w:lineRule="exact"/>
              <w:ind w:firstLine="420" w:firstLineChars="200"/>
              <w:rPr>
                <w:rFonts w:ascii="宋体" w:hAnsi="宋体"/>
                <w:kern w:val="0"/>
                <w:szCs w:val="21"/>
              </w:rPr>
            </w:pPr>
            <w:r>
              <w:rPr>
                <w:rFonts w:ascii="宋体" w:hAnsi="宋体"/>
                <w:kern w:val="0"/>
                <w:szCs w:val="21"/>
              </w:rPr>
              <w:t>不接受</w:t>
            </w:r>
          </w:p>
        </w:tc>
      </w:tr>
      <w:tr w14:paraId="7B0343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D5F1F4A">
            <w:pPr>
              <w:snapToGrid w:val="0"/>
              <w:spacing w:line="400" w:lineRule="exact"/>
              <w:jc w:val="center"/>
              <w:rPr>
                <w:rFonts w:ascii="宋体" w:hAnsi="宋体"/>
                <w:kern w:val="0"/>
                <w:szCs w:val="21"/>
              </w:rPr>
            </w:pPr>
            <w:r>
              <w:rPr>
                <w:rFonts w:ascii="宋体" w:hAnsi="宋体"/>
                <w:kern w:val="0"/>
                <w:szCs w:val="21"/>
              </w:rPr>
              <w:t>1.</w:t>
            </w:r>
            <w:r>
              <w:rPr>
                <w:rFonts w:hint="eastAsia" w:ascii="宋体" w:hAnsi="宋体"/>
                <w:kern w:val="0"/>
                <w:szCs w:val="21"/>
              </w:rPr>
              <w:t>4</w:t>
            </w:r>
            <w:r>
              <w:rPr>
                <w:rFonts w:ascii="宋体" w:hAnsi="宋体"/>
                <w:kern w:val="0"/>
                <w:szCs w:val="21"/>
              </w:rPr>
              <w:t>.</w:t>
            </w:r>
            <w:r>
              <w:rPr>
                <w:rFonts w:hint="eastAsia" w:ascii="宋体" w:hAnsi="宋体"/>
                <w:kern w:val="0"/>
                <w:szCs w:val="21"/>
              </w:rPr>
              <w:t>3</w:t>
            </w:r>
          </w:p>
        </w:tc>
        <w:tc>
          <w:tcPr>
            <w:tcW w:w="1451" w:type="dxa"/>
            <w:vAlign w:val="center"/>
          </w:tcPr>
          <w:p w14:paraId="778FD754">
            <w:pPr>
              <w:snapToGrid w:val="0"/>
              <w:spacing w:line="400" w:lineRule="exact"/>
              <w:jc w:val="center"/>
              <w:rPr>
                <w:rFonts w:ascii="宋体" w:hAnsi="宋体"/>
                <w:kern w:val="0"/>
                <w:szCs w:val="21"/>
              </w:rPr>
            </w:pPr>
            <w:r>
              <w:rPr>
                <w:rFonts w:ascii="宋体" w:hAnsi="宋体"/>
                <w:kern w:val="0"/>
                <w:szCs w:val="21"/>
              </w:rPr>
              <w:t>踏勘现场</w:t>
            </w:r>
          </w:p>
        </w:tc>
        <w:tc>
          <w:tcPr>
            <w:tcW w:w="6683" w:type="dxa"/>
            <w:vAlign w:val="center"/>
          </w:tcPr>
          <w:p w14:paraId="58705E72">
            <w:pPr>
              <w:snapToGrid w:val="0"/>
              <w:spacing w:line="400" w:lineRule="exact"/>
              <w:ind w:firstLine="420" w:firstLineChars="200"/>
              <w:rPr>
                <w:rFonts w:ascii="宋体" w:hAnsi="宋体"/>
                <w:kern w:val="0"/>
                <w:szCs w:val="21"/>
              </w:rPr>
            </w:pPr>
            <w:r>
              <w:rPr>
                <w:rFonts w:ascii="宋体" w:hAnsi="宋体"/>
                <w:kern w:val="0"/>
                <w:szCs w:val="21"/>
              </w:rPr>
              <w:t>不组织</w:t>
            </w:r>
          </w:p>
        </w:tc>
      </w:tr>
      <w:tr w14:paraId="31C426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9A83A49">
            <w:pPr>
              <w:snapToGrid w:val="0"/>
              <w:spacing w:line="400" w:lineRule="exact"/>
              <w:jc w:val="center"/>
              <w:rPr>
                <w:rFonts w:ascii="宋体" w:hAnsi="宋体"/>
                <w:kern w:val="0"/>
                <w:szCs w:val="21"/>
              </w:rPr>
            </w:pPr>
            <w:r>
              <w:rPr>
                <w:rFonts w:ascii="宋体" w:hAnsi="宋体"/>
                <w:kern w:val="0"/>
                <w:szCs w:val="21"/>
              </w:rPr>
              <w:t>1.</w:t>
            </w:r>
            <w:r>
              <w:rPr>
                <w:rFonts w:hint="eastAsia" w:ascii="宋体" w:hAnsi="宋体"/>
                <w:kern w:val="0"/>
                <w:szCs w:val="21"/>
              </w:rPr>
              <w:t>4</w:t>
            </w:r>
            <w:r>
              <w:rPr>
                <w:rFonts w:ascii="宋体" w:hAnsi="宋体"/>
                <w:kern w:val="0"/>
                <w:szCs w:val="21"/>
              </w:rPr>
              <w:t>.</w:t>
            </w:r>
            <w:r>
              <w:rPr>
                <w:rFonts w:hint="eastAsia" w:ascii="宋体" w:hAnsi="宋体"/>
                <w:kern w:val="0"/>
                <w:szCs w:val="21"/>
              </w:rPr>
              <w:t>4</w:t>
            </w:r>
          </w:p>
        </w:tc>
        <w:tc>
          <w:tcPr>
            <w:tcW w:w="1451" w:type="dxa"/>
            <w:vAlign w:val="center"/>
          </w:tcPr>
          <w:p w14:paraId="4BD6928E">
            <w:pPr>
              <w:snapToGrid w:val="0"/>
              <w:spacing w:line="400" w:lineRule="exact"/>
              <w:jc w:val="center"/>
              <w:rPr>
                <w:rFonts w:ascii="宋体" w:hAnsi="宋体"/>
                <w:kern w:val="0"/>
                <w:szCs w:val="21"/>
              </w:rPr>
            </w:pPr>
            <w:r>
              <w:rPr>
                <w:rFonts w:ascii="宋体" w:hAnsi="宋体"/>
                <w:kern w:val="0"/>
                <w:szCs w:val="21"/>
              </w:rPr>
              <w:t>投标预备会</w:t>
            </w:r>
          </w:p>
        </w:tc>
        <w:tc>
          <w:tcPr>
            <w:tcW w:w="6683" w:type="dxa"/>
            <w:vAlign w:val="center"/>
          </w:tcPr>
          <w:p w14:paraId="553752F5">
            <w:pPr>
              <w:snapToGrid w:val="0"/>
              <w:spacing w:line="400" w:lineRule="exact"/>
              <w:ind w:firstLine="420" w:firstLineChars="200"/>
              <w:rPr>
                <w:rFonts w:ascii="宋体" w:hAnsi="宋体"/>
                <w:kern w:val="0"/>
                <w:szCs w:val="21"/>
              </w:rPr>
            </w:pPr>
            <w:r>
              <w:rPr>
                <w:rFonts w:ascii="宋体" w:hAnsi="宋体"/>
                <w:kern w:val="0"/>
                <w:szCs w:val="21"/>
              </w:rPr>
              <w:t>不召开</w:t>
            </w:r>
          </w:p>
        </w:tc>
      </w:tr>
      <w:tr w14:paraId="6F99BE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7E6A3A3">
            <w:pPr>
              <w:snapToGrid w:val="0"/>
              <w:spacing w:line="400" w:lineRule="exact"/>
              <w:jc w:val="center"/>
              <w:rPr>
                <w:rFonts w:ascii="宋体" w:hAnsi="宋体"/>
                <w:kern w:val="0"/>
                <w:szCs w:val="21"/>
              </w:rPr>
            </w:pPr>
            <w:r>
              <w:rPr>
                <w:rFonts w:ascii="宋体" w:hAnsi="宋体"/>
                <w:kern w:val="0"/>
                <w:szCs w:val="21"/>
              </w:rPr>
              <w:t>1.</w:t>
            </w:r>
            <w:r>
              <w:rPr>
                <w:rFonts w:hint="eastAsia" w:ascii="宋体" w:hAnsi="宋体"/>
                <w:kern w:val="0"/>
                <w:szCs w:val="21"/>
              </w:rPr>
              <w:t>5</w:t>
            </w:r>
          </w:p>
        </w:tc>
        <w:tc>
          <w:tcPr>
            <w:tcW w:w="1451" w:type="dxa"/>
            <w:vAlign w:val="center"/>
          </w:tcPr>
          <w:p w14:paraId="430CF77E">
            <w:pPr>
              <w:snapToGrid w:val="0"/>
              <w:spacing w:line="400" w:lineRule="exact"/>
              <w:jc w:val="center"/>
              <w:rPr>
                <w:rFonts w:ascii="宋体" w:hAnsi="宋体"/>
                <w:kern w:val="0"/>
                <w:szCs w:val="21"/>
              </w:rPr>
            </w:pPr>
            <w:r>
              <w:rPr>
                <w:rFonts w:ascii="宋体" w:hAnsi="宋体"/>
                <w:kern w:val="0"/>
                <w:szCs w:val="21"/>
              </w:rPr>
              <w:t>分包</w:t>
            </w:r>
          </w:p>
        </w:tc>
        <w:tc>
          <w:tcPr>
            <w:tcW w:w="6683" w:type="dxa"/>
            <w:vAlign w:val="center"/>
          </w:tcPr>
          <w:p w14:paraId="261C0822">
            <w:pPr>
              <w:snapToGrid w:val="0"/>
              <w:spacing w:line="400" w:lineRule="exact"/>
              <w:ind w:firstLine="420" w:firstLineChars="200"/>
            </w:pPr>
            <w:r>
              <w:t>不允许</w:t>
            </w:r>
          </w:p>
        </w:tc>
      </w:tr>
      <w:tr w14:paraId="6730A1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2125804">
            <w:pPr>
              <w:snapToGrid w:val="0"/>
              <w:spacing w:line="400" w:lineRule="exact"/>
              <w:jc w:val="center"/>
              <w:rPr>
                <w:rFonts w:ascii="宋体" w:hAnsi="宋体"/>
                <w:kern w:val="0"/>
                <w:szCs w:val="21"/>
              </w:rPr>
            </w:pPr>
            <w:r>
              <w:rPr>
                <w:rFonts w:hint="eastAsia" w:ascii="宋体" w:hAnsi="宋体"/>
                <w:kern w:val="0"/>
                <w:szCs w:val="21"/>
              </w:rPr>
              <w:t>2</w:t>
            </w:r>
          </w:p>
        </w:tc>
        <w:tc>
          <w:tcPr>
            <w:tcW w:w="1451" w:type="dxa"/>
            <w:vAlign w:val="center"/>
          </w:tcPr>
          <w:p w14:paraId="0F7B6E34">
            <w:pPr>
              <w:snapToGrid w:val="0"/>
              <w:spacing w:after="15" w:afterLines="5" w:line="400" w:lineRule="exact"/>
              <w:jc w:val="center"/>
              <w:rPr>
                <w:rFonts w:ascii="宋体" w:hAnsi="宋体"/>
                <w:kern w:val="0"/>
                <w:szCs w:val="21"/>
              </w:rPr>
            </w:pPr>
            <w:r>
              <w:rPr>
                <w:rFonts w:ascii="宋体" w:hAnsi="宋体"/>
                <w:kern w:val="0"/>
                <w:szCs w:val="21"/>
              </w:rPr>
              <w:t>构成</w:t>
            </w:r>
            <w:r>
              <w:rPr>
                <w:rFonts w:hint="eastAsia" w:ascii="宋体" w:hAnsi="宋体"/>
                <w:kern w:val="0"/>
                <w:szCs w:val="21"/>
              </w:rPr>
              <w:t>采购</w:t>
            </w:r>
            <w:r>
              <w:rPr>
                <w:rFonts w:ascii="宋体" w:hAnsi="宋体"/>
                <w:kern w:val="0"/>
                <w:szCs w:val="21"/>
              </w:rPr>
              <w:t>文件的其他材料</w:t>
            </w:r>
          </w:p>
        </w:tc>
        <w:tc>
          <w:tcPr>
            <w:tcW w:w="6683" w:type="dxa"/>
            <w:vAlign w:val="center"/>
          </w:tcPr>
          <w:p w14:paraId="73072B7C">
            <w:pPr>
              <w:snapToGrid w:val="0"/>
              <w:spacing w:line="400" w:lineRule="exact"/>
              <w:ind w:firstLine="420" w:firstLineChars="200"/>
              <w:rPr>
                <w:rFonts w:ascii="宋体" w:hAnsi="宋体"/>
                <w:szCs w:val="21"/>
              </w:rPr>
            </w:pPr>
            <w:r>
              <w:rPr>
                <w:rFonts w:hint="eastAsia" w:ascii="宋体" w:hAnsi="宋体"/>
                <w:szCs w:val="21"/>
              </w:rPr>
              <w:t>采购</w:t>
            </w:r>
            <w:r>
              <w:rPr>
                <w:rFonts w:ascii="宋体" w:hAnsi="宋体"/>
                <w:szCs w:val="21"/>
              </w:rPr>
              <w:t>人发出的</w:t>
            </w:r>
            <w:r>
              <w:rPr>
                <w:rFonts w:hint="eastAsia" w:ascii="宋体" w:hAnsi="宋体"/>
                <w:szCs w:val="21"/>
              </w:rPr>
              <w:t>澄清</w:t>
            </w:r>
            <w:r>
              <w:rPr>
                <w:rFonts w:ascii="宋体" w:hAnsi="宋体"/>
                <w:szCs w:val="21"/>
              </w:rPr>
              <w:t>及</w:t>
            </w:r>
            <w:r>
              <w:rPr>
                <w:rFonts w:hint="eastAsia" w:ascii="宋体" w:hAnsi="宋体"/>
                <w:szCs w:val="21"/>
              </w:rPr>
              <w:t>修改</w:t>
            </w:r>
          </w:p>
        </w:tc>
      </w:tr>
      <w:tr w14:paraId="5D242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9B0E2C1">
            <w:pPr>
              <w:snapToGrid w:val="0"/>
              <w:spacing w:line="400" w:lineRule="exact"/>
              <w:jc w:val="center"/>
              <w:rPr>
                <w:rFonts w:ascii="宋体" w:hAnsi="宋体"/>
                <w:kern w:val="0"/>
                <w:szCs w:val="21"/>
              </w:rPr>
            </w:pPr>
            <w:r>
              <w:rPr>
                <w:rFonts w:hint="eastAsia" w:ascii="宋体" w:hAnsi="宋体"/>
                <w:kern w:val="0"/>
                <w:szCs w:val="21"/>
              </w:rPr>
              <w:t>2</w:t>
            </w:r>
            <w:r>
              <w:rPr>
                <w:rFonts w:ascii="宋体" w:hAnsi="宋体"/>
                <w:kern w:val="0"/>
                <w:szCs w:val="21"/>
              </w:rPr>
              <w:t>.</w:t>
            </w:r>
            <w:r>
              <w:rPr>
                <w:rFonts w:hint="eastAsia" w:ascii="宋体" w:hAnsi="宋体"/>
                <w:kern w:val="0"/>
                <w:szCs w:val="21"/>
              </w:rPr>
              <w:t>1</w:t>
            </w:r>
          </w:p>
        </w:tc>
        <w:tc>
          <w:tcPr>
            <w:tcW w:w="1451" w:type="dxa"/>
            <w:tcBorders>
              <w:bottom w:val="single" w:color="auto" w:sz="4" w:space="0"/>
            </w:tcBorders>
            <w:vAlign w:val="center"/>
          </w:tcPr>
          <w:p w14:paraId="64833904">
            <w:pPr>
              <w:snapToGrid w:val="0"/>
              <w:spacing w:line="400" w:lineRule="exact"/>
              <w:jc w:val="center"/>
              <w:rPr>
                <w:rFonts w:ascii="宋体" w:hAnsi="宋体"/>
                <w:kern w:val="0"/>
                <w:szCs w:val="21"/>
              </w:rPr>
            </w:pPr>
            <w:r>
              <w:rPr>
                <w:rFonts w:ascii="宋体" w:hAnsi="宋体"/>
                <w:kern w:val="0"/>
                <w:szCs w:val="21"/>
              </w:rPr>
              <w:t>投标人对</w:t>
            </w:r>
            <w:r>
              <w:rPr>
                <w:rFonts w:hint="eastAsia" w:ascii="宋体" w:hAnsi="宋体"/>
                <w:kern w:val="0"/>
                <w:szCs w:val="21"/>
              </w:rPr>
              <w:t>采购</w:t>
            </w:r>
            <w:r>
              <w:rPr>
                <w:rFonts w:ascii="宋体" w:hAnsi="宋体"/>
                <w:kern w:val="0"/>
                <w:szCs w:val="21"/>
              </w:rPr>
              <w:t>文件提出</w:t>
            </w:r>
            <w:r>
              <w:rPr>
                <w:rFonts w:hint="eastAsia" w:ascii="宋体" w:hAnsi="宋体"/>
                <w:kern w:val="0"/>
                <w:szCs w:val="21"/>
              </w:rPr>
              <w:t>疑问</w:t>
            </w:r>
            <w:r>
              <w:rPr>
                <w:rFonts w:ascii="宋体" w:hAnsi="宋体"/>
                <w:kern w:val="0"/>
                <w:szCs w:val="21"/>
              </w:rPr>
              <w:t>的截止时间</w:t>
            </w:r>
          </w:p>
        </w:tc>
        <w:tc>
          <w:tcPr>
            <w:tcW w:w="6683" w:type="dxa"/>
            <w:vAlign w:val="center"/>
          </w:tcPr>
          <w:p w14:paraId="202A968F">
            <w:pPr>
              <w:snapToGrid w:val="0"/>
              <w:spacing w:line="400" w:lineRule="exact"/>
              <w:ind w:firstLine="420" w:firstLineChars="200"/>
              <w:rPr>
                <w:rFonts w:ascii="宋体" w:hAnsi="宋体"/>
                <w:kern w:val="0"/>
                <w:szCs w:val="21"/>
              </w:rPr>
            </w:pPr>
            <w:r>
              <w:rPr>
                <w:rFonts w:ascii="宋体" w:hAnsi="宋体"/>
                <w:kern w:val="0"/>
                <w:szCs w:val="21"/>
              </w:rPr>
              <w:t>投标人应仔细</w:t>
            </w:r>
            <w:r>
              <w:rPr>
                <w:rFonts w:hint="eastAsia" w:ascii="宋体" w:hAnsi="宋体"/>
                <w:kern w:val="0"/>
                <w:szCs w:val="21"/>
              </w:rPr>
              <w:t>阅读采购</w:t>
            </w:r>
            <w:r>
              <w:rPr>
                <w:rFonts w:ascii="宋体" w:hAnsi="宋体"/>
                <w:kern w:val="0"/>
                <w:szCs w:val="21"/>
              </w:rPr>
              <w:t>文件</w:t>
            </w:r>
            <w:r>
              <w:rPr>
                <w:rFonts w:hint="eastAsia" w:ascii="宋体" w:hAnsi="宋体"/>
                <w:kern w:val="0"/>
                <w:szCs w:val="21"/>
              </w:rPr>
              <w:t>及附件</w:t>
            </w:r>
            <w:r>
              <w:rPr>
                <w:rFonts w:ascii="宋体" w:hAnsi="宋体"/>
                <w:kern w:val="0"/>
                <w:szCs w:val="21"/>
              </w:rPr>
              <w:t>的所有内容，如有文字表述不清，图纸尺寸标注不明以及存在错、漏、缺、概念模糊和有可能出现歧义或理解上的偏差的内容等应</w:t>
            </w:r>
            <w:r>
              <w:rPr>
                <w:rFonts w:hint="eastAsia" w:ascii="宋体" w:hAnsi="宋体" w:cs="宋体"/>
                <w:kern w:val="0"/>
                <w:szCs w:val="21"/>
              </w:rPr>
              <w:t>在采购公告规定的时间</w:t>
            </w:r>
            <w:r>
              <w:rPr>
                <w:rFonts w:ascii="宋体" w:hAnsi="宋体"/>
                <w:kern w:val="0"/>
                <w:szCs w:val="21"/>
              </w:rPr>
              <w:t>前</w:t>
            </w:r>
            <w:r>
              <w:rPr>
                <w:rFonts w:hint="eastAsia" w:ascii="宋体" w:hAnsi="宋体"/>
                <w:kern w:val="0"/>
                <w:szCs w:val="21"/>
              </w:rPr>
              <w:t>书面</w:t>
            </w:r>
            <w:r>
              <w:rPr>
                <w:rFonts w:ascii="宋体" w:hAnsi="宋体"/>
                <w:kern w:val="0"/>
                <w:szCs w:val="21"/>
              </w:rPr>
              <w:t>提交。</w:t>
            </w:r>
            <w:r>
              <w:rPr>
                <w:rFonts w:hint="eastAsia" w:ascii="宋体" w:hAnsi="宋体"/>
                <w:kern w:val="0"/>
                <w:szCs w:val="21"/>
              </w:rPr>
              <w:t>（提示：公告公示后第二天结束后，不再接收任何书面质疑）</w:t>
            </w:r>
          </w:p>
        </w:tc>
      </w:tr>
      <w:tr w14:paraId="26EAE9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5" w:hRule="atLeast"/>
          <w:jc w:val="center"/>
        </w:trPr>
        <w:tc>
          <w:tcPr>
            <w:tcW w:w="1240" w:type="dxa"/>
            <w:vMerge w:val="restart"/>
            <w:vAlign w:val="center"/>
          </w:tcPr>
          <w:p w14:paraId="64767B80">
            <w:pPr>
              <w:snapToGrid w:val="0"/>
              <w:spacing w:line="400" w:lineRule="exact"/>
              <w:jc w:val="center"/>
              <w:rPr>
                <w:rFonts w:ascii="宋体" w:hAnsi="宋体"/>
                <w:kern w:val="0"/>
                <w:szCs w:val="21"/>
              </w:rPr>
            </w:pPr>
            <w:r>
              <w:rPr>
                <w:rFonts w:ascii="宋体" w:hAnsi="宋体"/>
                <w:kern w:val="0"/>
                <w:szCs w:val="21"/>
              </w:rPr>
              <w:t>2.2</w:t>
            </w:r>
          </w:p>
        </w:tc>
        <w:tc>
          <w:tcPr>
            <w:tcW w:w="1451" w:type="dxa"/>
            <w:tcBorders>
              <w:top w:val="single" w:color="auto" w:sz="4" w:space="0"/>
            </w:tcBorders>
            <w:vAlign w:val="center"/>
          </w:tcPr>
          <w:p w14:paraId="605B27CD">
            <w:pPr>
              <w:snapToGrid w:val="0"/>
              <w:spacing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人对</w:t>
            </w:r>
            <w:r>
              <w:rPr>
                <w:rFonts w:hint="eastAsia" w:ascii="宋体" w:hAnsi="宋体"/>
                <w:kern w:val="0"/>
                <w:szCs w:val="21"/>
              </w:rPr>
              <w:t>采购</w:t>
            </w:r>
            <w:r>
              <w:rPr>
                <w:rFonts w:ascii="宋体" w:hAnsi="宋体"/>
                <w:kern w:val="0"/>
                <w:szCs w:val="21"/>
              </w:rPr>
              <w:t>文件澄清的截止时间</w:t>
            </w:r>
          </w:p>
        </w:tc>
        <w:tc>
          <w:tcPr>
            <w:tcW w:w="6683" w:type="dxa"/>
            <w:vAlign w:val="center"/>
          </w:tcPr>
          <w:p w14:paraId="0493A6F0">
            <w:pPr>
              <w:snapToGrid w:val="0"/>
              <w:spacing w:line="400" w:lineRule="exact"/>
              <w:ind w:firstLine="420" w:firstLineChars="200"/>
              <w:rPr>
                <w:rFonts w:ascii="宋体" w:hAnsi="宋体"/>
                <w:snapToGrid w:val="0"/>
                <w:kern w:val="0"/>
                <w:szCs w:val="21"/>
              </w:rPr>
            </w:pPr>
            <w:r>
              <w:rPr>
                <w:rFonts w:hint="eastAsia" w:ascii="宋体" w:hAnsi="宋体"/>
                <w:szCs w:val="21"/>
              </w:rPr>
              <w:t>采购人应在采购公告公示第三天</w:t>
            </w:r>
            <w:r>
              <w:rPr>
                <w:rFonts w:ascii="宋体" w:hAnsi="宋体"/>
                <w:szCs w:val="21"/>
              </w:rPr>
              <w:t>，</w:t>
            </w:r>
            <w:r>
              <w:rPr>
                <w:rFonts w:ascii="宋体" w:hAnsi="宋体"/>
                <w:kern w:val="0"/>
                <w:szCs w:val="21"/>
              </w:rPr>
              <w:t>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ascii="宋体" w:hAnsi="宋体"/>
                <w:kern w:val="0"/>
                <w:szCs w:val="21"/>
              </w:rPr>
              <w:t>发布</w:t>
            </w:r>
            <w:r>
              <w:rPr>
                <w:rFonts w:hint="eastAsia" w:ascii="宋体" w:hAnsi="宋体"/>
                <w:kern w:val="0"/>
                <w:szCs w:val="21"/>
              </w:rPr>
              <w:t>澄清</w:t>
            </w:r>
            <w:r>
              <w:rPr>
                <w:rFonts w:ascii="宋体" w:hAnsi="宋体"/>
                <w:kern w:val="0"/>
                <w:szCs w:val="21"/>
              </w:rPr>
              <w:t>。</w:t>
            </w:r>
          </w:p>
        </w:tc>
      </w:tr>
      <w:tr w14:paraId="3FC539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240" w:type="dxa"/>
            <w:vMerge w:val="continue"/>
            <w:vAlign w:val="center"/>
          </w:tcPr>
          <w:p w14:paraId="0B58B142">
            <w:pPr>
              <w:snapToGrid w:val="0"/>
              <w:spacing w:line="400" w:lineRule="exact"/>
              <w:jc w:val="center"/>
              <w:rPr>
                <w:rFonts w:ascii="宋体" w:hAnsi="宋体"/>
                <w:kern w:val="0"/>
                <w:szCs w:val="21"/>
              </w:rPr>
            </w:pPr>
          </w:p>
        </w:tc>
        <w:tc>
          <w:tcPr>
            <w:tcW w:w="1451" w:type="dxa"/>
            <w:vAlign w:val="center"/>
          </w:tcPr>
          <w:p w14:paraId="0CA5DDA2">
            <w:pPr>
              <w:snapToGrid w:val="0"/>
              <w:spacing w:line="400" w:lineRule="exact"/>
              <w:jc w:val="center"/>
              <w:rPr>
                <w:rFonts w:ascii="宋体" w:hAnsi="宋体"/>
                <w:kern w:val="0"/>
                <w:szCs w:val="21"/>
              </w:rPr>
            </w:pPr>
            <w:r>
              <w:rPr>
                <w:rFonts w:hint="eastAsia" w:ascii="宋体" w:hAnsi="宋体"/>
                <w:kern w:val="0"/>
                <w:szCs w:val="21"/>
              </w:rPr>
              <w:t>投标截止时间</w:t>
            </w:r>
          </w:p>
        </w:tc>
        <w:tc>
          <w:tcPr>
            <w:tcW w:w="6683" w:type="dxa"/>
            <w:vAlign w:val="center"/>
          </w:tcPr>
          <w:p w14:paraId="3B02B1D4">
            <w:pPr>
              <w:snapToGrid w:val="0"/>
              <w:spacing w:line="400" w:lineRule="exact"/>
              <w:ind w:firstLine="420" w:firstLineChars="200"/>
              <w:rPr>
                <w:rFonts w:ascii="宋体" w:hAnsi="宋体"/>
                <w:szCs w:val="21"/>
                <w:u w:val="single"/>
              </w:rPr>
            </w:pPr>
            <w:r>
              <w:rPr>
                <w:rFonts w:hint="eastAsia" w:ascii="宋体" w:hAnsi="宋体"/>
                <w:szCs w:val="21"/>
              </w:rPr>
              <w:t>详见采购公告规定的投标截止时间202</w:t>
            </w:r>
            <w:r>
              <w:rPr>
                <w:rFonts w:hint="eastAsia" w:ascii="宋体" w:hAnsi="宋体"/>
                <w:szCs w:val="21"/>
                <w:lang w:val="en-US" w:eastAsia="zh-CN"/>
              </w:rPr>
              <w:t>5</w:t>
            </w:r>
            <w:r>
              <w:rPr>
                <w:rFonts w:hint="eastAsia" w:ascii="宋体" w:hAnsi="宋体"/>
                <w:szCs w:val="21"/>
              </w:rPr>
              <w:t>年</w:t>
            </w:r>
            <w:r>
              <w:rPr>
                <w:rFonts w:hint="eastAsia" w:ascii="宋体" w:hAnsi="宋体"/>
                <w:szCs w:val="21"/>
                <w:lang w:val="en-US" w:eastAsia="zh-CN"/>
              </w:rPr>
              <w:t>5</w:t>
            </w:r>
            <w:r>
              <w:rPr>
                <w:rFonts w:hint="eastAsia" w:ascii="宋体" w:hAnsi="宋体"/>
                <w:szCs w:val="21"/>
              </w:rPr>
              <w:t>月</w:t>
            </w:r>
            <w:r>
              <w:rPr>
                <w:rFonts w:hint="eastAsia" w:ascii="宋体" w:hAnsi="宋体"/>
                <w:szCs w:val="21"/>
                <w:lang w:val="en-US" w:eastAsia="zh-CN"/>
              </w:rPr>
              <w:t>29</w:t>
            </w:r>
            <w:r>
              <w:rPr>
                <w:rFonts w:hint="eastAsia" w:ascii="宋体" w:hAnsi="宋体"/>
                <w:szCs w:val="21"/>
              </w:rPr>
              <w:t>日上午</w:t>
            </w:r>
            <w:r>
              <w:rPr>
                <w:rFonts w:hint="eastAsia" w:ascii="宋体" w:hAnsi="宋体"/>
                <w:szCs w:val="21"/>
                <w:lang w:val="en-US" w:eastAsia="zh-CN"/>
              </w:rPr>
              <w:t>10</w:t>
            </w:r>
            <w:r>
              <w:rPr>
                <w:rFonts w:hint="eastAsia" w:ascii="宋体" w:hAnsi="宋体"/>
                <w:szCs w:val="21"/>
              </w:rPr>
              <w:t>点。</w:t>
            </w:r>
          </w:p>
        </w:tc>
      </w:tr>
      <w:tr w14:paraId="107756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8DDADFF">
            <w:pPr>
              <w:snapToGrid w:val="0"/>
              <w:spacing w:line="400" w:lineRule="exact"/>
              <w:jc w:val="center"/>
              <w:rPr>
                <w:rFonts w:ascii="宋体" w:hAnsi="宋体"/>
                <w:kern w:val="0"/>
                <w:szCs w:val="21"/>
              </w:rPr>
            </w:pPr>
            <w:r>
              <w:rPr>
                <w:rFonts w:ascii="宋体" w:hAnsi="宋体"/>
                <w:kern w:val="0"/>
                <w:szCs w:val="21"/>
              </w:rPr>
              <w:t>2.2.3</w:t>
            </w:r>
          </w:p>
        </w:tc>
        <w:tc>
          <w:tcPr>
            <w:tcW w:w="1451" w:type="dxa"/>
            <w:vAlign w:val="center"/>
          </w:tcPr>
          <w:p w14:paraId="41E391D5">
            <w:pPr>
              <w:snapToGrid w:val="0"/>
              <w:spacing w:after="15" w:afterLines="5" w:line="400" w:lineRule="exact"/>
              <w:jc w:val="center"/>
              <w:rPr>
                <w:rFonts w:ascii="宋体" w:hAnsi="宋体"/>
                <w:kern w:val="0"/>
                <w:szCs w:val="21"/>
              </w:rPr>
            </w:pPr>
            <w:r>
              <w:rPr>
                <w:rFonts w:hint="eastAsia" w:ascii="宋体" w:hAnsi="宋体"/>
                <w:kern w:val="0"/>
                <w:szCs w:val="21"/>
              </w:rPr>
              <w:t>采购</w:t>
            </w:r>
            <w:r>
              <w:rPr>
                <w:rFonts w:ascii="宋体" w:hAnsi="宋体"/>
                <w:kern w:val="0"/>
                <w:szCs w:val="21"/>
              </w:rPr>
              <w:t>人对</w:t>
            </w:r>
            <w:r>
              <w:rPr>
                <w:rFonts w:hint="eastAsia" w:ascii="宋体" w:hAnsi="宋体"/>
                <w:kern w:val="0"/>
                <w:szCs w:val="21"/>
              </w:rPr>
              <w:t>采购</w:t>
            </w:r>
            <w:r>
              <w:rPr>
                <w:rFonts w:ascii="宋体" w:hAnsi="宋体"/>
                <w:kern w:val="0"/>
                <w:szCs w:val="21"/>
              </w:rPr>
              <w:t>文件进行</w:t>
            </w:r>
            <w:r>
              <w:rPr>
                <w:rFonts w:hint="eastAsia" w:ascii="宋体" w:hAnsi="宋体"/>
                <w:kern w:val="0"/>
                <w:szCs w:val="21"/>
              </w:rPr>
              <w:t>修改</w:t>
            </w:r>
            <w:r>
              <w:rPr>
                <w:rFonts w:ascii="宋体" w:hAnsi="宋体"/>
                <w:kern w:val="0"/>
                <w:szCs w:val="21"/>
              </w:rPr>
              <w:t>的时间</w:t>
            </w:r>
          </w:p>
        </w:tc>
        <w:tc>
          <w:tcPr>
            <w:tcW w:w="6683" w:type="dxa"/>
            <w:vAlign w:val="center"/>
          </w:tcPr>
          <w:p w14:paraId="0CF9BB85">
            <w:pPr>
              <w:snapToGrid w:val="0"/>
              <w:spacing w:line="400" w:lineRule="exact"/>
              <w:ind w:firstLine="420" w:firstLineChars="200"/>
              <w:rPr>
                <w:rFonts w:ascii="宋体" w:hAnsi="宋体"/>
                <w:szCs w:val="21"/>
              </w:rPr>
            </w:pPr>
            <w:r>
              <w:rPr>
                <w:rFonts w:ascii="宋体" w:hAnsi="宋体"/>
                <w:szCs w:val="21"/>
              </w:rPr>
              <w:t>/</w:t>
            </w:r>
          </w:p>
        </w:tc>
      </w:tr>
      <w:tr w14:paraId="0C55AF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B031858">
            <w:pPr>
              <w:snapToGrid w:val="0"/>
              <w:spacing w:line="400" w:lineRule="exact"/>
              <w:jc w:val="center"/>
              <w:rPr>
                <w:rFonts w:ascii="宋体" w:hAnsi="宋体"/>
                <w:kern w:val="0"/>
                <w:szCs w:val="21"/>
              </w:rPr>
            </w:pPr>
            <w:r>
              <w:rPr>
                <w:rFonts w:ascii="宋体" w:hAnsi="宋体"/>
                <w:kern w:val="0"/>
                <w:szCs w:val="21"/>
              </w:rPr>
              <w:t>2.2.4</w:t>
            </w:r>
          </w:p>
        </w:tc>
        <w:tc>
          <w:tcPr>
            <w:tcW w:w="1451" w:type="dxa"/>
            <w:vAlign w:val="center"/>
          </w:tcPr>
          <w:p w14:paraId="272E0C43">
            <w:pPr>
              <w:snapToGrid w:val="0"/>
              <w:spacing w:line="400" w:lineRule="exact"/>
              <w:jc w:val="center"/>
              <w:rPr>
                <w:rFonts w:ascii="宋体" w:hAnsi="宋体"/>
                <w:kern w:val="0"/>
                <w:szCs w:val="21"/>
              </w:rPr>
            </w:pPr>
            <w:r>
              <w:rPr>
                <w:rFonts w:ascii="宋体" w:hAnsi="宋体"/>
                <w:kern w:val="0"/>
                <w:szCs w:val="21"/>
              </w:rPr>
              <w:t>投标人对</w:t>
            </w:r>
            <w:r>
              <w:rPr>
                <w:rFonts w:hint="eastAsia" w:ascii="宋体" w:hAnsi="宋体"/>
                <w:kern w:val="0"/>
                <w:szCs w:val="21"/>
              </w:rPr>
              <w:t>采购</w:t>
            </w:r>
            <w:r>
              <w:rPr>
                <w:rFonts w:ascii="宋体" w:hAnsi="宋体"/>
                <w:kern w:val="0"/>
                <w:szCs w:val="21"/>
              </w:rPr>
              <w:t>文件及澄清修改提出异议的截止时间</w:t>
            </w:r>
          </w:p>
        </w:tc>
        <w:tc>
          <w:tcPr>
            <w:tcW w:w="6683" w:type="dxa"/>
            <w:vAlign w:val="center"/>
          </w:tcPr>
          <w:p w14:paraId="12481C67">
            <w:pPr>
              <w:snapToGrid w:val="0"/>
              <w:spacing w:line="400" w:lineRule="exact"/>
              <w:ind w:firstLine="420" w:firstLineChars="200"/>
              <w:rPr>
                <w:rFonts w:ascii="宋体" w:hAnsi="宋体"/>
                <w:snapToGrid w:val="0"/>
                <w:kern w:val="0"/>
                <w:szCs w:val="21"/>
              </w:rPr>
            </w:pPr>
            <w:r>
              <w:rPr>
                <w:rFonts w:hint="eastAsia" w:ascii="宋体" w:hAnsi="宋体"/>
                <w:snapToGrid w:val="0"/>
                <w:kern w:val="0"/>
                <w:szCs w:val="21"/>
              </w:rPr>
              <w:t>/</w:t>
            </w:r>
          </w:p>
        </w:tc>
      </w:tr>
      <w:tr w14:paraId="3217E4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B0DA7E1">
            <w:pPr>
              <w:snapToGrid w:val="0"/>
              <w:spacing w:line="400" w:lineRule="exact"/>
              <w:jc w:val="center"/>
              <w:rPr>
                <w:rFonts w:ascii="宋体" w:hAnsi="宋体"/>
                <w:kern w:val="0"/>
                <w:szCs w:val="21"/>
              </w:rPr>
            </w:pPr>
            <w:r>
              <w:rPr>
                <w:rFonts w:ascii="宋体" w:hAnsi="宋体"/>
                <w:kern w:val="0"/>
                <w:szCs w:val="21"/>
              </w:rPr>
              <w:t>3.1.1</w:t>
            </w:r>
          </w:p>
        </w:tc>
        <w:tc>
          <w:tcPr>
            <w:tcW w:w="1451" w:type="dxa"/>
            <w:vAlign w:val="center"/>
          </w:tcPr>
          <w:p w14:paraId="2C4C3234">
            <w:pPr>
              <w:snapToGrid w:val="0"/>
              <w:spacing w:after="31" w:afterLines="10" w:line="400" w:lineRule="exact"/>
              <w:jc w:val="center"/>
              <w:rPr>
                <w:rFonts w:ascii="宋体" w:hAnsi="宋体"/>
                <w:kern w:val="0"/>
                <w:szCs w:val="21"/>
              </w:rPr>
            </w:pPr>
            <w:r>
              <w:rPr>
                <w:rFonts w:ascii="宋体" w:hAnsi="宋体"/>
                <w:kern w:val="0"/>
                <w:szCs w:val="21"/>
              </w:rPr>
              <w:t>构成投标文件的其他材料</w:t>
            </w:r>
          </w:p>
        </w:tc>
        <w:tc>
          <w:tcPr>
            <w:tcW w:w="6683" w:type="dxa"/>
            <w:vAlign w:val="center"/>
          </w:tcPr>
          <w:p w14:paraId="0EED97BA">
            <w:pPr>
              <w:snapToGrid w:val="0"/>
              <w:spacing w:line="400" w:lineRule="exact"/>
              <w:ind w:firstLine="420" w:firstLineChars="200"/>
              <w:rPr>
                <w:rFonts w:ascii="宋体" w:hAnsi="宋体"/>
                <w:szCs w:val="21"/>
              </w:rPr>
            </w:pPr>
            <w:r>
              <w:rPr>
                <w:rFonts w:ascii="宋体" w:hAnsi="宋体"/>
                <w:szCs w:val="21"/>
              </w:rPr>
              <w:t>投标人的书面澄清、说明和补正（但不得改变投标文件的实质性内容）</w:t>
            </w:r>
          </w:p>
        </w:tc>
      </w:tr>
      <w:tr w14:paraId="4DC7B7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ADB61AE">
            <w:pPr>
              <w:snapToGrid w:val="0"/>
              <w:spacing w:line="400" w:lineRule="exact"/>
              <w:jc w:val="center"/>
              <w:rPr>
                <w:rFonts w:ascii="宋体" w:hAnsi="宋体"/>
                <w:kern w:val="0"/>
                <w:szCs w:val="21"/>
              </w:rPr>
            </w:pPr>
            <w:r>
              <w:rPr>
                <w:rFonts w:hint="eastAsia" w:ascii="宋体" w:hAnsi="宋体"/>
                <w:kern w:val="0"/>
                <w:szCs w:val="21"/>
              </w:rPr>
              <w:t>3.2</w:t>
            </w:r>
          </w:p>
        </w:tc>
        <w:tc>
          <w:tcPr>
            <w:tcW w:w="1451" w:type="dxa"/>
            <w:vAlign w:val="center"/>
          </w:tcPr>
          <w:p w14:paraId="0B69CC16">
            <w:pPr>
              <w:snapToGrid w:val="0"/>
              <w:spacing w:line="400" w:lineRule="exact"/>
              <w:jc w:val="center"/>
              <w:rPr>
                <w:rFonts w:ascii="宋体" w:hAnsi="宋体"/>
                <w:kern w:val="0"/>
                <w:szCs w:val="21"/>
              </w:rPr>
            </w:pPr>
            <w:r>
              <w:rPr>
                <w:rFonts w:ascii="宋体" w:hAnsi="宋体"/>
                <w:kern w:val="0"/>
                <w:szCs w:val="21"/>
              </w:rPr>
              <w:t>投标报价</w:t>
            </w:r>
          </w:p>
        </w:tc>
        <w:tc>
          <w:tcPr>
            <w:tcW w:w="6683" w:type="dxa"/>
            <w:vAlign w:val="center"/>
          </w:tcPr>
          <w:p w14:paraId="185D7A00">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szCs w:val="21"/>
              </w:rPr>
              <w:t>1.</w:t>
            </w:r>
            <w:r>
              <w:rPr>
                <w:rFonts w:hint="eastAsia" w:ascii="宋体" w:hAnsi="宋体" w:cs="宋体"/>
                <w:szCs w:val="21"/>
              </w:rPr>
              <w:t>使用国有资金投资的建设工程发承包，必须采用工程量清单计价。工程量清单应采用综合单价计价。</w:t>
            </w:r>
          </w:p>
          <w:p w14:paraId="0E8DB6D7">
            <w:pPr>
              <w:pStyle w:val="2"/>
              <w:tabs>
                <w:tab w:val="left" w:pos="546"/>
                <w:tab w:val="left" w:pos="711"/>
              </w:tabs>
              <w:snapToGrid w:val="0"/>
              <w:spacing w:after="0" w:line="400" w:lineRule="exact"/>
              <w:ind w:left="6" w:leftChars="3" w:firstLine="420" w:firstLineChars="200"/>
              <w:rPr>
                <w:rFonts w:ascii="宋体" w:hAnsi="宋体" w:cs="宋体"/>
                <w:szCs w:val="21"/>
              </w:rPr>
            </w:pPr>
            <w:r>
              <w:rPr>
                <w:rFonts w:ascii="宋体" w:hAnsi="宋体" w:cs="宋体"/>
                <w:szCs w:val="21"/>
              </w:rPr>
              <w:t>2.</w:t>
            </w:r>
            <w:r>
              <w:rPr>
                <w:rFonts w:hint="eastAsia" w:ascii="宋体" w:hAnsi="宋体" w:cs="宋体"/>
                <w:szCs w:val="21"/>
              </w:rPr>
              <w:t>投标人应按《建设工程工程量清单计价规范》（GB50500-2013）及重庆市相关工程量清单计价规则的要求填写相应清单表格。投标人应按本须知、《重庆市建设工程费用定额》（CQFYDE-2018）、《重庆市住房和城乡建设委员会关于适用增值税新税率调整建设工程计价依据的通知》（渝建〔2019〕143号）和第五章“工程量清单”的要求填写相应清单表格。投标人的投标报价应是本章投标人须知前附表第1.3.1项中所述的本工程合同段采购范围内的全部工程的投标报价，并以投标人在工程量清单中提出的单价或总价</w:t>
            </w:r>
            <w:r>
              <w:rPr>
                <w:rFonts w:ascii="宋体" w:hAnsi="宋体" w:cs="宋体"/>
                <w:szCs w:val="21"/>
              </w:rPr>
              <w:footnoteReference w:id="0"/>
            </w:r>
            <w:r>
              <w:rPr>
                <w:rFonts w:hint="eastAsia" w:ascii="宋体" w:hAnsi="宋体" w:cs="宋体"/>
                <w:szCs w:val="21"/>
              </w:rPr>
              <w:t>为依据。</w:t>
            </w:r>
          </w:p>
          <w:p w14:paraId="5C54101B">
            <w:pPr>
              <w:pStyle w:val="2"/>
              <w:tabs>
                <w:tab w:val="left" w:pos="546"/>
                <w:tab w:val="left" w:pos="711"/>
              </w:tabs>
              <w:snapToGrid w:val="0"/>
              <w:spacing w:after="0" w:line="400" w:lineRule="exact"/>
              <w:ind w:firstLine="420" w:firstLineChars="200"/>
              <w:rPr>
                <w:rFonts w:ascii="宋体" w:hAnsi="宋体"/>
                <w:szCs w:val="21"/>
              </w:rPr>
            </w:pPr>
            <w:r>
              <w:rPr>
                <w:rFonts w:ascii="宋体" w:hAnsi="宋体" w:cs="宋体"/>
                <w:szCs w:val="21"/>
              </w:rPr>
              <w:t>3.</w:t>
            </w:r>
            <w:r>
              <w:rPr>
                <w:rFonts w:hint="eastAsia" w:ascii="宋体" w:hAnsi="宋体" w:cs="宋体"/>
                <w:szCs w:val="21"/>
              </w:rPr>
              <w:t>投标人应认真填写工程量清单中所列的本合同各工程子目的单价或总价。投标人没有填入单价或总价的工程子目，采购人将认为该子目的价款已包括在工程量清单其他子目的单价和总价中。投标人必须按采购工程量清单填报价格。项目编码、项目名称、项目特征、计量单位、工</w:t>
            </w:r>
            <w:r>
              <w:rPr>
                <w:rFonts w:hint="eastAsia" w:ascii="宋体" w:hAnsi="宋体"/>
                <w:szCs w:val="21"/>
              </w:rPr>
              <w:t>程量必须与采购工程量清单一致。否则交由评标委员会作否决投标处理。</w:t>
            </w:r>
          </w:p>
          <w:p w14:paraId="574FFE63">
            <w:pPr>
              <w:pStyle w:val="2"/>
              <w:tabs>
                <w:tab w:val="left" w:pos="546"/>
                <w:tab w:val="left" w:pos="711"/>
              </w:tabs>
              <w:snapToGrid w:val="0"/>
              <w:spacing w:after="0" w:line="400" w:lineRule="exact"/>
              <w:ind w:firstLine="420" w:firstLineChars="200"/>
              <w:rPr>
                <w:rFonts w:ascii="宋体" w:hAnsi="宋体"/>
                <w:szCs w:val="21"/>
              </w:rPr>
            </w:pPr>
            <w:r>
              <w:rPr>
                <w:rFonts w:ascii="宋体" w:hAnsi="宋体"/>
                <w:szCs w:val="21"/>
              </w:rPr>
              <w:t>4.</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p w14:paraId="6AF82B29">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szCs w:val="21"/>
              </w:rPr>
              <w:t>5.如发现工程量清单中的数量与图纸中数量不一致，应于本须知第2.2.1项中规定的时间前书面通知采购人核查，除非采购人以修改的形式予以更正，否则，应以工程量清单中列出的数量为准。</w:t>
            </w:r>
          </w:p>
          <w:p w14:paraId="6531F8DB">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szCs w:val="21"/>
              </w:rPr>
              <w:t>6.采购人在工程量清单中所列出的价格（包括暂列金额、暂估价等），投标人不得修改，否则由评标委员会作否决投标处理。</w:t>
            </w:r>
          </w:p>
          <w:p w14:paraId="6FB3B6ED">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szCs w:val="21"/>
              </w:rPr>
              <w:t>7.本工程采购将设置投标总报价最高限价，投标总报价最高限价最迟应于投标截止日2日前发布，投标人的投标总报价不得超过投标总报价最高限价，否则由评标委员会作否决投标处理。</w:t>
            </w:r>
          </w:p>
          <w:p w14:paraId="70923331">
            <w:pPr>
              <w:pStyle w:val="2"/>
              <w:spacing w:after="0" w:line="400" w:lineRule="exact"/>
              <w:ind w:firstLine="420" w:firstLineChars="200"/>
              <w:rPr>
                <w:rFonts w:ascii="宋体" w:hAnsi="宋体"/>
                <w:szCs w:val="21"/>
              </w:rPr>
            </w:pPr>
            <w:r>
              <w:rPr>
                <w:rFonts w:hint="eastAsia" w:ascii="宋体" w:hAnsi="宋体"/>
                <w:szCs w:val="21"/>
              </w:rPr>
              <w:t>8.本工程采购将设置全部清单综合单价最高限价，全部清单综合单价最高限价最迟应于投标截止日2日前发布，投标人的每项清单综合单价报价不得超过每项清单综合单价最高限价，否则由评标委员会作否决投标处理。</w:t>
            </w:r>
          </w:p>
          <w:p w14:paraId="2A566228">
            <w:pPr>
              <w:pStyle w:val="2"/>
              <w:spacing w:after="0" w:line="400" w:lineRule="exact"/>
              <w:ind w:firstLine="420" w:firstLineChars="200"/>
              <w:rPr>
                <w:rFonts w:ascii="宋体" w:hAnsi="宋体" w:cs="宋体"/>
                <w:szCs w:val="21"/>
              </w:rPr>
            </w:pPr>
            <w:r>
              <w:rPr>
                <w:rFonts w:ascii="宋体" w:hAnsi="宋体" w:cs="宋体"/>
                <w:szCs w:val="21"/>
              </w:rPr>
              <w:t>9.安全文明施工费：</w:t>
            </w:r>
          </w:p>
          <w:p w14:paraId="3419B3EB">
            <w:pPr>
              <w:pStyle w:val="2"/>
              <w:tabs>
                <w:tab w:val="left" w:pos="546"/>
                <w:tab w:val="left" w:pos="711"/>
              </w:tabs>
              <w:snapToGrid w:val="0"/>
              <w:spacing w:after="0" w:line="400" w:lineRule="exact"/>
              <w:ind w:firstLine="420" w:firstLineChars="200"/>
              <w:rPr>
                <w:rFonts w:ascii="宋体" w:hAnsi="宋体" w:cs="宋体"/>
                <w:szCs w:val="21"/>
              </w:rPr>
            </w:pPr>
            <w:r>
              <w:rPr>
                <w:rFonts w:ascii="宋体" w:hAnsi="宋体" w:cs="宋体"/>
                <w:szCs w:val="21"/>
              </w:rPr>
              <w:t>9.1</w:t>
            </w:r>
            <w:r>
              <w:rPr>
                <w:rFonts w:hint="eastAsia" w:ascii="宋体" w:hAnsi="宋体" w:cs="宋体"/>
                <w:szCs w:val="21"/>
              </w:rPr>
              <w:t>根据《重庆城乡建设委员会关于印发</w:t>
            </w:r>
            <w:r>
              <w:rPr>
                <w:rFonts w:ascii="宋体" w:hAnsi="宋体" w:cs="宋体"/>
                <w:szCs w:val="21"/>
              </w:rPr>
              <w:t>&lt;</w:t>
            </w:r>
            <w:r>
              <w:rPr>
                <w:rFonts w:hint="eastAsia" w:ascii="宋体" w:hAnsi="宋体" w:cs="宋体"/>
                <w:szCs w:val="21"/>
              </w:rPr>
              <w:t>重庆市建设工程安全文明施工费计取及使用管理规定</w:t>
            </w:r>
            <w:r>
              <w:rPr>
                <w:rFonts w:ascii="宋体" w:hAnsi="宋体" w:cs="宋体"/>
                <w:szCs w:val="21"/>
              </w:rPr>
              <w:t>&gt;</w:t>
            </w:r>
            <w:r>
              <w:rPr>
                <w:rFonts w:hint="eastAsia" w:ascii="宋体" w:hAnsi="宋体" w:cs="宋体"/>
                <w:szCs w:val="21"/>
              </w:rPr>
              <w:t>的通知》（渝建发〔2014〕25号）规定，安全文明施工费由安全施工费、文明施工费、环境保护费及临时设施费组成。</w:t>
            </w:r>
          </w:p>
          <w:p w14:paraId="7249E499">
            <w:pPr>
              <w:pStyle w:val="84"/>
              <w:spacing w:line="400" w:lineRule="exact"/>
              <w:ind w:firstLineChars="200"/>
              <w:rPr>
                <w:sz w:val="21"/>
                <w:szCs w:val="21"/>
              </w:rPr>
            </w:pPr>
            <w:r>
              <w:rPr>
                <w:sz w:val="21"/>
                <w:szCs w:val="21"/>
              </w:rPr>
              <w:t>9.2本工程安全文明施工费由采购人根据《建设工程工程量清单计价规范》（GB50500-2013）、《重庆市建设工程工程量清单计价规则》（CQJJGZ-2013）、《</w:t>
            </w:r>
            <w:r>
              <w:rPr>
                <w:rFonts w:hint="eastAsia"/>
                <w:sz w:val="21"/>
                <w:szCs w:val="21"/>
              </w:rPr>
              <w:t>重庆市城乡建设委员会</w:t>
            </w:r>
            <w:r>
              <w:rPr>
                <w:sz w:val="21"/>
                <w:szCs w:val="21"/>
              </w:rPr>
              <w:t>关于印发&lt;重庆市建设工程安全文明施工费计取及使用管理规定&gt;的通知》（渝建发</w:t>
            </w:r>
            <w:r>
              <w:rPr>
                <w:rFonts w:hint="eastAsia"/>
                <w:sz w:val="21"/>
                <w:szCs w:val="21"/>
              </w:rPr>
              <w:t>〔</w:t>
            </w:r>
            <w:r>
              <w:rPr>
                <w:sz w:val="21"/>
                <w:szCs w:val="21"/>
              </w:rPr>
              <w:t>2014</w:t>
            </w:r>
            <w:r>
              <w:rPr>
                <w:rFonts w:hint="eastAsia"/>
                <w:sz w:val="21"/>
                <w:szCs w:val="21"/>
              </w:rPr>
              <w:t>〕</w:t>
            </w:r>
            <w:r>
              <w:rPr>
                <w:sz w:val="21"/>
                <w:szCs w:val="21"/>
              </w:rPr>
              <w:t>25号）</w:t>
            </w:r>
            <w:r>
              <w:rPr>
                <w:rFonts w:hint="eastAsia"/>
                <w:sz w:val="21"/>
                <w:szCs w:val="21"/>
              </w:rPr>
              <w:t>、《重庆市住房和城乡建设委员会关于调整建设施工现场形象品质提升安全文明施工费计取的通知》（渝建管〔2020〕97号）</w:t>
            </w:r>
            <w:r>
              <w:rPr>
                <w:sz w:val="21"/>
                <w:szCs w:val="21"/>
              </w:rPr>
              <w:t>、</w:t>
            </w:r>
            <w:r>
              <w:rPr>
                <w:rFonts w:hint="eastAsia"/>
                <w:sz w:val="21"/>
                <w:szCs w:val="21"/>
              </w:rPr>
              <w:t>《重庆市建设工程费用定额》（CQFYDE-2018）、《重庆市住房和城乡建设委员会关于适用增值税新税率调整建设工程计价依据的通知》（渝建〔2019〕143号）</w:t>
            </w:r>
            <w:r>
              <w:rPr>
                <w:sz w:val="21"/>
                <w:szCs w:val="21"/>
              </w:rPr>
              <w:t>的相关规定和费用标准单列计算，安全文明施工费为暂定金额，与最高限价一起公布。《投标函》及工程量清单报价中的安全文明施工费必须按照采购人给出的暂定金额填报，否则视为对采购文件不作实质性响应，其投标文件</w:t>
            </w:r>
            <w:r>
              <w:rPr>
                <w:rFonts w:hint="eastAsia"/>
                <w:sz w:val="21"/>
                <w:szCs w:val="21"/>
              </w:rPr>
              <w:t>由评标委员会</w:t>
            </w:r>
            <w:r>
              <w:rPr>
                <w:sz w:val="21"/>
                <w:szCs w:val="21"/>
              </w:rPr>
              <w:t>作否决投标处理。</w:t>
            </w:r>
            <w:r>
              <w:rPr>
                <w:rFonts w:hint="eastAsia"/>
                <w:sz w:val="21"/>
                <w:szCs w:val="21"/>
              </w:rPr>
              <w:t>注：采用全费用清单计价的项目，安全文明施工费仅针对《投标函》中的安全文明施工费进行评审。</w:t>
            </w:r>
          </w:p>
          <w:p w14:paraId="4FE319FE">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szCs w:val="21"/>
              </w:rPr>
              <w:t>10</w:t>
            </w:r>
            <w:r>
              <w:rPr>
                <w:rFonts w:ascii="宋体" w:hAnsi="宋体"/>
                <w:szCs w:val="21"/>
              </w:rPr>
              <w:t>.</w:t>
            </w:r>
            <w:r>
              <w:rPr>
                <w:rFonts w:hint="eastAsia" w:ascii="宋体" w:hAnsi="宋体"/>
                <w:szCs w:val="21"/>
              </w:rPr>
              <w:t xml:space="preserve">最高限价 </w:t>
            </w:r>
          </w:p>
          <w:p w14:paraId="4E2D808B">
            <w:pPr>
              <w:pStyle w:val="2"/>
              <w:tabs>
                <w:tab w:val="left" w:pos="546"/>
                <w:tab w:val="left" w:pos="711"/>
              </w:tabs>
              <w:snapToGrid w:val="0"/>
              <w:spacing w:after="0" w:line="400" w:lineRule="exact"/>
              <w:ind w:firstLine="420" w:firstLineChars="200"/>
              <w:rPr>
                <w:rFonts w:ascii="宋体" w:hAnsi="宋体"/>
                <w:szCs w:val="21"/>
              </w:rPr>
            </w:pPr>
            <w:r>
              <w:rPr>
                <w:rFonts w:hint="eastAsia" w:ascii="宋体" w:hAnsi="宋体"/>
                <w:szCs w:val="21"/>
              </w:rPr>
              <w:t>本工程招标</w:t>
            </w:r>
            <w:r>
              <w:rPr>
                <w:rFonts w:ascii="宋体" w:hAnsi="宋体"/>
                <w:szCs w:val="21"/>
              </w:rPr>
              <w:t>将设置投标总</w:t>
            </w:r>
            <w:r>
              <w:rPr>
                <w:rFonts w:hint="eastAsia" w:ascii="宋体" w:hAnsi="宋体"/>
                <w:szCs w:val="21"/>
              </w:rPr>
              <w:t>报价</w:t>
            </w:r>
            <w:r>
              <w:rPr>
                <w:rFonts w:ascii="宋体" w:hAnsi="宋体"/>
                <w:szCs w:val="21"/>
              </w:rPr>
              <w:t>最高限价，投标人的投标总报价不得超过投标总报价最高限价，否则由</w:t>
            </w:r>
            <w:r>
              <w:rPr>
                <w:rFonts w:hint="eastAsia" w:ascii="宋体" w:hAnsi="宋体"/>
                <w:szCs w:val="21"/>
              </w:rPr>
              <w:t>评标</w:t>
            </w:r>
            <w:r>
              <w:rPr>
                <w:rFonts w:ascii="宋体" w:hAnsi="宋体"/>
                <w:szCs w:val="21"/>
              </w:rPr>
              <w:t>委员会作否决投标处理。</w:t>
            </w:r>
            <w:r>
              <w:rPr>
                <w:rFonts w:hint="eastAsia" w:ascii="宋体" w:hAnsi="宋体"/>
                <w:szCs w:val="21"/>
              </w:rPr>
              <w:t>本工程</w:t>
            </w:r>
            <w:r>
              <w:rPr>
                <w:rFonts w:ascii="宋体" w:hAnsi="宋体"/>
                <w:szCs w:val="21"/>
              </w:rPr>
              <w:t>招标将设置全部工程量清单综合单价最高限价，投标人的每项清单综合单价报价</w:t>
            </w:r>
            <w:r>
              <w:rPr>
                <w:rFonts w:hint="eastAsia" w:ascii="宋体" w:hAnsi="宋体"/>
                <w:szCs w:val="21"/>
              </w:rPr>
              <w:t>不得</w:t>
            </w:r>
            <w:r>
              <w:rPr>
                <w:rFonts w:ascii="宋体" w:hAnsi="宋体"/>
                <w:szCs w:val="21"/>
              </w:rPr>
              <w:t>超过每项清单综合单价最高限价，否则由评标委员会作否决投标处理。</w:t>
            </w:r>
            <w:r>
              <w:rPr>
                <w:rFonts w:hint="eastAsia" w:ascii="宋体" w:hAnsi="宋体"/>
                <w:szCs w:val="21"/>
              </w:rPr>
              <w:t xml:space="preserve"> </w:t>
            </w:r>
          </w:p>
          <w:p w14:paraId="37AD910D">
            <w:pPr>
              <w:pStyle w:val="2"/>
              <w:tabs>
                <w:tab w:val="left" w:pos="546"/>
                <w:tab w:val="left" w:pos="711"/>
              </w:tabs>
              <w:snapToGrid w:val="0"/>
              <w:spacing w:after="0" w:line="400" w:lineRule="exact"/>
              <w:ind w:firstLine="420" w:firstLineChars="200"/>
              <w:rPr>
                <w:szCs w:val="21"/>
              </w:rPr>
            </w:pPr>
            <w:r>
              <w:rPr>
                <w:rFonts w:hint="eastAsia" w:ascii="宋体" w:hAnsi="宋体"/>
                <w:szCs w:val="21"/>
                <w:highlight w:val="none"/>
              </w:rPr>
              <w:t>建筑安装工程费最高限价：暂定建安费投标报价最高限价为</w:t>
            </w:r>
            <w:r>
              <w:rPr>
                <w:rFonts w:hint="eastAsia" w:ascii="宋体" w:hAnsi="宋体"/>
                <w:szCs w:val="21"/>
                <w:highlight w:val="none"/>
                <w:lang w:val="en-US" w:eastAsia="zh-CN"/>
              </w:rPr>
              <w:t>1012932.03</w:t>
            </w:r>
            <w:r>
              <w:rPr>
                <w:rFonts w:hint="eastAsia" w:ascii="宋体" w:hAnsi="宋体"/>
                <w:szCs w:val="21"/>
                <w:highlight w:val="none"/>
              </w:rPr>
              <w:t>元，其中安全文明施工费</w:t>
            </w:r>
            <w:r>
              <w:rPr>
                <w:rFonts w:hint="eastAsia" w:ascii="宋体" w:hAnsi="宋体"/>
                <w:szCs w:val="21"/>
                <w:highlight w:val="none"/>
                <w:lang w:val="en-US" w:eastAsia="zh-CN"/>
              </w:rPr>
              <w:t>13639.71</w:t>
            </w:r>
            <w:r>
              <w:rPr>
                <w:rFonts w:hint="eastAsia" w:ascii="宋体" w:hAnsi="宋体"/>
                <w:szCs w:val="21"/>
                <w:highlight w:val="none"/>
              </w:rPr>
              <w:t>元。</w:t>
            </w:r>
          </w:p>
        </w:tc>
      </w:tr>
      <w:tr w14:paraId="5A01F0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A8EFD56">
            <w:pPr>
              <w:snapToGrid w:val="0"/>
              <w:spacing w:line="400" w:lineRule="exact"/>
              <w:jc w:val="center"/>
              <w:rPr>
                <w:rFonts w:ascii="宋体" w:hAnsi="宋体"/>
                <w:kern w:val="0"/>
                <w:szCs w:val="21"/>
              </w:rPr>
            </w:pPr>
            <w:r>
              <w:rPr>
                <w:rFonts w:ascii="宋体" w:hAnsi="宋体"/>
                <w:kern w:val="0"/>
                <w:szCs w:val="21"/>
              </w:rPr>
              <w:t>3.3.1</w:t>
            </w:r>
          </w:p>
        </w:tc>
        <w:tc>
          <w:tcPr>
            <w:tcW w:w="1451" w:type="dxa"/>
            <w:vAlign w:val="center"/>
          </w:tcPr>
          <w:p w14:paraId="7341B30C">
            <w:pPr>
              <w:snapToGrid w:val="0"/>
              <w:spacing w:line="400" w:lineRule="exact"/>
              <w:jc w:val="center"/>
              <w:rPr>
                <w:rFonts w:ascii="宋体" w:hAnsi="宋体"/>
                <w:kern w:val="0"/>
                <w:szCs w:val="21"/>
              </w:rPr>
            </w:pPr>
            <w:r>
              <w:rPr>
                <w:rFonts w:ascii="宋体" w:hAnsi="宋体"/>
                <w:kern w:val="0"/>
                <w:szCs w:val="21"/>
              </w:rPr>
              <w:t>投标有效期</w:t>
            </w:r>
          </w:p>
        </w:tc>
        <w:tc>
          <w:tcPr>
            <w:tcW w:w="6683" w:type="dxa"/>
            <w:vAlign w:val="center"/>
          </w:tcPr>
          <w:p w14:paraId="4153001E">
            <w:pPr>
              <w:snapToGrid w:val="0"/>
              <w:spacing w:line="400" w:lineRule="exact"/>
              <w:ind w:firstLine="420" w:firstLineChars="200"/>
              <w:rPr>
                <w:rFonts w:ascii="宋体" w:hAnsi="宋体"/>
                <w:szCs w:val="21"/>
              </w:rPr>
            </w:pPr>
            <w:r>
              <w:rPr>
                <w:rFonts w:hint="eastAsia" w:ascii="宋体" w:hAnsi="宋体"/>
                <w:szCs w:val="21"/>
                <w:u w:val="single"/>
              </w:rPr>
              <w:t>15</w:t>
            </w:r>
            <w:r>
              <w:rPr>
                <w:rFonts w:ascii="宋体" w:hAnsi="宋体"/>
                <w:szCs w:val="21"/>
              </w:rPr>
              <w:t>日历天（从提交投标文件截止日起计算）</w:t>
            </w:r>
          </w:p>
        </w:tc>
      </w:tr>
      <w:tr w14:paraId="07832D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EF97455">
            <w:pPr>
              <w:snapToGrid w:val="0"/>
              <w:spacing w:line="400" w:lineRule="exact"/>
              <w:jc w:val="center"/>
              <w:rPr>
                <w:rFonts w:ascii="宋体" w:hAnsi="宋体"/>
                <w:kern w:val="0"/>
                <w:szCs w:val="21"/>
              </w:rPr>
            </w:pPr>
            <w:r>
              <w:rPr>
                <w:rFonts w:ascii="宋体" w:hAnsi="宋体"/>
                <w:kern w:val="0"/>
                <w:szCs w:val="21"/>
              </w:rPr>
              <w:t>3.4</w:t>
            </w:r>
          </w:p>
        </w:tc>
        <w:tc>
          <w:tcPr>
            <w:tcW w:w="1451" w:type="dxa"/>
            <w:vAlign w:val="center"/>
          </w:tcPr>
          <w:p w14:paraId="01963C1E">
            <w:pPr>
              <w:snapToGrid w:val="0"/>
              <w:spacing w:line="400" w:lineRule="exact"/>
              <w:jc w:val="center"/>
              <w:rPr>
                <w:rFonts w:ascii="宋体" w:hAnsi="宋体"/>
                <w:kern w:val="0"/>
                <w:szCs w:val="21"/>
              </w:rPr>
            </w:pPr>
            <w:r>
              <w:rPr>
                <w:rFonts w:ascii="宋体" w:hAnsi="宋体"/>
                <w:kern w:val="0"/>
                <w:szCs w:val="21"/>
              </w:rPr>
              <w:t>投标保证金</w:t>
            </w:r>
          </w:p>
        </w:tc>
        <w:tc>
          <w:tcPr>
            <w:tcW w:w="6683" w:type="dxa"/>
            <w:vAlign w:val="center"/>
          </w:tcPr>
          <w:p w14:paraId="3E6ABB45">
            <w:pPr>
              <w:snapToGrid w:val="0"/>
              <w:spacing w:line="400" w:lineRule="exact"/>
              <w:ind w:firstLine="420" w:firstLineChars="200"/>
              <w:jc w:val="left"/>
              <w:rPr>
                <w:rFonts w:ascii="宋体" w:hAnsi="宋体" w:cs="宋体"/>
                <w:kern w:val="0"/>
                <w:szCs w:val="21"/>
              </w:rPr>
            </w:pPr>
            <w:r>
              <w:rPr>
                <w:rFonts w:hint="eastAsia"/>
              </w:rPr>
              <w:t>/</w:t>
            </w:r>
          </w:p>
        </w:tc>
      </w:tr>
      <w:tr w14:paraId="6D074D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EAE112F">
            <w:pPr>
              <w:snapToGrid w:val="0"/>
              <w:spacing w:line="400" w:lineRule="exact"/>
              <w:jc w:val="center"/>
              <w:rPr>
                <w:rFonts w:ascii="宋体" w:hAnsi="宋体"/>
                <w:kern w:val="0"/>
                <w:szCs w:val="21"/>
              </w:rPr>
            </w:pPr>
            <w:r>
              <w:rPr>
                <w:rFonts w:ascii="宋体" w:hAnsi="宋体"/>
                <w:kern w:val="0"/>
                <w:szCs w:val="21"/>
              </w:rPr>
              <w:t>3.6</w:t>
            </w:r>
          </w:p>
        </w:tc>
        <w:tc>
          <w:tcPr>
            <w:tcW w:w="1451" w:type="dxa"/>
            <w:vAlign w:val="center"/>
          </w:tcPr>
          <w:p w14:paraId="4DE96DDC">
            <w:pPr>
              <w:snapToGrid w:val="0"/>
              <w:spacing w:line="400" w:lineRule="exact"/>
              <w:jc w:val="center"/>
              <w:rPr>
                <w:rFonts w:ascii="宋体" w:hAnsi="宋体"/>
                <w:kern w:val="0"/>
                <w:szCs w:val="21"/>
              </w:rPr>
            </w:pPr>
            <w:r>
              <w:rPr>
                <w:rFonts w:ascii="宋体" w:hAnsi="宋体"/>
                <w:kern w:val="0"/>
                <w:szCs w:val="21"/>
              </w:rPr>
              <w:t>是否允许递交</w:t>
            </w:r>
          </w:p>
          <w:p w14:paraId="70968FAB">
            <w:pPr>
              <w:snapToGrid w:val="0"/>
              <w:spacing w:after="93" w:afterLines="30" w:line="400" w:lineRule="exact"/>
              <w:jc w:val="center"/>
              <w:rPr>
                <w:rFonts w:ascii="宋体" w:hAnsi="宋体"/>
                <w:kern w:val="0"/>
                <w:szCs w:val="21"/>
              </w:rPr>
            </w:pPr>
            <w:r>
              <w:rPr>
                <w:rFonts w:ascii="宋体" w:hAnsi="宋体"/>
                <w:kern w:val="0"/>
                <w:szCs w:val="21"/>
              </w:rPr>
              <w:t>备选投标方案</w:t>
            </w:r>
          </w:p>
        </w:tc>
        <w:tc>
          <w:tcPr>
            <w:tcW w:w="6683" w:type="dxa"/>
            <w:vAlign w:val="center"/>
          </w:tcPr>
          <w:p w14:paraId="63AB9E06">
            <w:pPr>
              <w:snapToGrid w:val="0"/>
              <w:spacing w:line="400" w:lineRule="exact"/>
              <w:ind w:firstLine="420" w:firstLineChars="200"/>
              <w:rPr>
                <w:rFonts w:ascii="宋体" w:hAnsi="宋体"/>
                <w:kern w:val="0"/>
                <w:szCs w:val="21"/>
              </w:rPr>
            </w:pPr>
            <w:r>
              <w:rPr>
                <w:rFonts w:ascii="宋体" w:hAnsi="宋体"/>
                <w:kern w:val="0"/>
                <w:szCs w:val="21"/>
              </w:rPr>
              <w:t>不允许</w:t>
            </w:r>
          </w:p>
        </w:tc>
      </w:tr>
      <w:tr w14:paraId="2B6F7C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A8E40E3">
            <w:pPr>
              <w:snapToGrid w:val="0"/>
              <w:spacing w:line="400" w:lineRule="exact"/>
              <w:jc w:val="center"/>
              <w:rPr>
                <w:rFonts w:ascii="宋体" w:hAnsi="宋体"/>
                <w:kern w:val="0"/>
                <w:szCs w:val="21"/>
              </w:rPr>
            </w:pPr>
            <w:r>
              <w:rPr>
                <w:rFonts w:hint="eastAsia" w:ascii="宋体" w:hAnsi="宋体"/>
                <w:kern w:val="0"/>
                <w:szCs w:val="21"/>
              </w:rPr>
              <w:t>3.7.1</w:t>
            </w:r>
          </w:p>
        </w:tc>
        <w:tc>
          <w:tcPr>
            <w:tcW w:w="1451" w:type="dxa"/>
            <w:vAlign w:val="center"/>
          </w:tcPr>
          <w:p w14:paraId="702EA0CB">
            <w:pPr>
              <w:snapToGrid w:val="0"/>
              <w:spacing w:after="93" w:afterLines="30" w:line="400" w:lineRule="exact"/>
              <w:jc w:val="center"/>
              <w:rPr>
                <w:rFonts w:ascii="宋体" w:hAnsi="宋体"/>
                <w:kern w:val="0"/>
                <w:szCs w:val="21"/>
              </w:rPr>
            </w:pPr>
            <w:r>
              <w:rPr>
                <w:rFonts w:hint="eastAsia" w:ascii="宋体" w:hAnsi="宋体"/>
                <w:kern w:val="0"/>
                <w:szCs w:val="21"/>
              </w:rPr>
              <w:t>投标文件格式要求</w:t>
            </w:r>
          </w:p>
        </w:tc>
        <w:tc>
          <w:tcPr>
            <w:tcW w:w="6683" w:type="dxa"/>
            <w:vAlign w:val="center"/>
          </w:tcPr>
          <w:p w14:paraId="3CF26743">
            <w:pPr>
              <w:snapToGrid w:val="0"/>
              <w:spacing w:line="400" w:lineRule="exact"/>
              <w:ind w:firstLine="420" w:firstLineChars="200"/>
              <w:rPr>
                <w:rFonts w:ascii="宋体" w:hAnsi="宋体"/>
                <w:kern w:val="0"/>
                <w:szCs w:val="21"/>
              </w:rPr>
            </w:pPr>
            <w:r>
              <w:rPr>
                <w:rFonts w:hint="eastAsia" w:ascii="宋体" w:hAnsi="宋体"/>
                <w:kern w:val="0"/>
                <w:szCs w:val="21"/>
              </w:rPr>
              <w:t>编制投标文件时不得对第八章“投标文件格式”的相应要素作实质性修改，否则视为重大偏差，由评标委员会作否决投标处理。</w:t>
            </w:r>
          </w:p>
        </w:tc>
      </w:tr>
      <w:tr w14:paraId="78F900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2142117">
            <w:pPr>
              <w:snapToGrid w:val="0"/>
              <w:spacing w:line="400" w:lineRule="exact"/>
              <w:jc w:val="center"/>
              <w:rPr>
                <w:rFonts w:ascii="宋体" w:hAnsi="宋体"/>
                <w:kern w:val="0"/>
                <w:szCs w:val="21"/>
              </w:rPr>
            </w:pPr>
            <w:r>
              <w:rPr>
                <w:rFonts w:ascii="宋体" w:hAnsi="宋体"/>
                <w:kern w:val="0"/>
                <w:szCs w:val="21"/>
              </w:rPr>
              <w:t>3.7.2</w:t>
            </w:r>
          </w:p>
        </w:tc>
        <w:tc>
          <w:tcPr>
            <w:tcW w:w="1451" w:type="dxa"/>
            <w:vAlign w:val="center"/>
          </w:tcPr>
          <w:p w14:paraId="28CA74BA">
            <w:pPr>
              <w:snapToGrid w:val="0"/>
              <w:spacing w:line="400" w:lineRule="exact"/>
              <w:jc w:val="center"/>
              <w:rPr>
                <w:rFonts w:ascii="宋体" w:hAnsi="宋体"/>
                <w:kern w:val="0"/>
                <w:szCs w:val="21"/>
              </w:rPr>
            </w:pPr>
            <w:r>
              <w:rPr>
                <w:rFonts w:hint="eastAsia" w:ascii="宋体" w:hAnsi="宋体"/>
                <w:kern w:val="0"/>
                <w:szCs w:val="21"/>
              </w:rPr>
              <w:t>签字</w:t>
            </w:r>
            <w:r>
              <w:rPr>
                <w:rFonts w:ascii="宋体" w:hAnsi="宋体"/>
                <w:kern w:val="0"/>
                <w:szCs w:val="21"/>
              </w:rPr>
              <w:t>盖章要求</w:t>
            </w:r>
          </w:p>
        </w:tc>
        <w:tc>
          <w:tcPr>
            <w:tcW w:w="6683" w:type="dxa"/>
            <w:vAlign w:val="center"/>
          </w:tcPr>
          <w:p w14:paraId="3FF8F54D">
            <w:pPr>
              <w:snapToGrid w:val="0"/>
              <w:spacing w:line="400" w:lineRule="exact"/>
              <w:ind w:firstLine="420" w:firstLineChars="200"/>
              <w:rPr>
                <w:rFonts w:ascii="宋体" w:hAnsi="宋体"/>
                <w:szCs w:val="21"/>
              </w:rPr>
            </w:pPr>
            <w:r>
              <w:rPr>
                <w:rFonts w:hint="eastAsia" w:ascii="宋体" w:hAnsi="宋体"/>
                <w:szCs w:val="21"/>
              </w:rPr>
              <w:t>投标文件应按第八章 投标文件格式要求法定代表人或其委托代理人</w:t>
            </w:r>
            <w:r>
              <w:rPr>
                <w:rFonts w:hint="eastAsia" w:ascii="宋体" w:hAnsi="宋体"/>
                <w:kern w:val="0"/>
                <w:szCs w:val="21"/>
              </w:rPr>
              <w:t>签字</w:t>
            </w:r>
            <w:r>
              <w:rPr>
                <w:rFonts w:hint="eastAsia" w:ascii="宋体" w:hAnsi="宋体"/>
                <w:szCs w:val="21"/>
              </w:rPr>
              <w:t>（或盖章）的须齐全。</w:t>
            </w:r>
          </w:p>
          <w:p w14:paraId="15E8B816">
            <w:pPr>
              <w:snapToGrid w:val="0"/>
              <w:spacing w:line="400" w:lineRule="exact"/>
              <w:ind w:firstLine="420" w:firstLineChars="200"/>
              <w:rPr>
                <w:rFonts w:ascii="宋体" w:hAnsi="宋体"/>
                <w:szCs w:val="21"/>
              </w:rPr>
            </w:pPr>
            <w:r>
              <w:rPr>
                <w:rFonts w:hint="eastAsia" w:ascii="宋体" w:hAnsi="宋体"/>
                <w:szCs w:val="21"/>
              </w:rPr>
              <w:t>未按上述规定执行的，交由评标委员会作否决投标处理。</w:t>
            </w:r>
          </w:p>
        </w:tc>
      </w:tr>
      <w:tr w14:paraId="0BB464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B1AA06B">
            <w:pPr>
              <w:snapToGrid w:val="0"/>
              <w:spacing w:line="400" w:lineRule="exact"/>
              <w:jc w:val="center"/>
              <w:rPr>
                <w:rFonts w:ascii="宋体" w:hAnsi="宋体"/>
                <w:kern w:val="0"/>
                <w:szCs w:val="21"/>
              </w:rPr>
            </w:pPr>
            <w:r>
              <w:rPr>
                <w:rFonts w:ascii="宋体" w:hAnsi="宋体"/>
                <w:kern w:val="0"/>
                <w:szCs w:val="21"/>
              </w:rPr>
              <w:t>3.7.3</w:t>
            </w:r>
          </w:p>
        </w:tc>
        <w:tc>
          <w:tcPr>
            <w:tcW w:w="1451" w:type="dxa"/>
            <w:vAlign w:val="center"/>
          </w:tcPr>
          <w:p w14:paraId="11657379">
            <w:pPr>
              <w:snapToGrid w:val="0"/>
              <w:spacing w:line="400" w:lineRule="exact"/>
              <w:rPr>
                <w:rFonts w:ascii="宋体" w:hAnsi="宋体"/>
                <w:spacing w:val="-6"/>
                <w:kern w:val="0"/>
                <w:szCs w:val="21"/>
              </w:rPr>
            </w:pPr>
            <w:r>
              <w:rPr>
                <w:rFonts w:ascii="宋体" w:hAnsi="宋体"/>
                <w:spacing w:val="-6"/>
                <w:kern w:val="0"/>
                <w:szCs w:val="21"/>
              </w:rPr>
              <w:t>投标文件的份数</w:t>
            </w:r>
          </w:p>
        </w:tc>
        <w:tc>
          <w:tcPr>
            <w:tcW w:w="6683" w:type="dxa"/>
            <w:vAlign w:val="center"/>
          </w:tcPr>
          <w:p w14:paraId="2B8CB244">
            <w:pPr>
              <w:autoSpaceDE w:val="0"/>
              <w:autoSpaceDN w:val="0"/>
              <w:adjustRightInd w:val="0"/>
              <w:snapToGrid w:val="0"/>
              <w:spacing w:after="93" w:afterLines="30" w:line="400" w:lineRule="exact"/>
              <w:ind w:firstLine="420" w:firstLineChars="200"/>
              <w:rPr>
                <w:rFonts w:ascii="宋体" w:hAnsi="宋体"/>
                <w:i/>
                <w:kern w:val="0"/>
                <w:szCs w:val="21"/>
                <w:highlight w:val="none"/>
              </w:rPr>
            </w:pPr>
            <w:r>
              <w:rPr>
                <w:rFonts w:hint="eastAsia" w:ascii="宋体" w:hAnsi="宋体"/>
                <w:kern w:val="0"/>
                <w:szCs w:val="21"/>
                <w:highlight w:val="none"/>
                <w:lang w:eastAsia="zh-CN"/>
              </w:rPr>
              <w:t>纸质版</w:t>
            </w:r>
            <w:r>
              <w:rPr>
                <w:rFonts w:hint="eastAsia" w:ascii="宋体" w:hAnsi="宋体"/>
                <w:kern w:val="0"/>
                <w:szCs w:val="21"/>
                <w:highlight w:val="none"/>
              </w:rPr>
              <w:t>一份</w:t>
            </w:r>
            <w:r>
              <w:rPr>
                <w:rFonts w:hint="eastAsia" w:ascii="宋体" w:hAnsi="宋体"/>
                <w:kern w:val="0"/>
                <w:szCs w:val="21"/>
                <w:highlight w:val="none"/>
                <w:lang w:eastAsia="zh-CN"/>
              </w:rPr>
              <w:t>，光盘一份</w:t>
            </w:r>
            <w:r>
              <w:rPr>
                <w:rFonts w:hint="eastAsia" w:ascii="宋体" w:hAnsi="宋体"/>
                <w:kern w:val="0"/>
                <w:szCs w:val="21"/>
                <w:highlight w:val="none"/>
              </w:rPr>
              <w:t>。</w:t>
            </w:r>
          </w:p>
        </w:tc>
      </w:tr>
      <w:tr w14:paraId="18128F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240" w:type="dxa"/>
            <w:vAlign w:val="center"/>
          </w:tcPr>
          <w:p w14:paraId="69396851">
            <w:pPr>
              <w:snapToGrid w:val="0"/>
              <w:spacing w:line="400" w:lineRule="exact"/>
              <w:jc w:val="center"/>
              <w:rPr>
                <w:rFonts w:ascii="宋体" w:hAnsi="宋体"/>
                <w:kern w:val="0"/>
                <w:szCs w:val="21"/>
              </w:rPr>
            </w:pPr>
            <w:r>
              <w:rPr>
                <w:rFonts w:ascii="宋体" w:hAnsi="宋体"/>
                <w:kern w:val="0"/>
                <w:szCs w:val="21"/>
              </w:rPr>
              <w:t>3.7.4</w:t>
            </w:r>
          </w:p>
        </w:tc>
        <w:tc>
          <w:tcPr>
            <w:tcW w:w="1451" w:type="dxa"/>
            <w:vAlign w:val="center"/>
          </w:tcPr>
          <w:p w14:paraId="7D6A8C67">
            <w:pPr>
              <w:snapToGrid w:val="0"/>
              <w:spacing w:line="400" w:lineRule="exact"/>
              <w:jc w:val="center"/>
              <w:rPr>
                <w:rFonts w:ascii="宋体" w:hAnsi="宋体"/>
                <w:kern w:val="0"/>
                <w:szCs w:val="21"/>
              </w:rPr>
            </w:pPr>
            <w:r>
              <w:rPr>
                <w:rFonts w:hint="eastAsia" w:ascii="宋体" w:hAnsi="宋体"/>
                <w:kern w:val="0"/>
                <w:szCs w:val="21"/>
              </w:rPr>
              <w:t>编制</w:t>
            </w:r>
            <w:r>
              <w:rPr>
                <w:rFonts w:ascii="宋体" w:hAnsi="宋体"/>
                <w:kern w:val="0"/>
                <w:szCs w:val="21"/>
              </w:rPr>
              <w:t>要求</w:t>
            </w:r>
          </w:p>
        </w:tc>
        <w:tc>
          <w:tcPr>
            <w:tcW w:w="6683" w:type="dxa"/>
            <w:vAlign w:val="center"/>
          </w:tcPr>
          <w:p w14:paraId="51F53633">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14:paraId="4DA8261C">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14:paraId="5F5D900F">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14:paraId="7237C848">
            <w:pPr>
              <w:adjustRightInd w:val="0"/>
              <w:snapToGrid w:val="0"/>
              <w:spacing w:line="400" w:lineRule="exact"/>
              <w:ind w:firstLine="420" w:firstLineChars="200"/>
              <w:rPr>
                <w:rFonts w:ascii="宋体" w:hAnsi="宋体"/>
                <w:szCs w:val="21"/>
              </w:rPr>
            </w:pPr>
            <w:r>
              <w:rPr>
                <w:rFonts w:hint="eastAsia" w:ascii="宋体" w:hAnsi="宋体"/>
                <w:szCs w:val="21"/>
              </w:rPr>
              <w:t>（2）经济部分</w:t>
            </w:r>
          </w:p>
          <w:p w14:paraId="128D3EBF">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14:paraId="3FD3B414">
            <w:pPr>
              <w:adjustRightInd w:val="0"/>
              <w:snapToGrid w:val="0"/>
              <w:spacing w:line="400" w:lineRule="exact"/>
              <w:ind w:firstLine="420" w:firstLineChars="200"/>
              <w:rPr>
                <w:rFonts w:ascii="宋体" w:hAnsi="宋体"/>
                <w:szCs w:val="21"/>
              </w:rPr>
            </w:pPr>
            <w:r>
              <w:rPr>
                <w:rFonts w:hint="eastAsia" w:ascii="宋体" w:hAnsi="宋体"/>
                <w:szCs w:val="21"/>
              </w:rPr>
              <w:t>（3）资格审查部分</w:t>
            </w:r>
          </w:p>
          <w:p w14:paraId="725C2C3C">
            <w:pPr>
              <w:adjustRightInd w:val="0"/>
              <w:snapToGrid w:val="0"/>
              <w:spacing w:line="400" w:lineRule="exact"/>
              <w:ind w:firstLine="420" w:firstLineChars="200"/>
              <w:rPr>
                <w:rStyle w:val="54"/>
              </w:rPr>
            </w:pPr>
            <w:r>
              <w:rPr>
                <w:rFonts w:hint="eastAsia" w:ascii="宋体" w:hAnsi="宋体"/>
                <w:szCs w:val="21"/>
              </w:rPr>
              <w:t>应按照第八章规定格式排版，并应编制目录。</w:t>
            </w:r>
          </w:p>
        </w:tc>
      </w:tr>
      <w:tr w14:paraId="1FA1CB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26468D1">
            <w:pPr>
              <w:snapToGrid w:val="0"/>
              <w:spacing w:line="400" w:lineRule="exact"/>
              <w:jc w:val="center"/>
              <w:rPr>
                <w:rFonts w:ascii="宋体" w:hAnsi="宋体"/>
                <w:kern w:val="0"/>
                <w:szCs w:val="21"/>
              </w:rPr>
            </w:pPr>
            <w:r>
              <w:rPr>
                <w:rFonts w:ascii="宋体" w:hAnsi="宋体"/>
                <w:kern w:val="0"/>
                <w:szCs w:val="21"/>
              </w:rPr>
              <w:t>3.7.5</w:t>
            </w:r>
          </w:p>
        </w:tc>
        <w:tc>
          <w:tcPr>
            <w:tcW w:w="1451" w:type="dxa"/>
            <w:vAlign w:val="center"/>
          </w:tcPr>
          <w:p w14:paraId="0BD2E203">
            <w:pPr>
              <w:snapToGrid w:val="0"/>
              <w:spacing w:line="400" w:lineRule="exact"/>
              <w:jc w:val="center"/>
              <w:rPr>
                <w:rFonts w:ascii="宋体" w:hAnsi="宋体"/>
                <w:kern w:val="0"/>
                <w:szCs w:val="21"/>
              </w:rPr>
            </w:pPr>
            <w:r>
              <w:rPr>
                <w:rFonts w:hint="eastAsia" w:ascii="宋体" w:hAnsi="宋体"/>
                <w:kern w:val="0"/>
                <w:szCs w:val="21"/>
              </w:rPr>
              <w:t>编制要求</w:t>
            </w:r>
          </w:p>
        </w:tc>
        <w:tc>
          <w:tcPr>
            <w:tcW w:w="6683" w:type="dxa"/>
            <w:vAlign w:val="center"/>
          </w:tcPr>
          <w:p w14:paraId="134C549A">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）投标人在编制投标文件时应当建立分级目录，并按照标签提示导入相关内容。</w:t>
            </w:r>
          </w:p>
          <w:p w14:paraId="4952CF53">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）按本章前附表第3.7.3项签字盖章要求进行投标文件的签署。</w:t>
            </w:r>
          </w:p>
          <w:p w14:paraId="37984853">
            <w:pPr>
              <w:adjustRightInd w:val="0"/>
              <w:snapToGrid w:val="0"/>
              <w:spacing w:line="400" w:lineRule="exact"/>
              <w:ind w:firstLine="420" w:firstLineChars="200"/>
              <w:rPr>
                <w:rFonts w:ascii="宋体" w:hAnsi="宋体"/>
                <w:szCs w:val="21"/>
              </w:rPr>
            </w:pPr>
            <w:r>
              <w:rPr>
                <w:rFonts w:hint="eastAsia" w:ascii="宋体" w:hAnsi="宋体"/>
                <w:szCs w:val="21"/>
              </w:rPr>
              <w:t>具体要求：</w:t>
            </w:r>
          </w:p>
          <w:p w14:paraId="664DCDE2">
            <w:pPr>
              <w:adjustRightInd w:val="0"/>
              <w:snapToGrid w:val="0"/>
              <w:spacing w:line="400" w:lineRule="exact"/>
              <w:ind w:firstLine="420" w:firstLineChars="200"/>
              <w:rPr>
                <w:rFonts w:ascii="宋体" w:hAnsi="宋体"/>
                <w:szCs w:val="21"/>
              </w:rPr>
            </w:pPr>
            <w:r>
              <w:rPr>
                <w:rFonts w:hint="eastAsia" w:ascii="宋体" w:hAnsi="宋体"/>
                <w:szCs w:val="21"/>
              </w:rPr>
              <w:t>（1）投标函部分</w:t>
            </w:r>
          </w:p>
          <w:p w14:paraId="0A975EBB">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14:paraId="3CCCD27C">
            <w:pPr>
              <w:adjustRightInd w:val="0"/>
              <w:snapToGrid w:val="0"/>
              <w:spacing w:line="400" w:lineRule="exact"/>
              <w:ind w:firstLine="420" w:firstLineChars="200"/>
              <w:rPr>
                <w:rFonts w:ascii="宋体" w:hAnsi="宋体"/>
                <w:szCs w:val="21"/>
              </w:rPr>
            </w:pPr>
            <w:r>
              <w:rPr>
                <w:rFonts w:hint="eastAsia" w:ascii="宋体" w:hAnsi="宋体"/>
                <w:szCs w:val="21"/>
              </w:rPr>
              <w:t>（2）经济部分</w:t>
            </w:r>
          </w:p>
          <w:p w14:paraId="37372CD0">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p w14:paraId="1D7D3CC2">
            <w:pPr>
              <w:adjustRightInd w:val="0"/>
              <w:snapToGrid w:val="0"/>
              <w:spacing w:line="400" w:lineRule="exact"/>
              <w:ind w:firstLine="420" w:firstLine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）资格审查部分</w:t>
            </w:r>
          </w:p>
          <w:p w14:paraId="4D75ACF9">
            <w:pPr>
              <w:adjustRightInd w:val="0"/>
              <w:snapToGrid w:val="0"/>
              <w:spacing w:line="400" w:lineRule="exact"/>
              <w:ind w:firstLine="420" w:firstLineChars="200"/>
              <w:rPr>
                <w:rFonts w:ascii="宋体" w:hAnsi="宋体"/>
                <w:szCs w:val="21"/>
              </w:rPr>
            </w:pPr>
            <w:r>
              <w:rPr>
                <w:rFonts w:hint="eastAsia" w:ascii="宋体" w:hAnsi="宋体"/>
                <w:szCs w:val="21"/>
              </w:rPr>
              <w:t>应按照第八章规定格式排版，并应编制目录。</w:t>
            </w:r>
          </w:p>
        </w:tc>
      </w:tr>
      <w:tr w14:paraId="3343FAA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C21D8F3">
            <w:pPr>
              <w:snapToGrid w:val="0"/>
              <w:spacing w:line="400" w:lineRule="exact"/>
              <w:jc w:val="center"/>
              <w:rPr>
                <w:rFonts w:ascii="宋体" w:hAnsi="宋体"/>
                <w:kern w:val="0"/>
                <w:szCs w:val="21"/>
              </w:rPr>
            </w:pPr>
            <w:r>
              <w:rPr>
                <w:rFonts w:ascii="宋体" w:hAnsi="宋体"/>
                <w:kern w:val="0"/>
                <w:szCs w:val="21"/>
              </w:rPr>
              <w:t>4.1.1</w:t>
            </w:r>
          </w:p>
        </w:tc>
        <w:tc>
          <w:tcPr>
            <w:tcW w:w="1451" w:type="dxa"/>
            <w:vAlign w:val="center"/>
          </w:tcPr>
          <w:p w14:paraId="7E6BA877">
            <w:pPr>
              <w:snapToGrid w:val="0"/>
              <w:spacing w:line="400" w:lineRule="exact"/>
              <w:jc w:val="center"/>
              <w:rPr>
                <w:rFonts w:ascii="宋体" w:hAnsi="宋体"/>
                <w:spacing w:val="-6"/>
                <w:kern w:val="0"/>
                <w:szCs w:val="21"/>
              </w:rPr>
            </w:pPr>
            <w:r>
              <w:rPr>
                <w:rFonts w:ascii="宋体" w:hAnsi="宋体"/>
                <w:spacing w:val="-6"/>
                <w:kern w:val="0"/>
                <w:szCs w:val="21"/>
              </w:rPr>
              <w:t>投标文件的密封</w:t>
            </w:r>
          </w:p>
        </w:tc>
        <w:tc>
          <w:tcPr>
            <w:tcW w:w="6683" w:type="dxa"/>
            <w:vAlign w:val="center"/>
          </w:tcPr>
          <w:p w14:paraId="074A2B9F">
            <w:pPr>
              <w:adjustRightInd w:val="0"/>
              <w:snapToGrid w:val="0"/>
              <w:spacing w:line="400" w:lineRule="exact"/>
              <w:ind w:firstLine="420" w:firstLineChars="200"/>
              <w:rPr>
                <w:rFonts w:ascii="宋体" w:hAnsi="宋体"/>
                <w:szCs w:val="21"/>
              </w:rPr>
            </w:pPr>
            <w:r>
              <w:rPr>
                <w:rFonts w:hint="eastAsia" w:ascii="宋体" w:hAnsi="宋体"/>
                <w:szCs w:val="21"/>
              </w:rPr>
              <w:t>投标人应用“投标文件”袋单独封装，并在封口处加盖投标人单位法人章，同时“投标文件”袋应按本表第4.1.2项的规定写明相应内容。“投标文件”袋未按要求密封的，采购人应该拒收。</w:t>
            </w:r>
          </w:p>
        </w:tc>
      </w:tr>
      <w:tr w14:paraId="2EE3B5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AAC2D05">
            <w:pPr>
              <w:snapToGrid w:val="0"/>
              <w:spacing w:line="400" w:lineRule="exact"/>
              <w:jc w:val="center"/>
              <w:rPr>
                <w:rFonts w:ascii="宋体" w:hAnsi="宋体"/>
                <w:kern w:val="0"/>
                <w:szCs w:val="21"/>
              </w:rPr>
            </w:pPr>
            <w:r>
              <w:rPr>
                <w:rFonts w:ascii="宋体" w:hAnsi="宋体"/>
                <w:kern w:val="0"/>
                <w:szCs w:val="21"/>
              </w:rPr>
              <w:t>4.1.2</w:t>
            </w:r>
          </w:p>
        </w:tc>
        <w:tc>
          <w:tcPr>
            <w:tcW w:w="1451" w:type="dxa"/>
            <w:vAlign w:val="center"/>
          </w:tcPr>
          <w:p w14:paraId="1F9DB867">
            <w:pPr>
              <w:snapToGrid w:val="0"/>
              <w:spacing w:line="400" w:lineRule="exact"/>
              <w:jc w:val="center"/>
              <w:rPr>
                <w:rFonts w:ascii="宋体" w:hAnsi="宋体"/>
                <w:kern w:val="0"/>
                <w:szCs w:val="21"/>
              </w:rPr>
            </w:pPr>
            <w:r>
              <w:rPr>
                <w:rFonts w:ascii="宋体" w:hAnsi="宋体"/>
                <w:kern w:val="0"/>
                <w:szCs w:val="21"/>
              </w:rPr>
              <w:t>封套上写明</w:t>
            </w:r>
          </w:p>
        </w:tc>
        <w:tc>
          <w:tcPr>
            <w:tcW w:w="6683" w:type="dxa"/>
            <w:vAlign w:val="center"/>
          </w:tcPr>
          <w:p w14:paraId="4E5993A2">
            <w:pPr>
              <w:snapToGrid w:val="0"/>
              <w:spacing w:line="400" w:lineRule="exact"/>
              <w:ind w:firstLine="420" w:firstLineChars="200"/>
              <w:rPr>
                <w:rFonts w:ascii="宋体" w:hAnsi="宋体"/>
                <w:kern w:val="0"/>
                <w:szCs w:val="21"/>
              </w:rPr>
            </w:pPr>
            <w:r>
              <w:rPr>
                <w:rFonts w:ascii="宋体" w:hAnsi="宋体"/>
                <w:kern w:val="0"/>
                <w:szCs w:val="21"/>
              </w:rPr>
              <w:t>应在</w:t>
            </w:r>
            <w:r>
              <w:rPr>
                <w:rFonts w:ascii="宋体" w:hAnsi="宋体"/>
                <w:szCs w:val="21"/>
              </w:rPr>
              <w:t xml:space="preserve"> </w:t>
            </w:r>
            <w:r>
              <w:rPr>
                <w:rFonts w:ascii="宋体" w:hAnsi="宋体"/>
                <w:kern w:val="0"/>
                <w:szCs w:val="21"/>
              </w:rPr>
              <w:t>“投标文件”袋封套上写明如下内容：</w:t>
            </w:r>
          </w:p>
          <w:p w14:paraId="1CC45098">
            <w:pPr>
              <w:snapToGrid w:val="0"/>
              <w:spacing w:line="400" w:lineRule="exact"/>
              <w:ind w:firstLine="420" w:firstLineChars="200"/>
              <w:rPr>
                <w:rFonts w:ascii="宋体" w:hAnsi="宋体"/>
                <w:kern w:val="0"/>
                <w:szCs w:val="21"/>
                <w:u w:val="single"/>
              </w:rPr>
            </w:pPr>
            <w:r>
              <w:rPr>
                <w:rFonts w:hint="eastAsia" w:ascii="宋体" w:hAnsi="宋体"/>
                <w:kern w:val="0"/>
                <w:szCs w:val="21"/>
              </w:rPr>
              <w:t>采购</w:t>
            </w:r>
            <w:r>
              <w:rPr>
                <w:rFonts w:ascii="宋体" w:hAnsi="宋体"/>
                <w:kern w:val="0"/>
                <w:szCs w:val="21"/>
              </w:rPr>
              <w:t>人名称：</w:t>
            </w:r>
            <w:r>
              <w:rPr>
                <w:rFonts w:hint="eastAsia" w:ascii="宋体" w:hAnsi="宋体"/>
                <w:kern w:val="0"/>
                <w:szCs w:val="21"/>
                <w:u w:val="single"/>
              </w:rPr>
              <w:t xml:space="preserve">            </w:t>
            </w:r>
          </w:p>
          <w:p w14:paraId="42CD7AC3">
            <w:pPr>
              <w:snapToGrid w:val="0"/>
              <w:spacing w:line="400" w:lineRule="exact"/>
              <w:ind w:firstLine="420" w:firstLineChars="200"/>
              <w:rPr>
                <w:rFonts w:ascii="宋体" w:hAnsi="宋体"/>
                <w:kern w:val="0"/>
                <w:szCs w:val="21"/>
                <w:u w:val="single"/>
              </w:rPr>
            </w:pPr>
            <w:r>
              <w:rPr>
                <w:rFonts w:hint="eastAsia" w:ascii="宋体" w:hAnsi="宋体"/>
                <w:kern w:val="0"/>
                <w:szCs w:val="21"/>
              </w:rPr>
              <w:t>投标人名称：</w:t>
            </w:r>
            <w:r>
              <w:rPr>
                <w:rFonts w:hint="eastAsia" w:ascii="宋体" w:hAnsi="宋体"/>
                <w:kern w:val="0"/>
                <w:szCs w:val="21"/>
                <w:u w:val="single"/>
              </w:rPr>
              <w:t xml:space="preserve">            </w:t>
            </w:r>
          </w:p>
          <w:p w14:paraId="57F3DBC3">
            <w:pPr>
              <w:snapToGrid w:val="0"/>
              <w:spacing w:line="400" w:lineRule="exact"/>
              <w:ind w:firstLine="420" w:firstLineChars="200"/>
              <w:rPr>
                <w:rFonts w:ascii="宋体" w:hAnsi="宋体"/>
                <w:kern w:val="0"/>
                <w:szCs w:val="21"/>
              </w:rPr>
            </w:pPr>
            <w:r>
              <w:rPr>
                <w:rFonts w:ascii="宋体" w:hAnsi="宋体"/>
                <w:kern w:val="0"/>
                <w:szCs w:val="21"/>
                <w:u w:val="single"/>
              </w:rPr>
              <w:t xml:space="preserve">                （项目名称）</w:t>
            </w:r>
            <w:r>
              <w:rPr>
                <w:rFonts w:ascii="宋体" w:hAnsi="宋体"/>
                <w:kern w:val="0"/>
                <w:szCs w:val="21"/>
              </w:rPr>
              <w:t>投标文件</w:t>
            </w:r>
          </w:p>
          <w:p w14:paraId="3167F8F7">
            <w:pPr>
              <w:snapToGrid w:val="0"/>
              <w:spacing w:line="400" w:lineRule="exact"/>
              <w:ind w:firstLine="420" w:firstLineChars="200"/>
              <w:rPr>
                <w:rFonts w:ascii="宋体" w:hAnsi="宋体"/>
                <w:szCs w:val="21"/>
              </w:rPr>
            </w:pPr>
            <w:r>
              <w:rPr>
                <w:rFonts w:ascii="宋体" w:hAnsi="宋体"/>
                <w:kern w:val="0"/>
                <w:szCs w:val="21"/>
              </w:rPr>
              <w:t>在</w:t>
            </w: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r>
              <w:rPr>
                <w:rFonts w:hint="eastAsia" w:ascii="宋体" w:hAnsi="宋体"/>
                <w:kern w:val="0"/>
                <w:szCs w:val="21"/>
                <w:u w:val="single"/>
              </w:rPr>
              <w:t xml:space="preserve">    </w:t>
            </w:r>
            <w:r>
              <w:rPr>
                <w:rFonts w:ascii="宋体" w:hAnsi="宋体"/>
                <w:kern w:val="0"/>
                <w:szCs w:val="21"/>
              </w:rPr>
              <w:t>时</w:t>
            </w:r>
            <w:r>
              <w:rPr>
                <w:rFonts w:hint="eastAsia" w:ascii="宋体" w:hAnsi="宋体"/>
                <w:kern w:val="0"/>
                <w:szCs w:val="21"/>
                <w:u w:val="single"/>
              </w:rPr>
              <w:t xml:space="preserve">    </w:t>
            </w:r>
            <w:r>
              <w:rPr>
                <w:rFonts w:ascii="宋体" w:hAnsi="宋体"/>
                <w:kern w:val="0"/>
                <w:szCs w:val="21"/>
              </w:rPr>
              <w:t>分前不得开启</w:t>
            </w:r>
          </w:p>
        </w:tc>
      </w:tr>
      <w:tr w14:paraId="2402D4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CCF8674">
            <w:pPr>
              <w:snapToGrid w:val="0"/>
              <w:spacing w:line="400" w:lineRule="exact"/>
              <w:jc w:val="center"/>
              <w:rPr>
                <w:rFonts w:ascii="宋体" w:hAnsi="宋体"/>
                <w:kern w:val="0"/>
                <w:szCs w:val="21"/>
              </w:rPr>
            </w:pPr>
            <w:r>
              <w:rPr>
                <w:rFonts w:ascii="宋体" w:hAnsi="宋体"/>
                <w:kern w:val="0"/>
                <w:szCs w:val="21"/>
              </w:rPr>
              <w:t>4.2.1</w:t>
            </w:r>
          </w:p>
        </w:tc>
        <w:tc>
          <w:tcPr>
            <w:tcW w:w="1451" w:type="dxa"/>
            <w:vAlign w:val="center"/>
          </w:tcPr>
          <w:p w14:paraId="34A7DF84">
            <w:pPr>
              <w:snapToGrid w:val="0"/>
              <w:spacing w:line="400" w:lineRule="exact"/>
              <w:jc w:val="center"/>
              <w:rPr>
                <w:rFonts w:ascii="宋体" w:hAnsi="宋体"/>
                <w:kern w:val="0"/>
                <w:szCs w:val="21"/>
              </w:rPr>
            </w:pPr>
            <w:r>
              <w:rPr>
                <w:rFonts w:ascii="宋体" w:hAnsi="宋体"/>
                <w:kern w:val="0"/>
                <w:szCs w:val="21"/>
              </w:rPr>
              <w:t>递交投标文件地点</w:t>
            </w:r>
          </w:p>
        </w:tc>
        <w:tc>
          <w:tcPr>
            <w:tcW w:w="6683" w:type="dxa"/>
            <w:vAlign w:val="center"/>
          </w:tcPr>
          <w:p w14:paraId="1E37E9E0">
            <w:pPr>
              <w:snapToGrid w:val="0"/>
              <w:spacing w:line="400" w:lineRule="exact"/>
              <w:ind w:firstLine="420" w:firstLineChars="200"/>
              <w:rPr>
                <w:rFonts w:ascii="宋体" w:hAnsi="宋体"/>
                <w:bCs/>
                <w:szCs w:val="21"/>
              </w:rPr>
            </w:pPr>
            <w:r>
              <w:rPr>
                <w:rFonts w:hint="eastAsia" w:ascii="宋体" w:hAnsi="宋体"/>
                <w:szCs w:val="21"/>
              </w:rPr>
              <w:t>重庆市南岸区茶园江桥路一号附1号1420办公室</w:t>
            </w:r>
          </w:p>
        </w:tc>
      </w:tr>
      <w:tr w14:paraId="285676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1D1D0205">
            <w:pPr>
              <w:snapToGrid w:val="0"/>
              <w:spacing w:line="400" w:lineRule="exact"/>
              <w:jc w:val="center"/>
              <w:rPr>
                <w:rFonts w:ascii="宋体" w:hAnsi="宋体"/>
                <w:kern w:val="0"/>
                <w:szCs w:val="21"/>
              </w:rPr>
            </w:pPr>
            <w:r>
              <w:rPr>
                <w:rFonts w:ascii="宋体" w:hAnsi="宋体"/>
                <w:kern w:val="0"/>
                <w:szCs w:val="21"/>
              </w:rPr>
              <w:t>4.2.2</w:t>
            </w:r>
          </w:p>
        </w:tc>
        <w:tc>
          <w:tcPr>
            <w:tcW w:w="1451" w:type="dxa"/>
            <w:vAlign w:val="center"/>
          </w:tcPr>
          <w:p w14:paraId="07426F89">
            <w:pPr>
              <w:snapToGrid w:val="0"/>
              <w:spacing w:line="400" w:lineRule="exact"/>
              <w:jc w:val="center"/>
              <w:rPr>
                <w:rFonts w:ascii="宋体" w:hAnsi="宋体"/>
                <w:kern w:val="0"/>
                <w:szCs w:val="21"/>
              </w:rPr>
            </w:pPr>
            <w:r>
              <w:rPr>
                <w:rFonts w:ascii="宋体" w:hAnsi="宋体"/>
                <w:kern w:val="0"/>
                <w:szCs w:val="21"/>
              </w:rPr>
              <w:t>是否退还投标文件</w:t>
            </w:r>
          </w:p>
        </w:tc>
        <w:tc>
          <w:tcPr>
            <w:tcW w:w="6683" w:type="dxa"/>
            <w:vAlign w:val="center"/>
          </w:tcPr>
          <w:p w14:paraId="7A6DB578">
            <w:pPr>
              <w:snapToGrid w:val="0"/>
              <w:spacing w:line="400" w:lineRule="exact"/>
              <w:ind w:firstLine="420" w:firstLineChars="200"/>
              <w:rPr>
                <w:rFonts w:ascii="宋体" w:hAnsi="宋体"/>
                <w:kern w:val="0"/>
                <w:szCs w:val="21"/>
              </w:rPr>
            </w:pPr>
            <w:r>
              <w:rPr>
                <w:rFonts w:ascii="宋体" w:hAnsi="宋体"/>
                <w:kern w:val="0"/>
                <w:szCs w:val="21"/>
              </w:rPr>
              <w:t>否</w:t>
            </w:r>
          </w:p>
        </w:tc>
      </w:tr>
      <w:tr w14:paraId="7D8E6D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30D909A8">
            <w:pPr>
              <w:snapToGrid w:val="0"/>
              <w:spacing w:line="400" w:lineRule="exact"/>
              <w:jc w:val="center"/>
              <w:rPr>
                <w:rFonts w:ascii="宋体" w:hAnsi="宋体"/>
                <w:kern w:val="0"/>
                <w:szCs w:val="21"/>
              </w:rPr>
            </w:pPr>
            <w:r>
              <w:rPr>
                <w:rFonts w:ascii="宋体" w:hAnsi="宋体"/>
                <w:kern w:val="0"/>
                <w:szCs w:val="21"/>
              </w:rPr>
              <w:t>5.1</w:t>
            </w:r>
            <w:r>
              <w:rPr>
                <w:rFonts w:hint="eastAsia" w:ascii="宋体" w:hAnsi="宋体"/>
                <w:kern w:val="0"/>
                <w:szCs w:val="21"/>
              </w:rPr>
              <w:t>.1</w:t>
            </w:r>
          </w:p>
        </w:tc>
        <w:tc>
          <w:tcPr>
            <w:tcW w:w="1451" w:type="dxa"/>
            <w:vAlign w:val="center"/>
          </w:tcPr>
          <w:p w14:paraId="7C290732">
            <w:pPr>
              <w:snapToGrid w:val="0"/>
              <w:spacing w:line="400" w:lineRule="exact"/>
              <w:jc w:val="center"/>
              <w:rPr>
                <w:rFonts w:ascii="宋体" w:hAnsi="宋体"/>
                <w:kern w:val="0"/>
                <w:szCs w:val="21"/>
              </w:rPr>
            </w:pPr>
            <w:r>
              <w:rPr>
                <w:rFonts w:ascii="宋体" w:hAnsi="宋体"/>
                <w:kern w:val="0"/>
                <w:szCs w:val="21"/>
              </w:rPr>
              <w:t>开标时间和</w:t>
            </w:r>
          </w:p>
          <w:p w14:paraId="4C5BE8C9">
            <w:pPr>
              <w:snapToGrid w:val="0"/>
              <w:spacing w:line="400" w:lineRule="exact"/>
              <w:jc w:val="center"/>
              <w:rPr>
                <w:rFonts w:ascii="宋体" w:hAnsi="宋体"/>
                <w:kern w:val="0"/>
                <w:szCs w:val="21"/>
              </w:rPr>
            </w:pPr>
            <w:r>
              <w:rPr>
                <w:rFonts w:ascii="宋体" w:hAnsi="宋体"/>
                <w:kern w:val="0"/>
                <w:szCs w:val="21"/>
              </w:rPr>
              <w:t>地点</w:t>
            </w:r>
          </w:p>
        </w:tc>
        <w:tc>
          <w:tcPr>
            <w:tcW w:w="6683" w:type="dxa"/>
            <w:vAlign w:val="center"/>
          </w:tcPr>
          <w:p w14:paraId="474E07D2">
            <w:pPr>
              <w:snapToGrid w:val="0"/>
              <w:spacing w:line="400" w:lineRule="exact"/>
              <w:ind w:firstLine="420" w:firstLineChars="200"/>
              <w:rPr>
                <w:rFonts w:ascii="宋体" w:hAnsi="宋体"/>
                <w:szCs w:val="21"/>
              </w:rPr>
            </w:pPr>
            <w:r>
              <w:rPr>
                <w:rFonts w:ascii="宋体" w:hAnsi="宋体"/>
                <w:kern w:val="0"/>
                <w:szCs w:val="21"/>
              </w:rPr>
              <w:t>开标时间：：</w:t>
            </w:r>
            <w:r>
              <w:rPr>
                <w:rFonts w:hint="eastAsia" w:ascii="宋体" w:hAnsi="宋体"/>
                <w:szCs w:val="21"/>
              </w:rPr>
              <w:t>2</w:t>
            </w:r>
            <w:r>
              <w:rPr>
                <w:rFonts w:ascii="宋体" w:hAnsi="宋体"/>
                <w:szCs w:val="21"/>
              </w:rPr>
              <w:t>02</w:t>
            </w:r>
            <w:r>
              <w:rPr>
                <w:rFonts w:hint="eastAsia" w:ascii="宋体" w:hAnsi="宋体"/>
                <w:szCs w:val="21"/>
                <w:lang w:val="en-US" w:eastAsia="zh-CN"/>
              </w:rPr>
              <w:t>5</w:t>
            </w:r>
            <w:r>
              <w:rPr>
                <w:rFonts w:ascii="宋体" w:hAnsi="宋体"/>
                <w:color w:val="auto"/>
                <w:szCs w:val="21"/>
              </w:rPr>
              <w:t>年</w:t>
            </w:r>
            <w:r>
              <w:rPr>
                <w:rFonts w:hint="eastAsia" w:ascii="宋体" w:hAnsi="宋体"/>
                <w:color w:val="auto"/>
                <w:szCs w:val="21"/>
                <w:lang w:val="en-US" w:eastAsia="zh-CN"/>
              </w:rPr>
              <w:t>5</w:t>
            </w:r>
            <w:r>
              <w:rPr>
                <w:rFonts w:hint="eastAsia" w:ascii="宋体" w:hAnsi="宋体"/>
                <w:color w:val="auto"/>
                <w:szCs w:val="21"/>
              </w:rPr>
              <w:t>月</w:t>
            </w:r>
            <w:r>
              <w:rPr>
                <w:rFonts w:hint="eastAsia" w:ascii="宋体" w:hAnsi="宋体"/>
                <w:color w:val="auto"/>
                <w:szCs w:val="21"/>
                <w:lang w:val="en-US" w:eastAsia="zh-CN"/>
              </w:rPr>
              <w:t>29</w:t>
            </w:r>
            <w:r>
              <w:rPr>
                <w:rFonts w:hint="eastAsia" w:ascii="宋体" w:hAnsi="宋体"/>
                <w:color w:val="auto"/>
                <w:szCs w:val="21"/>
              </w:rPr>
              <w:t>日上午</w:t>
            </w:r>
            <w:r>
              <w:rPr>
                <w:rFonts w:hint="eastAsia" w:ascii="宋体" w:hAnsi="宋体"/>
                <w:color w:val="auto"/>
                <w:szCs w:val="21"/>
                <w:lang w:val="en-US" w:eastAsia="zh-CN"/>
              </w:rPr>
              <w:t>10</w:t>
            </w:r>
            <w:r>
              <w:rPr>
                <w:rFonts w:hint="eastAsia" w:ascii="宋体" w:hAnsi="宋体"/>
                <w:color w:val="auto"/>
                <w:szCs w:val="21"/>
              </w:rPr>
              <w:t>点00分</w:t>
            </w:r>
          </w:p>
          <w:p w14:paraId="72A73946">
            <w:pPr>
              <w:snapToGrid w:val="0"/>
              <w:spacing w:line="400" w:lineRule="exact"/>
              <w:ind w:firstLine="420" w:firstLineChars="200"/>
              <w:rPr>
                <w:rFonts w:ascii="宋体" w:hAnsi="宋体"/>
                <w:bCs/>
                <w:szCs w:val="21"/>
              </w:rPr>
            </w:pPr>
            <w:r>
              <w:rPr>
                <w:rFonts w:ascii="宋体" w:hAnsi="宋体"/>
                <w:kern w:val="0"/>
                <w:szCs w:val="21"/>
              </w:rPr>
              <w:t>开标地点：</w:t>
            </w:r>
            <w:r>
              <w:rPr>
                <w:rFonts w:hint="eastAsia" w:ascii="宋体" w:hAnsi="宋体"/>
                <w:szCs w:val="21"/>
              </w:rPr>
              <w:t>重庆市南岸区茶园江桥路一号附1号1420办公室</w:t>
            </w:r>
          </w:p>
        </w:tc>
      </w:tr>
      <w:tr w14:paraId="2E13C9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7BF6AF4">
            <w:pPr>
              <w:snapToGrid w:val="0"/>
              <w:spacing w:line="400" w:lineRule="exact"/>
              <w:jc w:val="center"/>
              <w:rPr>
                <w:rFonts w:ascii="宋体" w:hAnsi="宋体"/>
                <w:kern w:val="0"/>
                <w:szCs w:val="21"/>
              </w:rPr>
            </w:pPr>
            <w:r>
              <w:rPr>
                <w:rFonts w:hint="eastAsia" w:ascii="宋体" w:hAnsi="宋体"/>
                <w:kern w:val="0"/>
                <w:szCs w:val="21"/>
              </w:rPr>
              <w:t>5.1.2</w:t>
            </w:r>
          </w:p>
        </w:tc>
        <w:tc>
          <w:tcPr>
            <w:tcW w:w="1451" w:type="dxa"/>
            <w:vAlign w:val="center"/>
          </w:tcPr>
          <w:p w14:paraId="6D56D5A5">
            <w:pPr>
              <w:snapToGrid w:val="0"/>
              <w:spacing w:line="400" w:lineRule="exact"/>
              <w:jc w:val="center"/>
              <w:rPr>
                <w:rFonts w:ascii="宋体" w:hAnsi="宋体"/>
                <w:kern w:val="0"/>
                <w:szCs w:val="21"/>
              </w:rPr>
            </w:pPr>
            <w:r>
              <w:rPr>
                <w:rFonts w:hint="eastAsia" w:ascii="宋体" w:hAnsi="宋体"/>
                <w:kern w:val="0"/>
                <w:szCs w:val="21"/>
              </w:rPr>
              <w:t>解密时间</w:t>
            </w:r>
          </w:p>
        </w:tc>
        <w:tc>
          <w:tcPr>
            <w:tcW w:w="6683" w:type="dxa"/>
            <w:vAlign w:val="center"/>
          </w:tcPr>
          <w:p w14:paraId="57DB9473">
            <w:pPr>
              <w:snapToGrid w:val="0"/>
              <w:spacing w:line="400" w:lineRule="exact"/>
              <w:ind w:firstLine="420" w:firstLineChars="200"/>
              <w:rPr>
                <w:rFonts w:ascii="宋体" w:hAnsi="宋体"/>
                <w:kern w:val="0"/>
                <w:szCs w:val="21"/>
              </w:rPr>
            </w:pPr>
            <w:r>
              <w:rPr>
                <w:rFonts w:hint="eastAsia" w:ascii="宋体" w:hAnsi="宋体"/>
                <w:kern w:val="0"/>
                <w:szCs w:val="21"/>
              </w:rPr>
              <w:t>/</w:t>
            </w:r>
          </w:p>
        </w:tc>
      </w:tr>
      <w:tr w14:paraId="3AE0A3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35A8126">
            <w:pPr>
              <w:snapToGrid w:val="0"/>
              <w:spacing w:line="400" w:lineRule="exact"/>
              <w:jc w:val="center"/>
              <w:rPr>
                <w:rFonts w:ascii="宋体" w:hAnsi="宋体"/>
                <w:szCs w:val="21"/>
              </w:rPr>
            </w:pPr>
            <w:r>
              <w:rPr>
                <w:rFonts w:hint="eastAsia" w:ascii="宋体" w:hAnsi="宋体"/>
                <w:szCs w:val="21"/>
              </w:rPr>
              <w:t>5.2</w:t>
            </w:r>
          </w:p>
        </w:tc>
        <w:tc>
          <w:tcPr>
            <w:tcW w:w="1451" w:type="dxa"/>
            <w:vAlign w:val="center"/>
          </w:tcPr>
          <w:p w14:paraId="6F703CE5">
            <w:pPr>
              <w:snapToGrid w:val="0"/>
              <w:spacing w:line="400" w:lineRule="exact"/>
              <w:jc w:val="center"/>
              <w:rPr>
                <w:rFonts w:ascii="宋体" w:hAnsi="宋体"/>
                <w:szCs w:val="21"/>
              </w:rPr>
            </w:pPr>
            <w:r>
              <w:rPr>
                <w:rFonts w:hint="eastAsia" w:ascii="宋体" w:hAnsi="宋体"/>
                <w:szCs w:val="21"/>
              </w:rPr>
              <w:t>开标程序</w:t>
            </w:r>
          </w:p>
        </w:tc>
        <w:tc>
          <w:tcPr>
            <w:tcW w:w="6683" w:type="dxa"/>
            <w:vAlign w:val="center"/>
          </w:tcPr>
          <w:p w14:paraId="05EA27CD">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主持人按下列程序进行开标：</w:t>
            </w:r>
          </w:p>
          <w:p w14:paraId="580FABCC">
            <w:pPr>
              <w:autoSpaceDE w:val="0"/>
              <w:autoSpaceDN w:val="0"/>
              <w:adjustRightInd w:val="0"/>
              <w:snapToGrid w:val="0"/>
              <w:spacing w:line="400" w:lineRule="exact"/>
              <w:ind w:firstLine="420" w:firstLineChars="200"/>
              <w:rPr>
                <w:rFonts w:ascii="宋体" w:hAnsi="宋体"/>
                <w:szCs w:val="21"/>
              </w:rPr>
            </w:pPr>
            <w:r>
              <w:rPr>
                <w:rFonts w:hint="eastAsia" w:ascii="宋体" w:hAnsi="宋体"/>
                <w:szCs w:val="21"/>
              </w:rPr>
              <w:t>1. 开标时间（应与投标截止时间一致），经采购人确认开标开始后，开启各投标人按时递交的投标文件，公布投标人名单。</w:t>
            </w:r>
          </w:p>
          <w:p w14:paraId="1EB8EE24">
            <w:pPr>
              <w:autoSpaceDE w:val="0"/>
              <w:autoSpaceDN w:val="0"/>
              <w:adjustRightInd w:val="0"/>
              <w:snapToGrid w:val="0"/>
              <w:spacing w:line="400" w:lineRule="exact"/>
              <w:ind w:firstLine="420" w:firstLineChars="200"/>
              <w:rPr>
                <w:rFonts w:ascii="宋体" w:hAnsi="宋体"/>
                <w:szCs w:val="21"/>
              </w:rPr>
            </w:pPr>
            <w:r>
              <w:rPr>
                <w:rFonts w:ascii="宋体" w:hAnsi="宋体"/>
                <w:szCs w:val="21"/>
              </w:rPr>
              <w:t>2</w:t>
            </w:r>
            <w:r>
              <w:rPr>
                <w:rFonts w:hint="eastAsia" w:ascii="宋体" w:hAnsi="宋体"/>
                <w:szCs w:val="21"/>
              </w:rPr>
              <w:t>. 公布最高限价，采用经评审最低投标价法的还需计算最高限价的85%数值，以便评标委员会评审。</w:t>
            </w:r>
          </w:p>
          <w:p w14:paraId="10A19882">
            <w:pPr>
              <w:autoSpaceDE w:val="0"/>
              <w:autoSpaceDN w:val="0"/>
              <w:adjustRightInd w:val="0"/>
              <w:snapToGrid w:val="0"/>
              <w:spacing w:line="400" w:lineRule="exact"/>
              <w:ind w:firstLine="420" w:firstLineChars="200"/>
              <w:rPr>
                <w:rFonts w:ascii="宋体" w:hAnsi="宋体"/>
                <w:szCs w:val="21"/>
              </w:rPr>
            </w:pPr>
            <w:r>
              <w:rPr>
                <w:rFonts w:ascii="宋体" w:hAnsi="宋体"/>
                <w:szCs w:val="21"/>
              </w:rPr>
              <w:t>3</w:t>
            </w:r>
            <w:r>
              <w:rPr>
                <w:rFonts w:hint="eastAsia" w:ascii="宋体" w:hAnsi="宋体"/>
                <w:szCs w:val="21"/>
              </w:rPr>
              <w:t>. 公布投标人名称、投标报价、质量目标、工期及其他内容。</w:t>
            </w:r>
          </w:p>
          <w:p w14:paraId="1D544434">
            <w:pPr>
              <w:autoSpaceDE w:val="0"/>
              <w:autoSpaceDN w:val="0"/>
              <w:adjustRightInd w:val="0"/>
              <w:snapToGrid w:val="0"/>
              <w:spacing w:line="400" w:lineRule="exact"/>
              <w:ind w:firstLine="420" w:firstLineChars="200"/>
              <w:rPr>
                <w:rFonts w:ascii="宋体" w:hAnsi="宋体"/>
                <w:szCs w:val="21"/>
              </w:rPr>
            </w:pPr>
            <w:r>
              <w:rPr>
                <w:rFonts w:ascii="宋体" w:hAnsi="宋体"/>
                <w:szCs w:val="21"/>
              </w:rPr>
              <w:t>4</w:t>
            </w:r>
            <w:r>
              <w:rPr>
                <w:rFonts w:hint="eastAsia" w:ascii="宋体" w:hAnsi="宋体"/>
                <w:szCs w:val="21"/>
              </w:rPr>
              <w:t>. 投标人对开标有异议的，应当场提出，由采购人当场答复，并记录到开标记录表中。异议处理完毕后，汇总开标情况，打印开标记录表。</w:t>
            </w:r>
          </w:p>
          <w:p w14:paraId="2A6D0BD0">
            <w:pPr>
              <w:autoSpaceDE w:val="0"/>
              <w:autoSpaceDN w:val="0"/>
              <w:adjustRightInd w:val="0"/>
              <w:snapToGrid w:val="0"/>
              <w:spacing w:line="400" w:lineRule="exact"/>
              <w:ind w:firstLine="420" w:firstLineChars="200"/>
              <w:rPr>
                <w:rFonts w:ascii="宋体" w:hAnsi="宋体"/>
                <w:szCs w:val="21"/>
              </w:rPr>
            </w:pPr>
            <w:r>
              <w:rPr>
                <w:rFonts w:ascii="宋体" w:hAnsi="宋体"/>
                <w:szCs w:val="21"/>
              </w:rPr>
              <w:t>5</w:t>
            </w:r>
            <w:r>
              <w:rPr>
                <w:rFonts w:hint="eastAsia" w:ascii="宋体" w:hAnsi="宋体"/>
                <w:szCs w:val="21"/>
              </w:rPr>
              <w:t>. 投标人代表、采购人代表、监标人、主持人、记录人等有关人员在开标记录上签字确认。因其他原因未能签字的，视为默认开标结果。</w:t>
            </w:r>
          </w:p>
          <w:p w14:paraId="57244F9A">
            <w:pPr>
              <w:autoSpaceDE w:val="0"/>
              <w:autoSpaceDN w:val="0"/>
              <w:adjustRightInd w:val="0"/>
              <w:snapToGrid w:val="0"/>
              <w:spacing w:line="400" w:lineRule="exact"/>
              <w:ind w:firstLine="420" w:firstLineChars="200"/>
              <w:rPr>
                <w:rFonts w:ascii="宋体" w:hAnsi="宋体"/>
                <w:szCs w:val="21"/>
              </w:rPr>
            </w:pPr>
            <w:r>
              <w:rPr>
                <w:rFonts w:ascii="宋体" w:hAnsi="宋体"/>
                <w:szCs w:val="21"/>
              </w:rPr>
              <w:t>6</w:t>
            </w:r>
            <w:r>
              <w:rPr>
                <w:rFonts w:hint="eastAsia" w:ascii="宋体" w:hAnsi="宋体"/>
                <w:szCs w:val="21"/>
              </w:rPr>
              <w:t>. 开标结束。</w:t>
            </w:r>
          </w:p>
        </w:tc>
      </w:tr>
      <w:tr w14:paraId="551FA9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A5D5151">
            <w:pPr>
              <w:snapToGrid w:val="0"/>
              <w:spacing w:line="400" w:lineRule="exact"/>
              <w:jc w:val="center"/>
              <w:rPr>
                <w:rFonts w:ascii="宋体" w:hAnsi="宋体"/>
                <w:kern w:val="0"/>
                <w:szCs w:val="21"/>
              </w:rPr>
            </w:pPr>
            <w:r>
              <w:rPr>
                <w:rFonts w:ascii="宋体" w:hAnsi="宋体"/>
                <w:kern w:val="0"/>
                <w:szCs w:val="21"/>
              </w:rPr>
              <w:t>6.1.1</w:t>
            </w:r>
          </w:p>
        </w:tc>
        <w:tc>
          <w:tcPr>
            <w:tcW w:w="1451" w:type="dxa"/>
            <w:vAlign w:val="center"/>
          </w:tcPr>
          <w:p w14:paraId="58312447">
            <w:pPr>
              <w:snapToGrid w:val="0"/>
              <w:spacing w:line="400" w:lineRule="exact"/>
              <w:jc w:val="center"/>
              <w:rPr>
                <w:rFonts w:ascii="宋体" w:hAnsi="宋体"/>
                <w:kern w:val="0"/>
                <w:szCs w:val="21"/>
              </w:rPr>
            </w:pPr>
            <w:r>
              <w:rPr>
                <w:rFonts w:ascii="宋体" w:hAnsi="宋体"/>
                <w:kern w:val="0"/>
                <w:szCs w:val="21"/>
              </w:rPr>
              <w:t>评标委员会的组建</w:t>
            </w:r>
          </w:p>
        </w:tc>
        <w:tc>
          <w:tcPr>
            <w:tcW w:w="6683" w:type="dxa"/>
            <w:vAlign w:val="center"/>
          </w:tcPr>
          <w:p w14:paraId="4D6FA5BA">
            <w:pPr>
              <w:autoSpaceDE w:val="0"/>
              <w:autoSpaceDN w:val="0"/>
              <w:adjustRightInd w:val="0"/>
              <w:snapToGrid w:val="0"/>
              <w:spacing w:line="400" w:lineRule="exact"/>
              <w:ind w:firstLine="436" w:firstLineChars="200"/>
              <w:rPr>
                <w:rFonts w:hint="eastAsia" w:ascii="宋体" w:hAnsi="宋体" w:eastAsia="宋体"/>
                <w:kern w:val="0"/>
                <w:szCs w:val="21"/>
                <w:lang w:eastAsia="zh-CN"/>
              </w:rPr>
            </w:pPr>
            <w:r>
              <w:rPr>
                <w:rFonts w:hint="eastAsia" w:ascii="宋体" w:hAnsi="宋体"/>
                <w:spacing w:val="4"/>
                <w:kern w:val="0"/>
                <w:szCs w:val="21"/>
              </w:rPr>
              <w:t>由</w:t>
            </w:r>
            <w:r>
              <w:rPr>
                <w:rFonts w:hint="eastAsia" w:ascii="宋体" w:hAnsi="宋体"/>
                <w:spacing w:val="4"/>
                <w:kern w:val="0"/>
                <w:szCs w:val="21"/>
                <w:lang w:eastAsia="zh-CN"/>
              </w:rPr>
              <w:t>招标</w:t>
            </w:r>
            <w:r>
              <w:rPr>
                <w:rFonts w:hint="eastAsia" w:ascii="宋体" w:hAnsi="宋体"/>
                <w:spacing w:val="4"/>
                <w:kern w:val="0"/>
                <w:szCs w:val="21"/>
              </w:rPr>
              <w:t>人依法自行组建评标委员会</w:t>
            </w:r>
            <w:r>
              <w:rPr>
                <w:rFonts w:hint="eastAsia" w:ascii="宋体" w:hAnsi="宋体"/>
                <w:spacing w:val="4"/>
                <w:kern w:val="0"/>
                <w:szCs w:val="21"/>
                <w:lang w:eastAsia="zh-CN"/>
              </w:rPr>
              <w:t>。</w:t>
            </w:r>
          </w:p>
        </w:tc>
      </w:tr>
      <w:tr w14:paraId="4478A6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214B945E">
            <w:pPr>
              <w:snapToGrid w:val="0"/>
              <w:spacing w:line="400" w:lineRule="exact"/>
              <w:jc w:val="center"/>
              <w:rPr>
                <w:rFonts w:ascii="宋体" w:hAnsi="宋体"/>
                <w:kern w:val="0"/>
                <w:szCs w:val="21"/>
              </w:rPr>
            </w:pPr>
            <w:r>
              <w:rPr>
                <w:rFonts w:ascii="宋体" w:hAnsi="宋体"/>
                <w:kern w:val="0"/>
                <w:szCs w:val="21"/>
              </w:rPr>
              <w:t>7.1</w:t>
            </w:r>
          </w:p>
        </w:tc>
        <w:tc>
          <w:tcPr>
            <w:tcW w:w="1451" w:type="dxa"/>
            <w:vAlign w:val="center"/>
          </w:tcPr>
          <w:p w14:paraId="3148E821">
            <w:pPr>
              <w:snapToGrid w:val="0"/>
              <w:spacing w:after="62" w:afterLines="20" w:line="400" w:lineRule="exact"/>
              <w:jc w:val="center"/>
              <w:rPr>
                <w:rFonts w:ascii="宋体" w:hAnsi="宋体"/>
                <w:kern w:val="0"/>
                <w:szCs w:val="21"/>
              </w:rPr>
            </w:pPr>
            <w:r>
              <w:rPr>
                <w:rFonts w:ascii="宋体" w:hAnsi="宋体"/>
                <w:kern w:val="0"/>
                <w:szCs w:val="21"/>
              </w:rPr>
              <w:t>是否授权评标委员会确定中标人</w:t>
            </w:r>
          </w:p>
        </w:tc>
        <w:tc>
          <w:tcPr>
            <w:tcW w:w="6683" w:type="dxa"/>
            <w:vAlign w:val="center"/>
          </w:tcPr>
          <w:p w14:paraId="36BC1A6A">
            <w:pPr>
              <w:snapToGrid w:val="0"/>
              <w:spacing w:line="400" w:lineRule="exact"/>
              <w:ind w:firstLine="420" w:firstLineChars="200"/>
              <w:rPr>
                <w:rFonts w:ascii="宋体" w:hAnsi="宋体"/>
                <w:kern w:val="0"/>
                <w:szCs w:val="21"/>
              </w:rPr>
            </w:pPr>
            <w:r>
              <w:rPr>
                <w:rFonts w:ascii="宋体" w:hAnsi="宋体"/>
                <w:kern w:val="0"/>
                <w:szCs w:val="21"/>
              </w:rPr>
              <w:t>否，推荐经评审合格的</w:t>
            </w:r>
            <w:r>
              <w:rPr>
                <w:rFonts w:hint="eastAsia" w:ascii="宋体" w:hAnsi="宋体"/>
                <w:kern w:val="0"/>
                <w:szCs w:val="21"/>
              </w:rPr>
              <w:t>报价</w:t>
            </w:r>
            <w:r>
              <w:rPr>
                <w:rFonts w:ascii="宋体" w:hAnsi="宋体"/>
                <w:kern w:val="0"/>
                <w:szCs w:val="21"/>
              </w:rPr>
              <w:t>由低到高排名前三名为中标候选人。</w:t>
            </w:r>
            <w:r>
              <w:rPr>
                <w:rFonts w:ascii="宋体" w:hAnsi="宋体"/>
                <w:i/>
                <w:kern w:val="0"/>
                <w:szCs w:val="21"/>
              </w:rPr>
              <w:t xml:space="preserve"> </w:t>
            </w:r>
          </w:p>
        </w:tc>
      </w:tr>
      <w:tr w14:paraId="0BD66C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2580D09">
            <w:pPr>
              <w:snapToGrid w:val="0"/>
              <w:spacing w:line="400" w:lineRule="exact"/>
              <w:jc w:val="center"/>
              <w:rPr>
                <w:rFonts w:ascii="宋体" w:hAnsi="宋体"/>
                <w:kern w:val="0"/>
                <w:szCs w:val="21"/>
              </w:rPr>
            </w:pPr>
            <w:r>
              <w:rPr>
                <w:rFonts w:hint="eastAsia" w:ascii="宋体" w:hAnsi="宋体"/>
                <w:kern w:val="0"/>
                <w:szCs w:val="21"/>
              </w:rPr>
              <w:t>7.2</w:t>
            </w:r>
          </w:p>
        </w:tc>
        <w:tc>
          <w:tcPr>
            <w:tcW w:w="1451" w:type="dxa"/>
            <w:vAlign w:val="center"/>
          </w:tcPr>
          <w:p w14:paraId="69D8F287">
            <w:pPr>
              <w:snapToGrid w:val="0"/>
              <w:spacing w:after="62" w:afterLines="20" w:line="400" w:lineRule="exact"/>
              <w:jc w:val="center"/>
              <w:rPr>
                <w:rFonts w:ascii="宋体" w:hAnsi="宋体"/>
                <w:kern w:val="0"/>
                <w:szCs w:val="21"/>
              </w:rPr>
            </w:pPr>
            <w:r>
              <w:rPr>
                <w:rFonts w:ascii="宋体" w:hAnsi="宋体"/>
                <w:kern w:val="0"/>
                <w:szCs w:val="21"/>
              </w:rPr>
              <w:t>中标公示</w:t>
            </w:r>
          </w:p>
        </w:tc>
        <w:tc>
          <w:tcPr>
            <w:tcW w:w="6683" w:type="dxa"/>
            <w:vAlign w:val="center"/>
          </w:tcPr>
          <w:p w14:paraId="4873C1AB">
            <w:pPr>
              <w:snapToGrid w:val="0"/>
              <w:spacing w:line="400" w:lineRule="exact"/>
              <w:ind w:firstLine="420" w:firstLineChars="200"/>
              <w:rPr>
                <w:rFonts w:ascii="宋体" w:hAnsi="宋体"/>
                <w:kern w:val="0"/>
                <w:szCs w:val="21"/>
              </w:rPr>
            </w:pPr>
            <w:r>
              <w:rPr>
                <w:rFonts w:hint="eastAsia" w:ascii="宋体" w:hAnsi="宋体" w:cs="宋体"/>
                <w:szCs w:val="21"/>
              </w:rPr>
              <w:t>采购人在收到评标报告后3日内将评标结果在</w:t>
            </w:r>
            <w:r>
              <w:rPr>
                <w:rFonts w:hint="eastAsia" w:ascii="宋体" w:hAnsi="宋体"/>
                <w:snapToGrid w:val="0"/>
                <w:kern w:val="0"/>
                <w:szCs w:val="21"/>
              </w:rPr>
              <w:t>重庆经开区投资集团官网</w:t>
            </w:r>
            <w:r>
              <w:rPr>
                <w:rFonts w:hint="eastAsia" w:ascii="宋体" w:hAnsi="宋体"/>
                <w:snapToGrid w:val="0"/>
                <w:kern w:val="0"/>
                <w:szCs w:val="21"/>
                <w:u w:val="single"/>
              </w:rPr>
              <w:t>（</w:t>
            </w:r>
            <w:r>
              <w:fldChar w:fldCharType="begin"/>
            </w:r>
            <w:r>
              <w:instrText xml:space="preserve"> HYPERLINK "http://www.cetzig.com/" </w:instrText>
            </w:r>
            <w:r>
              <w:fldChar w:fldCharType="separate"/>
            </w:r>
            <w:r>
              <w:rPr>
                <w:rFonts w:ascii="宋体" w:hAnsi="宋体"/>
                <w:snapToGrid w:val="0"/>
                <w:kern w:val="0"/>
                <w:szCs w:val="21"/>
                <w:u w:val="single"/>
              </w:rPr>
              <w:t>http://www.cetzig.com/</w:t>
            </w:r>
            <w:r>
              <w:rPr>
                <w:rFonts w:ascii="宋体" w:hAnsi="宋体"/>
                <w:snapToGrid w:val="0"/>
                <w:kern w:val="0"/>
                <w:szCs w:val="21"/>
                <w:u w:val="single"/>
              </w:rPr>
              <w:fldChar w:fldCharType="end"/>
            </w:r>
            <w:r>
              <w:rPr>
                <w:rFonts w:hint="eastAsia" w:ascii="宋体" w:hAnsi="宋体"/>
                <w:snapToGrid w:val="0"/>
                <w:kern w:val="0"/>
                <w:szCs w:val="21"/>
                <w:u w:val="single"/>
              </w:rPr>
              <w:t>）</w:t>
            </w:r>
            <w:r>
              <w:rPr>
                <w:rFonts w:hint="eastAsia" w:ascii="宋体" w:hAnsi="宋体"/>
                <w:snapToGrid w:val="0"/>
                <w:kern w:val="0"/>
                <w:szCs w:val="21"/>
              </w:rPr>
              <w:t>和行采家（https://www.gec123.com/）</w:t>
            </w:r>
            <w:r>
              <w:rPr>
                <w:rFonts w:hint="eastAsia" w:ascii="宋体" w:hAnsi="宋体" w:cs="宋体"/>
                <w:szCs w:val="21"/>
              </w:rPr>
              <w:t>上进行公示，公示期为</w:t>
            </w:r>
            <w:r>
              <w:rPr>
                <w:rFonts w:hint="eastAsia" w:ascii="宋体" w:hAnsi="宋体" w:cs="宋体"/>
                <w:szCs w:val="21"/>
                <w:lang w:val="en-US" w:eastAsia="zh-CN"/>
              </w:rPr>
              <w:t>1</w:t>
            </w:r>
            <w:r>
              <w:rPr>
                <w:rFonts w:hint="eastAsia" w:ascii="宋体" w:hAnsi="宋体" w:cs="宋体"/>
                <w:szCs w:val="21"/>
              </w:rPr>
              <w:t>日。</w:t>
            </w:r>
          </w:p>
        </w:tc>
      </w:tr>
      <w:tr w14:paraId="24DD85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E0F2A32">
            <w:pPr>
              <w:snapToGrid w:val="0"/>
              <w:spacing w:line="400" w:lineRule="exact"/>
              <w:jc w:val="center"/>
              <w:rPr>
                <w:rFonts w:ascii="宋体" w:hAnsi="宋体"/>
                <w:kern w:val="0"/>
                <w:szCs w:val="21"/>
              </w:rPr>
            </w:pPr>
            <w:r>
              <w:rPr>
                <w:rFonts w:ascii="宋体" w:hAnsi="宋体"/>
                <w:kern w:val="0"/>
                <w:szCs w:val="21"/>
              </w:rPr>
              <w:t>7.3.1</w:t>
            </w:r>
          </w:p>
        </w:tc>
        <w:tc>
          <w:tcPr>
            <w:tcW w:w="1451" w:type="dxa"/>
            <w:vAlign w:val="center"/>
          </w:tcPr>
          <w:p w14:paraId="16121AEA">
            <w:pPr>
              <w:snapToGrid w:val="0"/>
              <w:spacing w:line="400" w:lineRule="exact"/>
              <w:jc w:val="center"/>
              <w:rPr>
                <w:rFonts w:ascii="宋体" w:hAnsi="宋体"/>
                <w:kern w:val="0"/>
                <w:szCs w:val="21"/>
              </w:rPr>
            </w:pPr>
            <w:r>
              <w:rPr>
                <w:rFonts w:ascii="宋体" w:hAnsi="宋体"/>
                <w:kern w:val="0"/>
                <w:szCs w:val="21"/>
              </w:rPr>
              <w:t>履约担保</w:t>
            </w:r>
          </w:p>
        </w:tc>
        <w:tc>
          <w:tcPr>
            <w:tcW w:w="6683" w:type="dxa"/>
            <w:vAlign w:val="center"/>
          </w:tcPr>
          <w:p w14:paraId="55D9DC62">
            <w:pPr>
              <w:snapToGrid w:val="0"/>
              <w:spacing w:line="400" w:lineRule="exact"/>
              <w:ind w:firstLine="420" w:firstLineChars="200"/>
              <w:rPr>
                <w:rFonts w:ascii="宋体" w:hAnsi="宋体"/>
                <w:kern w:val="0"/>
                <w:szCs w:val="21"/>
              </w:rPr>
            </w:pPr>
            <w:r>
              <w:rPr>
                <w:rFonts w:hint="eastAsia" w:ascii="宋体" w:hAnsi="宋体"/>
                <w:kern w:val="0"/>
                <w:szCs w:val="21"/>
              </w:rPr>
              <w:t>1、中标人是否提供履约担保：</w:t>
            </w:r>
            <w:r>
              <w:rPr>
                <w:rFonts w:hint="eastAsia" w:ascii="宋体" w:hAnsi="宋体"/>
                <w:kern w:val="0"/>
                <w:szCs w:val="21"/>
                <w:u w:val="single"/>
              </w:rPr>
              <w:t>提供</w:t>
            </w:r>
            <w:r>
              <w:rPr>
                <w:rFonts w:hint="eastAsia" w:ascii="宋体" w:hAnsi="宋体"/>
                <w:kern w:val="0"/>
                <w:szCs w:val="21"/>
              </w:rPr>
              <w:t>。</w:t>
            </w:r>
          </w:p>
          <w:p w14:paraId="12E2A301">
            <w:pPr>
              <w:snapToGrid w:val="0"/>
              <w:spacing w:line="400" w:lineRule="exact"/>
              <w:ind w:firstLine="420" w:firstLineChars="200"/>
              <w:rPr>
                <w:rFonts w:ascii="宋体" w:hAnsi="宋体"/>
                <w:kern w:val="0"/>
                <w:szCs w:val="21"/>
              </w:rPr>
            </w:pPr>
            <w:r>
              <w:rPr>
                <w:rFonts w:hint="eastAsia" w:ascii="宋体" w:hAnsi="宋体"/>
                <w:kern w:val="0"/>
                <w:szCs w:val="21"/>
              </w:rPr>
              <w:t>2、中标人提供履约担保的形式、金额及期限：</w:t>
            </w:r>
          </w:p>
          <w:p w14:paraId="5EF8200C">
            <w:pPr>
              <w:snapToGrid w:val="0"/>
              <w:spacing w:line="400" w:lineRule="exact"/>
              <w:ind w:firstLine="420" w:firstLineChars="200"/>
              <w:rPr>
                <w:rFonts w:ascii="宋体" w:hAnsi="宋体"/>
                <w:kern w:val="0"/>
                <w:szCs w:val="21"/>
              </w:rPr>
            </w:pPr>
            <w:r>
              <w:rPr>
                <w:rFonts w:hint="eastAsia" w:ascii="宋体" w:hAnsi="宋体"/>
                <w:kern w:val="0"/>
                <w:szCs w:val="21"/>
              </w:rPr>
              <w:t>（1）履约担保的形式：现金或银行保函或现金+银行保函的组合；采用银行保函</w:t>
            </w:r>
            <w:r>
              <w:rPr>
                <w:rFonts w:hint="eastAsia" w:ascii="宋体" w:hAnsi="宋体"/>
                <w:color w:val="auto"/>
                <w:kern w:val="0"/>
                <w:szCs w:val="21"/>
              </w:rPr>
              <w:t>(仅限于全国性商业银行不含地方银行)</w:t>
            </w:r>
            <w:r>
              <w:rPr>
                <w:rFonts w:hint="eastAsia" w:ascii="宋体" w:hAnsi="宋体"/>
                <w:kern w:val="0"/>
                <w:szCs w:val="21"/>
              </w:rPr>
              <w:t>形式的，保函必须为不可撤销且见索即付；</w:t>
            </w:r>
          </w:p>
          <w:p w14:paraId="476786DD">
            <w:pPr>
              <w:snapToGrid w:val="0"/>
              <w:spacing w:line="400" w:lineRule="exact"/>
              <w:ind w:firstLine="420" w:firstLineChars="200"/>
              <w:rPr>
                <w:rFonts w:ascii="宋体" w:hAnsi="宋体"/>
                <w:kern w:val="0"/>
                <w:szCs w:val="21"/>
              </w:rPr>
            </w:pPr>
            <w:r>
              <w:rPr>
                <w:rFonts w:hint="eastAsia" w:ascii="宋体" w:hAnsi="宋体"/>
                <w:kern w:val="0"/>
                <w:szCs w:val="21"/>
              </w:rPr>
              <w:t>（2）履约担保的金额：</w:t>
            </w:r>
            <w:r>
              <w:rPr>
                <w:rFonts w:hint="eastAsia" w:ascii="宋体" w:hAnsi="宋体"/>
                <w:kern w:val="0"/>
                <w:szCs w:val="21"/>
                <w:u w:val="single"/>
              </w:rPr>
              <w:t xml:space="preserve"> </w:t>
            </w:r>
            <w:r>
              <w:rPr>
                <w:rFonts w:ascii="宋体" w:hAnsi="宋体"/>
                <w:szCs w:val="32"/>
                <w:u w:val="single"/>
              </w:rPr>
              <w:t>中标价的10％</w:t>
            </w:r>
            <w:r>
              <w:rPr>
                <w:rFonts w:hint="eastAsia" w:ascii="宋体" w:hAnsi="宋体"/>
                <w:kern w:val="0"/>
                <w:szCs w:val="21"/>
              </w:rPr>
              <w:t>。</w:t>
            </w:r>
          </w:p>
          <w:p w14:paraId="6111DE52">
            <w:pPr>
              <w:snapToGrid w:val="0"/>
              <w:spacing w:line="400" w:lineRule="exact"/>
              <w:ind w:firstLine="420" w:firstLineChars="200"/>
              <w:rPr>
                <w:rFonts w:ascii="宋体" w:hAnsi="宋体"/>
                <w:kern w:val="0"/>
                <w:szCs w:val="21"/>
              </w:rPr>
            </w:pPr>
            <w:r>
              <w:rPr>
                <w:rFonts w:hint="eastAsia" w:ascii="宋体" w:hAnsi="宋体"/>
                <w:kern w:val="0"/>
                <w:szCs w:val="21"/>
              </w:rPr>
              <w:t>（3）履约担保的提交时间：见专用合同条款。</w:t>
            </w:r>
          </w:p>
          <w:p w14:paraId="044D7A53">
            <w:pPr>
              <w:snapToGrid w:val="0"/>
              <w:spacing w:line="400" w:lineRule="exact"/>
              <w:ind w:firstLine="420" w:firstLineChars="200"/>
              <w:rPr>
                <w:rFonts w:ascii="宋体" w:hAnsi="宋体"/>
                <w:kern w:val="0"/>
                <w:szCs w:val="21"/>
              </w:rPr>
            </w:pPr>
            <w:r>
              <w:rPr>
                <w:rFonts w:hint="eastAsia" w:ascii="宋体" w:hAnsi="宋体"/>
                <w:kern w:val="0"/>
                <w:szCs w:val="21"/>
              </w:rPr>
              <w:t>（4）履约担保的期限：见专用合同条款。</w:t>
            </w:r>
          </w:p>
          <w:p w14:paraId="4176BC99">
            <w:pPr>
              <w:snapToGrid w:val="0"/>
              <w:spacing w:after="62" w:afterLines="20" w:line="400" w:lineRule="exact"/>
              <w:ind w:firstLine="420" w:firstLineChars="200"/>
              <w:rPr>
                <w:rFonts w:ascii="宋体" w:hAnsi="宋体"/>
                <w:kern w:val="0"/>
                <w:szCs w:val="21"/>
              </w:rPr>
            </w:pPr>
            <w:r>
              <w:rPr>
                <w:rFonts w:hint="eastAsia" w:ascii="宋体" w:hAnsi="宋体"/>
                <w:kern w:val="0"/>
                <w:szCs w:val="21"/>
              </w:rPr>
              <w:t>（5）履约担保的退还时间：见专用合同条款。</w:t>
            </w:r>
          </w:p>
        </w:tc>
      </w:tr>
      <w:tr w14:paraId="588D78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69E68CCA">
            <w:pPr>
              <w:snapToGrid w:val="0"/>
              <w:spacing w:line="40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7.4</w:t>
            </w:r>
          </w:p>
        </w:tc>
        <w:tc>
          <w:tcPr>
            <w:tcW w:w="1451" w:type="dxa"/>
            <w:vAlign w:val="center"/>
          </w:tcPr>
          <w:p w14:paraId="54CA4649">
            <w:pPr>
              <w:snapToGrid w:val="0"/>
              <w:spacing w:line="400" w:lineRule="exact"/>
              <w:jc w:val="center"/>
              <w:rPr>
                <w:rFonts w:hint="eastAsia" w:ascii="宋体" w:hAnsi="宋体" w:eastAsia="宋体"/>
                <w:kern w:val="0"/>
                <w:szCs w:val="21"/>
                <w:lang w:eastAsia="zh-CN"/>
              </w:rPr>
            </w:pPr>
            <w:r>
              <w:rPr>
                <w:rFonts w:hint="eastAsia" w:ascii="宋体" w:hAnsi="宋体"/>
                <w:kern w:val="0"/>
                <w:szCs w:val="21"/>
                <w:lang w:eastAsia="zh-CN"/>
              </w:rPr>
              <w:t>预付款的支付</w:t>
            </w:r>
          </w:p>
        </w:tc>
        <w:tc>
          <w:tcPr>
            <w:tcW w:w="6683" w:type="dxa"/>
            <w:vAlign w:val="center"/>
          </w:tcPr>
          <w:p w14:paraId="528A7F8F">
            <w:pPr>
              <w:snapToGrid w:val="0"/>
              <w:spacing w:after="62" w:afterLines="20" w:line="400" w:lineRule="exact"/>
              <w:ind w:firstLine="420" w:firstLineChars="200"/>
              <w:rPr>
                <w:rFonts w:hint="eastAsia" w:ascii="宋体" w:hAnsi="宋体" w:eastAsia="宋体"/>
                <w:kern w:val="0"/>
                <w:szCs w:val="21"/>
                <w:lang w:eastAsia="zh-CN"/>
              </w:rPr>
            </w:pPr>
            <w:r>
              <w:rPr>
                <w:rFonts w:hint="eastAsia" w:ascii="宋体" w:hAnsi="宋体"/>
                <w:kern w:val="0"/>
                <w:szCs w:val="21"/>
                <w:lang w:eastAsia="zh-CN"/>
              </w:rPr>
              <w:t>无</w:t>
            </w:r>
          </w:p>
        </w:tc>
      </w:tr>
      <w:tr w14:paraId="67B3B44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95" w:hRule="atLeast"/>
          <w:jc w:val="center"/>
        </w:trPr>
        <w:tc>
          <w:tcPr>
            <w:tcW w:w="1240" w:type="dxa"/>
            <w:vAlign w:val="center"/>
          </w:tcPr>
          <w:p w14:paraId="01062856">
            <w:pPr>
              <w:snapToGrid w:val="0"/>
              <w:spacing w:line="400" w:lineRule="exact"/>
              <w:jc w:val="center"/>
              <w:rPr>
                <w:rFonts w:ascii="宋体" w:hAnsi="宋体"/>
                <w:kern w:val="0"/>
                <w:szCs w:val="21"/>
              </w:rPr>
            </w:pPr>
            <w:r>
              <w:rPr>
                <w:rFonts w:ascii="宋体" w:hAnsi="宋体"/>
                <w:kern w:val="0"/>
                <w:szCs w:val="21"/>
              </w:rPr>
              <w:t>8.1</w:t>
            </w:r>
          </w:p>
        </w:tc>
        <w:tc>
          <w:tcPr>
            <w:tcW w:w="1451" w:type="dxa"/>
            <w:vAlign w:val="center"/>
          </w:tcPr>
          <w:p w14:paraId="1A4795C1">
            <w:pPr>
              <w:snapToGrid w:val="0"/>
              <w:spacing w:line="400" w:lineRule="exact"/>
              <w:jc w:val="center"/>
              <w:rPr>
                <w:rFonts w:ascii="宋体" w:hAnsi="宋体"/>
                <w:kern w:val="0"/>
                <w:szCs w:val="21"/>
              </w:rPr>
            </w:pPr>
            <w:r>
              <w:rPr>
                <w:rFonts w:ascii="宋体" w:hAnsi="宋体"/>
                <w:kern w:val="0"/>
                <w:szCs w:val="21"/>
              </w:rPr>
              <w:t>重新</w:t>
            </w:r>
            <w:r>
              <w:rPr>
                <w:rFonts w:hint="eastAsia" w:ascii="宋体" w:hAnsi="宋体"/>
                <w:kern w:val="0"/>
                <w:szCs w:val="21"/>
              </w:rPr>
              <w:t>采购的情形</w:t>
            </w:r>
          </w:p>
        </w:tc>
        <w:tc>
          <w:tcPr>
            <w:tcW w:w="6683" w:type="dxa"/>
            <w:vAlign w:val="center"/>
          </w:tcPr>
          <w:p w14:paraId="077A3FCF">
            <w:pPr>
              <w:snapToGrid w:val="0"/>
              <w:spacing w:line="400" w:lineRule="exact"/>
              <w:ind w:firstLine="420" w:firstLineChars="200"/>
              <w:rPr>
                <w:rFonts w:ascii="宋体" w:hAnsi="宋体"/>
                <w:kern w:val="0"/>
                <w:szCs w:val="21"/>
              </w:rPr>
            </w:pPr>
            <w:r>
              <w:rPr>
                <w:rFonts w:ascii="宋体" w:hAnsi="宋体"/>
                <w:kern w:val="0"/>
                <w:szCs w:val="21"/>
              </w:rPr>
              <w:t>1.按投标人须知第8.1（1）执行；</w:t>
            </w:r>
          </w:p>
          <w:p w14:paraId="4C688980">
            <w:pPr>
              <w:snapToGrid w:val="0"/>
              <w:spacing w:line="400" w:lineRule="exact"/>
              <w:ind w:firstLine="420" w:firstLineChars="200"/>
              <w:rPr>
                <w:rFonts w:ascii="宋体" w:hAnsi="宋体"/>
                <w:kern w:val="0"/>
                <w:szCs w:val="21"/>
              </w:rPr>
            </w:pPr>
            <w:r>
              <w:rPr>
                <w:rFonts w:ascii="宋体" w:hAnsi="宋体"/>
                <w:kern w:val="0"/>
                <w:szCs w:val="21"/>
              </w:rPr>
              <w:t>2.按投标人须知第8.1（2）执行；</w:t>
            </w:r>
          </w:p>
          <w:p w14:paraId="0E8719DB">
            <w:pPr>
              <w:snapToGrid w:val="0"/>
              <w:spacing w:line="400" w:lineRule="exact"/>
              <w:ind w:firstLine="420" w:firstLineChars="200"/>
              <w:rPr>
                <w:rFonts w:ascii="宋体" w:hAnsi="宋体"/>
                <w:kern w:val="0"/>
                <w:szCs w:val="21"/>
              </w:rPr>
            </w:pPr>
            <w:r>
              <w:rPr>
                <w:rFonts w:ascii="宋体" w:hAnsi="宋体"/>
                <w:snapToGrid w:val="0"/>
                <w:kern w:val="0"/>
                <w:szCs w:val="21"/>
              </w:rPr>
              <w:t>3.</w:t>
            </w:r>
            <w:r>
              <w:rPr>
                <w:rFonts w:ascii="宋体" w:hAnsi="宋体"/>
                <w:kern w:val="0"/>
                <w:szCs w:val="21"/>
              </w:rPr>
              <w:t>按投标人须知第8.1（3）执行；</w:t>
            </w:r>
          </w:p>
          <w:p w14:paraId="65369889">
            <w:pPr>
              <w:snapToGrid w:val="0"/>
              <w:spacing w:line="400" w:lineRule="exact"/>
              <w:ind w:firstLine="420" w:firstLineChars="200"/>
              <w:rPr>
                <w:rFonts w:ascii="宋体" w:hAnsi="宋体"/>
                <w:kern w:val="0"/>
                <w:szCs w:val="21"/>
              </w:rPr>
            </w:pPr>
            <w:r>
              <w:rPr>
                <w:rFonts w:ascii="宋体" w:hAnsi="宋体"/>
                <w:snapToGrid w:val="0"/>
                <w:kern w:val="0"/>
                <w:szCs w:val="21"/>
              </w:rPr>
              <w:t>4.</w:t>
            </w:r>
            <w:r>
              <w:rPr>
                <w:rFonts w:ascii="宋体" w:hAnsi="宋体"/>
                <w:kern w:val="0"/>
                <w:szCs w:val="21"/>
              </w:rPr>
              <w:t>按投标人须知第8.1（4）执行</w:t>
            </w:r>
            <w:r>
              <w:rPr>
                <w:rFonts w:hint="eastAsia" w:ascii="宋体" w:hAnsi="宋体"/>
                <w:kern w:val="0"/>
                <w:szCs w:val="21"/>
              </w:rPr>
              <w:t>；</w:t>
            </w:r>
          </w:p>
          <w:p w14:paraId="62EC8A7A">
            <w:pPr>
              <w:snapToGrid w:val="0"/>
              <w:spacing w:line="400" w:lineRule="exact"/>
              <w:ind w:firstLine="420" w:firstLineChars="200"/>
              <w:rPr>
                <w:rFonts w:ascii="宋体" w:hAnsi="宋体"/>
                <w:kern w:val="0"/>
                <w:szCs w:val="21"/>
              </w:rPr>
            </w:pPr>
            <w:r>
              <w:rPr>
                <w:rFonts w:hint="eastAsia" w:ascii="宋体" w:hAnsi="宋体"/>
                <w:kern w:val="0"/>
                <w:szCs w:val="21"/>
              </w:rPr>
              <w:t>5.投标人之和少于3个的。</w:t>
            </w:r>
          </w:p>
        </w:tc>
      </w:tr>
      <w:tr w14:paraId="783FF4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45F690E7">
            <w:pPr>
              <w:snapToGrid w:val="0"/>
              <w:spacing w:line="400" w:lineRule="exact"/>
              <w:jc w:val="center"/>
              <w:rPr>
                <w:rFonts w:ascii="宋体" w:hAnsi="宋体"/>
                <w:kern w:val="0"/>
                <w:szCs w:val="21"/>
              </w:rPr>
            </w:pPr>
            <w:r>
              <w:rPr>
                <w:rFonts w:ascii="宋体" w:hAnsi="宋体"/>
                <w:kern w:val="0"/>
                <w:szCs w:val="21"/>
              </w:rPr>
              <w:t>8.2</w:t>
            </w:r>
          </w:p>
        </w:tc>
        <w:tc>
          <w:tcPr>
            <w:tcW w:w="1451" w:type="dxa"/>
            <w:vAlign w:val="center"/>
          </w:tcPr>
          <w:p w14:paraId="0D268984">
            <w:pPr>
              <w:snapToGrid w:val="0"/>
              <w:spacing w:line="400" w:lineRule="exact"/>
              <w:jc w:val="center"/>
            </w:pPr>
            <w:bookmarkStart w:id="80" w:name="_Toc509218709"/>
            <w:bookmarkStart w:id="81" w:name="_Toc536628250"/>
            <w:bookmarkStart w:id="82" w:name="_Toc13210670"/>
            <w:bookmarkStart w:id="83" w:name="_Toc16930431"/>
            <w:bookmarkStart w:id="84" w:name="_Toc430530434"/>
            <w:r>
              <w:rPr>
                <w:rFonts w:hint="eastAsia" w:ascii="宋体" w:hAnsi="宋体"/>
                <w:kern w:val="0"/>
                <w:szCs w:val="21"/>
              </w:rPr>
              <w:t>重新采购</w:t>
            </w:r>
            <w:r>
              <w:rPr>
                <w:rFonts w:ascii="宋体" w:hAnsi="宋体"/>
                <w:kern w:val="0"/>
                <w:szCs w:val="21"/>
              </w:rPr>
              <w:t>和不再</w:t>
            </w:r>
            <w:bookmarkEnd w:id="80"/>
            <w:bookmarkEnd w:id="81"/>
            <w:bookmarkEnd w:id="82"/>
            <w:bookmarkEnd w:id="83"/>
            <w:bookmarkEnd w:id="84"/>
            <w:r>
              <w:rPr>
                <w:rFonts w:hint="eastAsia" w:ascii="宋体" w:hAnsi="宋体"/>
                <w:kern w:val="0"/>
                <w:szCs w:val="21"/>
              </w:rPr>
              <w:t>采购</w:t>
            </w:r>
          </w:p>
        </w:tc>
        <w:tc>
          <w:tcPr>
            <w:tcW w:w="6683" w:type="dxa"/>
            <w:vAlign w:val="center"/>
          </w:tcPr>
          <w:p w14:paraId="324DFDEF">
            <w:pPr>
              <w:autoSpaceDE w:val="0"/>
              <w:autoSpaceDN w:val="0"/>
              <w:adjustRightInd w:val="0"/>
              <w:snapToGrid w:val="0"/>
              <w:spacing w:after="62" w:afterLines="20" w:line="400" w:lineRule="exact"/>
              <w:ind w:firstLine="420" w:firstLineChars="20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p>
        </w:tc>
      </w:tr>
      <w:tr w14:paraId="4916E0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59E5EC0D">
            <w:pPr>
              <w:snapToGrid w:val="0"/>
              <w:spacing w:line="400" w:lineRule="exact"/>
              <w:jc w:val="center"/>
              <w:rPr>
                <w:rFonts w:ascii="宋体" w:hAnsi="宋体"/>
                <w:kern w:val="0"/>
                <w:szCs w:val="21"/>
              </w:rPr>
            </w:pPr>
            <w:r>
              <w:rPr>
                <w:rFonts w:ascii="宋体" w:hAnsi="宋体"/>
                <w:kern w:val="0"/>
                <w:szCs w:val="21"/>
              </w:rPr>
              <w:t>9</w:t>
            </w:r>
            <w:r>
              <w:rPr>
                <w:rFonts w:hint="eastAsia" w:ascii="宋体" w:hAnsi="宋体"/>
                <w:kern w:val="0"/>
                <w:szCs w:val="21"/>
              </w:rPr>
              <w:t>.</w:t>
            </w:r>
            <w:r>
              <w:rPr>
                <w:rFonts w:ascii="宋体" w:hAnsi="宋体"/>
                <w:kern w:val="0"/>
                <w:szCs w:val="21"/>
              </w:rPr>
              <w:t>1</w:t>
            </w:r>
          </w:p>
        </w:tc>
        <w:tc>
          <w:tcPr>
            <w:tcW w:w="1451" w:type="dxa"/>
            <w:vAlign w:val="center"/>
          </w:tcPr>
          <w:p w14:paraId="67D513E9">
            <w:pPr>
              <w:snapToGrid w:val="0"/>
              <w:spacing w:line="400" w:lineRule="exact"/>
              <w:jc w:val="center"/>
              <w:rPr>
                <w:rFonts w:ascii="宋体" w:hAnsi="宋体"/>
                <w:kern w:val="0"/>
                <w:szCs w:val="21"/>
              </w:rPr>
            </w:pPr>
            <w:r>
              <w:rPr>
                <w:rFonts w:hint="eastAsia" w:ascii="宋体" w:hAnsi="宋体"/>
                <w:kern w:val="0"/>
                <w:szCs w:val="21"/>
              </w:rPr>
              <w:t>低价风险担保</w:t>
            </w:r>
          </w:p>
        </w:tc>
        <w:tc>
          <w:tcPr>
            <w:tcW w:w="6683" w:type="dxa"/>
            <w:vAlign w:val="center"/>
          </w:tcPr>
          <w:p w14:paraId="59751C0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1、低价风险担保：中标价低于最高限价的85%时提供，如不按时足额提供，视为中标人放弃中标，采购人有权不退还其投标保证金，</w:t>
            </w:r>
            <w:r>
              <w:rPr>
                <w:rFonts w:hint="eastAsia"/>
              </w:rPr>
              <w:t>并报采购投标行政监督部门按照信用管理办法的规定处理，对中标人的不良行为直接记12分，纳入重点关注名单。</w:t>
            </w:r>
          </w:p>
          <w:p w14:paraId="37E95695">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2、中标人提供低价风险担保的形式、金额及期限：</w:t>
            </w:r>
          </w:p>
          <w:p w14:paraId="68A1619D">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）低价风险担保的形式：现金或银行保函</w:t>
            </w:r>
            <w:r>
              <w:rPr>
                <w:rFonts w:hint="eastAsia"/>
              </w:rPr>
              <w:t>或现金+银行保函的组合；采用银行保函</w:t>
            </w:r>
            <w:r>
              <w:rPr>
                <w:rFonts w:hint="eastAsia" w:ascii="宋体" w:hAnsi="宋体"/>
                <w:color w:val="auto"/>
                <w:kern w:val="0"/>
                <w:szCs w:val="21"/>
              </w:rPr>
              <w:t>(仅限于全国性商业银行不含地方银行)</w:t>
            </w:r>
            <w:r>
              <w:rPr>
                <w:rFonts w:hint="eastAsia"/>
              </w:rPr>
              <w:t>形式的，保函必须为不可撤销且见索即付</w:t>
            </w:r>
            <w:r>
              <w:rPr>
                <w:rFonts w:hint="eastAsia" w:ascii="宋体" w:hAnsi="宋体"/>
                <w:kern w:val="0"/>
                <w:szCs w:val="21"/>
              </w:rPr>
              <w:t>。</w:t>
            </w:r>
          </w:p>
          <w:p w14:paraId="0AE7BE98">
            <w:pPr>
              <w:autoSpaceDE w:val="0"/>
              <w:autoSpaceDN w:val="0"/>
              <w:adjustRightInd w:val="0"/>
              <w:snapToGrid w:val="0"/>
              <w:spacing w:line="400" w:lineRule="exact"/>
              <w:ind w:firstLine="420" w:firstLineChars="200"/>
            </w:pPr>
            <w:r>
              <w:rPr>
                <w:rFonts w:hint="eastAsia" w:ascii="宋体" w:hAnsi="宋体"/>
                <w:kern w:val="0"/>
                <w:szCs w:val="21"/>
              </w:rPr>
              <w:t>（</w:t>
            </w:r>
            <w:r>
              <w:rPr>
                <w:rFonts w:ascii="宋体" w:hAnsi="宋体"/>
                <w:kern w:val="0"/>
                <w:szCs w:val="21"/>
              </w:rPr>
              <w:t>2</w:t>
            </w:r>
            <w:r>
              <w:rPr>
                <w:rFonts w:hint="eastAsia" w:ascii="宋体" w:hAnsi="宋体"/>
                <w:kern w:val="0"/>
                <w:szCs w:val="21"/>
              </w:rPr>
              <w:t>）低价风险担保的金额：（最高限价×</w:t>
            </w:r>
            <w:r>
              <w:rPr>
                <w:rFonts w:ascii="宋体" w:hAnsi="宋体"/>
                <w:kern w:val="0"/>
                <w:szCs w:val="21"/>
              </w:rPr>
              <w:t>85%-</w:t>
            </w:r>
            <w:r>
              <w:rPr>
                <w:rFonts w:hint="eastAsia" w:ascii="宋体" w:hAnsi="宋体"/>
                <w:kern w:val="0"/>
                <w:szCs w:val="21"/>
              </w:rPr>
              <w:t>中标价）×3</w:t>
            </w:r>
            <w:r>
              <w:rPr>
                <w:rStyle w:val="54"/>
                <w:rFonts w:hint="eastAsia"/>
              </w:rPr>
              <w:t>，</w:t>
            </w:r>
            <w:r>
              <w:rPr>
                <w:rStyle w:val="54"/>
              </w:rPr>
              <w:t>且最高不超过最高限价的85%</w:t>
            </w:r>
            <w:r>
              <w:rPr>
                <w:rStyle w:val="54"/>
                <w:rFonts w:hint="eastAsia"/>
              </w:rPr>
              <w:t>，</w:t>
            </w:r>
          </w:p>
          <w:p w14:paraId="577B3E9F">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）低价风险担保送达采购人的时间：</w:t>
            </w:r>
            <w:r>
              <w:rPr>
                <w:rFonts w:hint="eastAsia"/>
                <w:szCs w:val="21"/>
              </w:rPr>
              <w:t>从采购人低价风险担保书面通知送达拟中标人之日起</w:t>
            </w:r>
            <w:r>
              <w:rPr>
                <w:rFonts w:hint="eastAsia"/>
                <w:szCs w:val="21"/>
                <w:u w:val="single"/>
              </w:rPr>
              <w:t xml:space="preserve"> </w:t>
            </w:r>
            <w:r>
              <w:rPr>
                <w:szCs w:val="21"/>
                <w:u w:val="single"/>
              </w:rPr>
              <w:t>10</w:t>
            </w:r>
            <w:r>
              <w:rPr>
                <w:rFonts w:hint="eastAsia"/>
                <w:szCs w:val="21"/>
                <w:u w:val="single"/>
              </w:rPr>
              <w:t xml:space="preserve"> </w:t>
            </w:r>
            <w:r>
              <w:rPr>
                <w:rFonts w:hint="eastAsia"/>
                <w:szCs w:val="21"/>
              </w:rPr>
              <w:t>工作日内</w:t>
            </w:r>
            <w:r>
              <w:rPr>
                <w:rFonts w:hint="eastAsia" w:ascii="宋体" w:hAnsi="宋体"/>
                <w:kern w:val="0"/>
                <w:szCs w:val="21"/>
              </w:rPr>
              <w:t>；</w:t>
            </w:r>
          </w:p>
          <w:p w14:paraId="7AAD42AD">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（4）中标人因自身原因未按中标通知书规定的时限与采购人签订合同的，采购人有权扣除其低价风险担保并取消中标资格。</w:t>
            </w:r>
          </w:p>
          <w:p w14:paraId="36BDAB5C">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（5）低价风险担保的期限：</w:t>
            </w:r>
            <w:r>
              <w:rPr>
                <w:rFonts w:hint="eastAsia" w:ascii="宋体" w:hAnsi="宋体"/>
                <w:kern w:val="0"/>
                <w:szCs w:val="21"/>
                <w:u w:val="single"/>
              </w:rPr>
              <w:t>自低价风险担保生效之日起至竣工验收合格之日止</w:t>
            </w:r>
            <w:r>
              <w:rPr>
                <w:rFonts w:hint="eastAsia" w:ascii="宋体" w:hAnsi="宋体"/>
                <w:kern w:val="0"/>
                <w:szCs w:val="21"/>
              </w:rPr>
              <w:t>。</w:t>
            </w:r>
          </w:p>
          <w:p w14:paraId="05E02270">
            <w:pPr>
              <w:widowControl/>
              <w:spacing w:line="400" w:lineRule="exact"/>
              <w:ind w:firstLine="420" w:firstLineChars="200"/>
              <w:rPr>
                <w:rFonts w:ascii="宋体" w:hAnsi="宋体"/>
                <w:kern w:val="0"/>
                <w:szCs w:val="21"/>
              </w:rPr>
            </w:pPr>
            <w:r>
              <w:rPr>
                <w:rFonts w:hint="eastAsia" w:ascii="宋体" w:hAnsi="宋体"/>
                <w:kern w:val="0"/>
                <w:szCs w:val="21"/>
              </w:rPr>
              <w:t>3、低价风险担保的退还时间：见专用合同条款。</w:t>
            </w:r>
          </w:p>
          <w:p w14:paraId="15A1CD4E">
            <w:pPr>
              <w:widowControl/>
              <w:spacing w:line="400" w:lineRule="exact"/>
              <w:ind w:firstLine="420" w:firstLineChars="200"/>
            </w:pPr>
            <w:r>
              <w:rPr>
                <w:rFonts w:hint="eastAsia"/>
              </w:rPr>
              <w:t>4、采用经评审最低投标价法的项目，拟中标人或者中标人放弃中标项目，无正当理由不与采购人签订合同，在签订合同时向采购人提出附加条件或者更改合同实质性内容，或者拒不按照采购文件规定提交低价风险担保或履约担保的，取消其中标资格，投标保证金不予退还，给采购人造成的损失超过投标保证金数额的，拟中标人或中标人应对超过部分予以赔偿。</w:t>
            </w:r>
          </w:p>
          <w:p w14:paraId="5DC36D82">
            <w:pPr>
              <w:widowControl/>
              <w:spacing w:line="400" w:lineRule="exact"/>
              <w:ind w:firstLine="420" w:firstLineChars="200"/>
              <w:rPr>
                <w:rFonts w:ascii="宋体" w:hAnsi="宋体"/>
                <w:kern w:val="0"/>
                <w:szCs w:val="21"/>
              </w:rPr>
            </w:pPr>
            <w:r>
              <w:rPr>
                <w:rFonts w:hint="eastAsia"/>
              </w:rPr>
              <w:t>5、投标总报价低于最高限价85%的，投标人应在编制投标文件时，在投标函部分中递交低价风险担保缴纳承诺书。承诺书格式详见第八章投标文件格式。</w:t>
            </w:r>
          </w:p>
        </w:tc>
      </w:tr>
      <w:tr w14:paraId="60F2D1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762FB8CD">
            <w:pPr>
              <w:snapToGrid w:val="0"/>
              <w:spacing w:line="400" w:lineRule="exact"/>
              <w:jc w:val="center"/>
              <w:rPr>
                <w:rFonts w:ascii="宋体" w:hAnsi="宋体"/>
                <w:kern w:val="0"/>
                <w:szCs w:val="21"/>
              </w:rPr>
            </w:pPr>
            <w:r>
              <w:rPr>
                <w:rFonts w:hint="eastAsia" w:ascii="宋体" w:hAnsi="宋体"/>
                <w:kern w:val="0"/>
                <w:szCs w:val="21"/>
              </w:rPr>
              <w:t>10.7</w:t>
            </w:r>
          </w:p>
        </w:tc>
        <w:tc>
          <w:tcPr>
            <w:tcW w:w="1451" w:type="dxa"/>
            <w:vAlign w:val="center"/>
          </w:tcPr>
          <w:p w14:paraId="501812A2">
            <w:pPr>
              <w:snapToGrid w:val="0"/>
              <w:spacing w:line="400" w:lineRule="exact"/>
              <w:jc w:val="center"/>
              <w:rPr>
                <w:rFonts w:ascii="宋体" w:hAnsi="宋体"/>
                <w:kern w:val="0"/>
                <w:szCs w:val="21"/>
              </w:rPr>
            </w:pPr>
            <w:r>
              <w:rPr>
                <w:rFonts w:hint="eastAsia" w:ascii="宋体" w:hAnsi="宋体"/>
                <w:kern w:val="0"/>
                <w:szCs w:val="21"/>
              </w:rPr>
              <w:t>关于对采购文件及投标争议的解释</w:t>
            </w:r>
          </w:p>
        </w:tc>
        <w:tc>
          <w:tcPr>
            <w:tcW w:w="6683" w:type="dxa"/>
            <w:vAlign w:val="center"/>
          </w:tcPr>
          <w:p w14:paraId="003FDBF7">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对资格预审文件或者采购文件的评标标准和方法，以及资格审查和否决投标条款理解有争议的，应当作出不利于采购人的解释，但违背国家利益、社会公共利益的除外。</w:t>
            </w:r>
          </w:p>
          <w:p w14:paraId="7ED5A5AD">
            <w:pPr>
              <w:autoSpaceDE w:val="0"/>
              <w:autoSpaceDN w:val="0"/>
              <w:adjustRightInd w:val="0"/>
              <w:snapToGrid w:val="0"/>
              <w:spacing w:line="400" w:lineRule="exact"/>
              <w:ind w:firstLine="420" w:firstLineChars="200"/>
              <w:rPr>
                <w:rFonts w:ascii="宋体" w:hAnsi="宋体"/>
                <w:kern w:val="0"/>
                <w:szCs w:val="21"/>
              </w:rPr>
            </w:pPr>
            <w:r>
              <w:rPr>
                <w:rFonts w:hint="eastAsia" w:ascii="宋体" w:hAnsi="宋体"/>
                <w:kern w:val="0"/>
                <w:szCs w:val="21"/>
              </w:rPr>
              <w:t>对投标文件理解有争议的，应当作出不利于提交该投标文件的投标人的解释。</w:t>
            </w:r>
          </w:p>
        </w:tc>
      </w:tr>
      <w:tr w14:paraId="1E804CE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0" w:type="dxa"/>
            <w:vAlign w:val="center"/>
          </w:tcPr>
          <w:p w14:paraId="07DE6BD3">
            <w:pPr>
              <w:snapToGrid w:val="0"/>
              <w:spacing w:line="400" w:lineRule="exact"/>
              <w:jc w:val="center"/>
              <w:rPr>
                <w:rFonts w:ascii="宋体" w:hAnsi="宋体"/>
                <w:kern w:val="0"/>
                <w:szCs w:val="21"/>
              </w:rPr>
            </w:pPr>
            <w:r>
              <w:rPr>
                <w:rFonts w:hint="eastAsia" w:ascii="宋体" w:hAnsi="宋体"/>
                <w:kern w:val="0"/>
                <w:szCs w:val="21"/>
              </w:rPr>
              <w:t>10.9</w:t>
            </w:r>
          </w:p>
        </w:tc>
        <w:tc>
          <w:tcPr>
            <w:tcW w:w="1451" w:type="dxa"/>
            <w:vAlign w:val="center"/>
          </w:tcPr>
          <w:p w14:paraId="7D34C87B">
            <w:pPr>
              <w:snapToGrid w:val="0"/>
              <w:spacing w:line="400" w:lineRule="exact"/>
              <w:jc w:val="center"/>
              <w:rPr>
                <w:rFonts w:ascii="宋体" w:hAnsi="宋体"/>
                <w:kern w:val="0"/>
                <w:szCs w:val="21"/>
              </w:rPr>
            </w:pPr>
            <w:r>
              <w:rPr>
                <w:rFonts w:hint="eastAsia" w:ascii="宋体" w:hAnsi="宋体"/>
                <w:kern w:val="0"/>
                <w:szCs w:val="21"/>
              </w:rPr>
              <w:t>其他</w:t>
            </w:r>
          </w:p>
        </w:tc>
        <w:tc>
          <w:tcPr>
            <w:tcW w:w="6683" w:type="dxa"/>
            <w:vAlign w:val="center"/>
          </w:tcPr>
          <w:p w14:paraId="50651DFE">
            <w:pPr>
              <w:spacing w:line="360" w:lineRule="auto"/>
              <w:ind w:firstLine="422" w:firstLineChars="200"/>
              <w:jc w:val="left"/>
              <w:rPr>
                <w:rFonts w:ascii="宋体" w:hAnsi="宋体"/>
                <w:b/>
                <w:bCs/>
                <w:szCs w:val="21"/>
              </w:rPr>
            </w:pPr>
            <w:r>
              <w:rPr>
                <w:rFonts w:hint="eastAsia" w:ascii="宋体" w:hAnsi="宋体"/>
                <w:b/>
                <w:bCs/>
                <w:kern w:val="0"/>
                <w:szCs w:val="21"/>
              </w:rPr>
              <w:t>1、</w:t>
            </w:r>
            <w:r>
              <w:rPr>
                <w:rFonts w:hint="eastAsia" w:ascii="宋体" w:hAnsi="宋体"/>
                <w:b/>
                <w:bCs/>
                <w:szCs w:val="21"/>
              </w:rPr>
              <w:t>进度款支付：</w:t>
            </w:r>
          </w:p>
          <w:p w14:paraId="2B09B857">
            <w:pPr>
              <w:spacing w:line="360" w:lineRule="auto"/>
              <w:ind w:firstLine="420" w:firstLineChars="200"/>
              <w:jc w:val="left"/>
            </w:pPr>
            <w:r>
              <w:rPr>
                <w:rFonts w:hint="eastAsia"/>
              </w:rPr>
              <w:t>①安全文明施工费：合同签订后，发包人在开工前按签约合同价中安全文明施工费的50％支付承包人，用于现场安全文明施工建设，余下安全文明施工费按施工进度支付。</w:t>
            </w:r>
          </w:p>
          <w:p w14:paraId="0698BDCA">
            <w:pPr>
              <w:spacing w:line="360" w:lineRule="auto"/>
              <w:ind w:firstLine="420" w:firstLineChars="200"/>
              <w:jc w:val="left"/>
            </w:pPr>
            <w:r>
              <w:rPr>
                <w:rFonts w:hint="eastAsia"/>
              </w:rPr>
              <w:t>②每月按照实际完成工程量的</w:t>
            </w:r>
            <w:r>
              <w:t>8</w:t>
            </w:r>
            <w:r>
              <w:rPr>
                <w:rFonts w:hint="eastAsia"/>
              </w:rPr>
              <w:t>0%进行支付，待工程竣工验收后支付至审定金额的97%；剩余3%作为质保金，待工程两年缺陷责任期期满后付清剩余质保金（不计利息）。</w:t>
            </w:r>
          </w:p>
          <w:p w14:paraId="623D92E1">
            <w:pPr>
              <w:pStyle w:val="2"/>
              <w:ind w:firstLine="422" w:firstLineChars="200"/>
              <w:rPr>
                <w:b/>
                <w:bCs/>
              </w:rPr>
            </w:pPr>
            <w:r>
              <w:rPr>
                <w:b/>
                <w:bCs/>
              </w:rPr>
              <w:t>2、</w:t>
            </w:r>
            <w:r>
              <w:rPr>
                <w:rFonts w:hint="eastAsia"/>
                <w:b/>
                <w:bCs/>
              </w:rPr>
              <w:t>审计费：</w:t>
            </w:r>
          </w:p>
          <w:p w14:paraId="467F022F">
            <w:pPr>
              <w:spacing w:line="360" w:lineRule="auto"/>
              <w:ind w:firstLine="420" w:firstLineChars="200"/>
              <w:jc w:val="left"/>
              <w:rPr>
                <w:rFonts w:ascii="宋体" w:hAnsi="宋体"/>
                <w:kern w:val="0"/>
                <w:szCs w:val="21"/>
              </w:rPr>
            </w:pPr>
            <w:r>
              <w:rPr>
                <w:rFonts w:hint="eastAsia" w:ascii="宋体" w:hAnsi="宋体"/>
                <w:kern w:val="0"/>
                <w:szCs w:val="21"/>
              </w:rPr>
              <w:t>采购人只支付基本审计费，所有审减金额的效益费由投标人支付；按规定应由施工单位支付审减效益费的，审减效益费</w:t>
            </w:r>
            <w:r>
              <w:rPr>
                <w:rFonts w:ascii="宋体" w:hAnsi="宋体"/>
                <w:kern w:val="0"/>
                <w:szCs w:val="21"/>
              </w:rPr>
              <w:t>按渝价</w:t>
            </w:r>
            <w:r>
              <w:rPr>
                <w:rFonts w:hint="eastAsia" w:ascii="宋体" w:hAnsi="宋体"/>
                <w:kern w:val="0"/>
                <w:szCs w:val="21"/>
              </w:rPr>
              <w:t>【2013】428号</w:t>
            </w:r>
            <w:r>
              <w:rPr>
                <w:rFonts w:ascii="宋体" w:hAnsi="宋体"/>
                <w:kern w:val="0"/>
                <w:szCs w:val="21"/>
              </w:rPr>
              <w:t>文件中相关规定计算</w:t>
            </w:r>
            <w:r>
              <w:rPr>
                <w:rFonts w:hint="eastAsia" w:ascii="宋体" w:hAnsi="宋体"/>
                <w:kern w:val="0"/>
                <w:szCs w:val="21"/>
              </w:rPr>
              <w:t>。</w:t>
            </w:r>
          </w:p>
          <w:p w14:paraId="77034E35">
            <w:pPr>
              <w:spacing w:line="360" w:lineRule="auto"/>
              <w:ind w:firstLine="420" w:firstLineChars="200"/>
              <w:jc w:val="left"/>
              <w:rPr>
                <w:rFonts w:ascii="宋体" w:hAnsi="宋体"/>
                <w:kern w:val="0"/>
                <w:szCs w:val="21"/>
              </w:rPr>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63A30303">
            <w:pPr>
              <w:numPr>
                <w:ilvl w:val="0"/>
                <w:numId w:val="1"/>
              </w:numPr>
              <w:spacing w:line="360" w:lineRule="auto"/>
              <w:ind w:firstLine="422" w:firstLineChars="200"/>
              <w:jc w:val="left"/>
              <w:rPr>
                <w:rFonts w:ascii="宋体" w:hAnsi="宋体"/>
                <w:b/>
                <w:bCs/>
                <w:kern w:val="0"/>
                <w:szCs w:val="21"/>
              </w:rPr>
            </w:pPr>
            <w:r>
              <w:rPr>
                <w:rFonts w:hint="eastAsia" w:ascii="宋体" w:hAnsi="宋体"/>
                <w:b/>
                <w:bCs/>
                <w:kern w:val="0"/>
                <w:szCs w:val="21"/>
              </w:rPr>
              <w:t>结算原则：材料不调差</w:t>
            </w:r>
          </w:p>
          <w:p w14:paraId="4AF1890A">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0B2FB28D">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3C5BED18">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7D384256">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0A83D77B">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262DE423">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69033413">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4F24AFFE">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47788A35">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3EBF2D5F">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75762D2D">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188E79B5">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0D40B837">
            <w:pPr>
              <w:spacing w:line="360" w:lineRule="auto"/>
              <w:ind w:firstLine="420" w:firstLineChars="200"/>
              <w:jc w:val="left"/>
              <w:rPr>
                <w:rFonts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43553CDE">
            <w:pPr>
              <w:spacing w:line="360" w:lineRule="auto"/>
              <w:ind w:firstLine="420" w:firstLineChars="200"/>
              <w:jc w:val="left"/>
              <w:rPr>
                <w:rFonts w:ascii="宋体" w:hAnsi="宋体"/>
                <w:kern w:val="0"/>
                <w:szCs w:val="21"/>
              </w:rPr>
            </w:pPr>
            <w:r>
              <w:rPr>
                <w:rFonts w:hint="eastAsia" w:ascii="宋体" w:hAnsi="宋体"/>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4911F15A">
            <w:pPr>
              <w:spacing w:line="360" w:lineRule="auto"/>
              <w:ind w:firstLine="420" w:firstLineChars="200"/>
              <w:jc w:val="left"/>
              <w:rPr>
                <w:rFonts w:ascii="宋体" w:hAnsi="宋体"/>
                <w:kern w:val="0"/>
                <w:szCs w:val="21"/>
              </w:rPr>
            </w:pPr>
            <w:r>
              <w:rPr>
                <w:rFonts w:hint="eastAsia" w:ascii="宋体" w:hAnsi="宋体"/>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14:paraId="57FCEF65">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053C0736">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5549991B">
            <w:pPr>
              <w:pStyle w:val="2"/>
              <w:ind w:firstLine="420" w:firstLineChars="200"/>
              <w:rPr>
                <w:rFonts w:hint="eastAsia" w:eastAsia="宋体"/>
                <w:lang w:eastAsia="zh-CN"/>
              </w:rPr>
            </w:pPr>
            <w:r>
              <w:rPr>
                <w:rFonts w:hint="eastAsia"/>
              </w:rPr>
              <w:t>3.9本项目</w:t>
            </w:r>
            <w:r>
              <w:t>不因市场价格的波动调整材料价格</w:t>
            </w:r>
            <w:r>
              <w:rPr>
                <w:rFonts w:hint="eastAsia"/>
                <w:lang w:eastAsia="zh-CN"/>
              </w:rPr>
              <w:t>。</w:t>
            </w:r>
          </w:p>
          <w:p w14:paraId="6A9260BE">
            <w:pPr>
              <w:spacing w:line="360" w:lineRule="auto"/>
              <w:ind w:firstLine="422" w:firstLineChars="200"/>
              <w:jc w:val="left"/>
            </w:pPr>
            <w:r>
              <w:rPr>
                <w:rFonts w:hint="eastAsia" w:ascii="宋体" w:hAnsi="宋体"/>
                <w:b/>
                <w:bCs/>
                <w:kern w:val="0"/>
                <w:szCs w:val="21"/>
              </w:rPr>
              <w:t>4、特别</w:t>
            </w:r>
            <w:r>
              <w:rPr>
                <w:rFonts w:hint="eastAsia" w:ascii="宋体" w:hAnsi="宋体"/>
                <w:b/>
                <w:bCs/>
                <w:kern w:val="0"/>
                <w:szCs w:val="21"/>
                <w:lang w:eastAsia="zh-CN"/>
              </w:rPr>
              <w:t>说明</w:t>
            </w:r>
            <w:r>
              <w:rPr>
                <w:rFonts w:hint="eastAsia" w:ascii="宋体" w:hAnsi="宋体"/>
                <w:b/>
                <w:bCs/>
                <w:kern w:val="0"/>
                <w:szCs w:val="21"/>
              </w:rPr>
              <w:t>：</w:t>
            </w:r>
            <w:r>
              <w:rPr>
                <w:rFonts w:hint="eastAsia" w:ascii="宋体" w:hAnsi="宋体"/>
                <w:b/>
                <w:bCs/>
                <w:kern w:val="0"/>
                <w:szCs w:val="21"/>
                <w:lang w:eastAsia="zh-CN"/>
              </w:rPr>
              <w:t>“</w:t>
            </w:r>
            <w:r>
              <w:rPr>
                <w:rFonts w:hint="eastAsia" w:ascii="宋体" w:hAnsi="宋体"/>
                <w:b/>
                <w:bCs/>
                <w:color w:val="auto"/>
                <w:kern w:val="0"/>
                <w:szCs w:val="21"/>
              </w:rPr>
              <w:t>渣场处置费</w:t>
            </w:r>
            <w:r>
              <w:rPr>
                <w:rFonts w:hint="eastAsia" w:ascii="宋体" w:hAnsi="宋体"/>
                <w:b/>
                <w:bCs/>
                <w:color w:val="auto"/>
                <w:kern w:val="0"/>
                <w:szCs w:val="21"/>
                <w:lang w:eastAsia="zh-CN"/>
              </w:rPr>
              <w:t>（土石方）”</w:t>
            </w:r>
            <w:r>
              <w:rPr>
                <w:rFonts w:hint="eastAsia" w:ascii="宋体" w:hAnsi="宋体"/>
                <w:b/>
                <w:bCs/>
                <w:color w:val="auto"/>
                <w:kern w:val="0"/>
                <w:szCs w:val="21"/>
              </w:rPr>
              <w:t>必须按照工程量清单综合单价价格45元/m³填报，否则由评标委员会作否决投标处理。</w:t>
            </w:r>
            <w:r>
              <w:rPr>
                <w:rFonts w:hint="eastAsia" w:ascii="宋体" w:hAnsi="宋体"/>
                <w:b/>
                <w:bCs/>
                <w:kern w:val="0"/>
                <w:szCs w:val="21"/>
              </w:rPr>
              <w:t>弃土场回填过程中应符合业主相关管理规定。严禁私自接收外来渣土。若经发现违者罚款10万元每车每次。累计3次业主有权解除合同并追究相关责任。</w:t>
            </w:r>
          </w:p>
        </w:tc>
      </w:tr>
    </w:tbl>
    <w:p w14:paraId="679F2296">
      <w:pPr>
        <w:pStyle w:val="4"/>
        <w:spacing w:before="0" w:after="0" w:line="20" w:lineRule="exact"/>
        <w:rPr>
          <w:rFonts w:ascii="宋体" w:hAnsi="宋体"/>
          <w:b w:val="0"/>
          <w:snapToGrid w:val="0"/>
        </w:rPr>
      </w:pPr>
      <w:bookmarkStart w:id="85" w:name="_Toc277082552"/>
      <w:bookmarkStart w:id="86" w:name="_Toc430530435"/>
      <w:bookmarkStart w:id="87" w:name="_Toc287607746"/>
      <w:bookmarkStart w:id="88" w:name="_Toc200513126"/>
      <w:bookmarkStart w:id="89" w:name="_Toc287620685"/>
      <w:bookmarkStart w:id="90" w:name="_Toc224103317"/>
    </w:p>
    <w:p w14:paraId="62EBD082">
      <w:pPr>
        <w:pStyle w:val="4"/>
        <w:spacing w:before="0" w:after="0" w:line="200" w:lineRule="exact"/>
        <w:rPr>
          <w:rFonts w:ascii="宋体" w:hAnsi="宋体"/>
          <w:b w:val="0"/>
          <w:snapToGrid w:val="0"/>
        </w:rPr>
      </w:pPr>
      <w:r>
        <w:rPr>
          <w:rFonts w:ascii="宋体" w:hAnsi="宋体"/>
          <w:b w:val="0"/>
          <w:snapToGrid w:val="0"/>
        </w:rPr>
        <w:br w:type="page"/>
      </w:r>
    </w:p>
    <w:p w14:paraId="3D80C85D">
      <w:pPr>
        <w:pStyle w:val="4"/>
        <w:spacing w:before="0" w:after="0" w:line="360" w:lineRule="auto"/>
        <w:rPr>
          <w:rFonts w:ascii="宋体" w:hAnsi="宋体"/>
          <w:b w:val="0"/>
          <w:snapToGrid w:val="0"/>
        </w:rPr>
      </w:pPr>
      <w:bookmarkStart w:id="91" w:name="_Toc29380"/>
      <w:bookmarkStart w:id="92" w:name="_Toc509218710"/>
      <w:r>
        <w:rPr>
          <w:rFonts w:ascii="宋体" w:hAnsi="宋体"/>
          <w:b w:val="0"/>
          <w:snapToGrid w:val="0"/>
        </w:rPr>
        <w:t>1.  总则</w:t>
      </w:r>
      <w:bookmarkEnd w:id="85"/>
      <w:bookmarkEnd w:id="86"/>
      <w:bookmarkEnd w:id="87"/>
      <w:bookmarkEnd w:id="88"/>
      <w:bookmarkEnd w:id="89"/>
      <w:bookmarkEnd w:id="90"/>
      <w:bookmarkEnd w:id="91"/>
      <w:bookmarkEnd w:id="92"/>
    </w:p>
    <w:p w14:paraId="6E335947">
      <w:pPr>
        <w:pStyle w:val="5"/>
        <w:snapToGrid w:val="0"/>
        <w:spacing w:before="0" w:after="0" w:line="360" w:lineRule="auto"/>
        <w:rPr>
          <w:rFonts w:ascii="宋体" w:hAnsi="宋体"/>
          <w:b w:val="0"/>
          <w:snapToGrid w:val="0"/>
          <w:sz w:val="24"/>
          <w:szCs w:val="24"/>
        </w:rPr>
      </w:pPr>
      <w:bookmarkStart w:id="93" w:name="_Toc200513127"/>
      <w:bookmarkStart w:id="94" w:name="_Toc224103318"/>
      <w:bookmarkStart w:id="95" w:name="_Toc287620686"/>
      <w:bookmarkStart w:id="96" w:name="_Toc287607747"/>
      <w:bookmarkStart w:id="97" w:name="_Toc430530436"/>
      <w:bookmarkStart w:id="98" w:name="_Toc509218711"/>
      <w:bookmarkStart w:id="99" w:name="_Toc277082553"/>
      <w:bookmarkStart w:id="100" w:name="_Toc464"/>
      <w:r>
        <w:rPr>
          <w:rFonts w:ascii="宋体" w:hAnsi="宋体"/>
          <w:b w:val="0"/>
          <w:snapToGrid w:val="0"/>
          <w:sz w:val="24"/>
          <w:szCs w:val="24"/>
        </w:rPr>
        <w:t>1.1  项目概况</w:t>
      </w:r>
      <w:bookmarkEnd w:id="93"/>
      <w:bookmarkEnd w:id="94"/>
      <w:bookmarkEnd w:id="95"/>
      <w:bookmarkEnd w:id="96"/>
      <w:bookmarkEnd w:id="97"/>
      <w:bookmarkEnd w:id="98"/>
      <w:bookmarkEnd w:id="99"/>
      <w:bookmarkEnd w:id="100"/>
    </w:p>
    <w:p w14:paraId="6FC6FBF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1.1.1  根据《中华人民共和国</w:t>
      </w:r>
      <w:r>
        <w:rPr>
          <w:rFonts w:hint="eastAsia" w:ascii="宋体" w:hAnsi="宋体"/>
          <w:snapToGrid w:val="0"/>
          <w:kern w:val="0"/>
          <w:szCs w:val="21"/>
        </w:rPr>
        <w:t>采购</w:t>
      </w:r>
      <w:r>
        <w:rPr>
          <w:rFonts w:ascii="宋体" w:hAnsi="宋体"/>
          <w:snapToGrid w:val="0"/>
          <w:kern w:val="0"/>
          <w:szCs w:val="21"/>
        </w:rPr>
        <w:t>投标法》等有关法律、法规和规章的规定，本</w:t>
      </w:r>
      <w:r>
        <w:rPr>
          <w:rFonts w:hint="eastAsia" w:ascii="宋体" w:hAnsi="宋体"/>
          <w:snapToGrid w:val="0"/>
          <w:kern w:val="0"/>
          <w:szCs w:val="21"/>
        </w:rPr>
        <w:t>采购</w:t>
      </w:r>
      <w:r>
        <w:rPr>
          <w:rFonts w:ascii="宋体" w:hAnsi="宋体"/>
          <w:snapToGrid w:val="0"/>
          <w:kern w:val="0"/>
          <w:szCs w:val="21"/>
        </w:rPr>
        <w:t>项目已具备</w:t>
      </w:r>
      <w:r>
        <w:rPr>
          <w:rFonts w:hint="eastAsia" w:ascii="宋体" w:hAnsi="宋体"/>
          <w:snapToGrid w:val="0"/>
          <w:kern w:val="0"/>
          <w:szCs w:val="21"/>
        </w:rPr>
        <w:t>采购</w:t>
      </w:r>
      <w:r>
        <w:rPr>
          <w:rFonts w:ascii="宋体" w:hAnsi="宋体"/>
          <w:snapToGrid w:val="0"/>
          <w:kern w:val="0"/>
          <w:szCs w:val="21"/>
        </w:rPr>
        <w:t>条件，现对本</w:t>
      </w:r>
      <w:r>
        <w:rPr>
          <w:rFonts w:hint="eastAsia" w:ascii="宋体" w:hAnsi="宋体"/>
          <w:snapToGrid w:val="0"/>
          <w:kern w:val="0"/>
          <w:szCs w:val="21"/>
        </w:rPr>
        <w:t>项目</w:t>
      </w:r>
      <w:r>
        <w:rPr>
          <w:rFonts w:ascii="宋体" w:hAnsi="宋体"/>
          <w:snapToGrid w:val="0"/>
          <w:kern w:val="0"/>
          <w:szCs w:val="21"/>
        </w:rPr>
        <w:t>施工进行</w:t>
      </w:r>
      <w:r>
        <w:rPr>
          <w:rFonts w:hint="eastAsia" w:ascii="宋体" w:hAnsi="宋体"/>
          <w:snapToGrid w:val="0"/>
          <w:kern w:val="0"/>
          <w:szCs w:val="21"/>
        </w:rPr>
        <w:t>采购</w:t>
      </w:r>
      <w:r>
        <w:rPr>
          <w:rFonts w:ascii="宋体" w:hAnsi="宋体"/>
          <w:snapToGrid w:val="0"/>
          <w:kern w:val="0"/>
          <w:szCs w:val="21"/>
        </w:rPr>
        <w:t>。</w:t>
      </w:r>
    </w:p>
    <w:p w14:paraId="0C28100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1.1.2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人：见投标人须知前附表。</w:t>
      </w:r>
    </w:p>
    <w:p w14:paraId="30F7881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1.1.3  本</w:t>
      </w:r>
      <w:r>
        <w:rPr>
          <w:rFonts w:hint="eastAsia" w:ascii="宋体" w:hAnsi="宋体"/>
          <w:snapToGrid w:val="0"/>
          <w:kern w:val="0"/>
          <w:szCs w:val="21"/>
        </w:rPr>
        <w:t>采购</w:t>
      </w:r>
      <w:r>
        <w:rPr>
          <w:rFonts w:ascii="宋体" w:hAnsi="宋体"/>
          <w:snapToGrid w:val="0"/>
          <w:kern w:val="0"/>
          <w:szCs w:val="21"/>
        </w:rPr>
        <w:t>项目</w:t>
      </w:r>
      <w:r>
        <w:rPr>
          <w:rFonts w:hint="eastAsia" w:ascii="宋体" w:hAnsi="宋体"/>
          <w:snapToGrid w:val="0"/>
          <w:kern w:val="0"/>
          <w:szCs w:val="21"/>
        </w:rPr>
        <w:t>采购</w:t>
      </w:r>
      <w:r>
        <w:rPr>
          <w:rFonts w:ascii="宋体" w:hAnsi="宋体"/>
          <w:snapToGrid w:val="0"/>
          <w:kern w:val="0"/>
          <w:szCs w:val="21"/>
        </w:rPr>
        <w:t>代理机构：见投标人须知前附表。</w:t>
      </w:r>
    </w:p>
    <w:p w14:paraId="2C94A13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w:t>
      </w:r>
      <w:r>
        <w:rPr>
          <w:rFonts w:hint="eastAsia" w:ascii="宋体" w:hAnsi="宋体"/>
          <w:snapToGrid w:val="0"/>
          <w:kern w:val="0"/>
          <w:szCs w:val="21"/>
        </w:rPr>
        <w:t>4</w:t>
      </w:r>
      <w:r>
        <w:rPr>
          <w:rFonts w:ascii="宋体" w:hAnsi="宋体"/>
          <w:snapToGrid w:val="0"/>
          <w:kern w:val="0"/>
          <w:szCs w:val="21"/>
        </w:rPr>
        <w:t xml:space="preserve">  本</w:t>
      </w:r>
      <w:r>
        <w:rPr>
          <w:rFonts w:hint="eastAsia" w:ascii="宋体" w:hAnsi="宋体"/>
          <w:snapToGrid w:val="0"/>
          <w:kern w:val="0"/>
          <w:szCs w:val="21"/>
        </w:rPr>
        <w:t>采购</w:t>
      </w:r>
      <w:r>
        <w:rPr>
          <w:rFonts w:ascii="宋体" w:hAnsi="宋体"/>
          <w:snapToGrid w:val="0"/>
          <w:kern w:val="0"/>
          <w:szCs w:val="21"/>
        </w:rPr>
        <w:t>项目名称：见投标人须知前附表。</w:t>
      </w:r>
    </w:p>
    <w:p w14:paraId="3716FA6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1.1.5  本</w:t>
      </w:r>
      <w:r>
        <w:rPr>
          <w:rFonts w:hint="eastAsia" w:ascii="宋体" w:hAnsi="宋体"/>
          <w:snapToGrid w:val="0"/>
          <w:kern w:val="0"/>
          <w:szCs w:val="21"/>
        </w:rPr>
        <w:t>采购</w:t>
      </w:r>
      <w:r>
        <w:rPr>
          <w:rFonts w:ascii="宋体" w:hAnsi="宋体"/>
          <w:snapToGrid w:val="0"/>
          <w:kern w:val="0"/>
          <w:szCs w:val="21"/>
        </w:rPr>
        <w:t>项目建设地点：见投标人须知前附表。</w:t>
      </w:r>
    </w:p>
    <w:p w14:paraId="444F7A0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1.1.6  本</w:t>
      </w:r>
      <w:r>
        <w:rPr>
          <w:rFonts w:hint="eastAsia" w:ascii="宋体" w:hAnsi="宋体"/>
          <w:snapToGrid w:val="0"/>
          <w:kern w:val="0"/>
          <w:szCs w:val="21"/>
        </w:rPr>
        <w:t>采购</w:t>
      </w:r>
      <w:r>
        <w:rPr>
          <w:rFonts w:ascii="宋体" w:hAnsi="宋体"/>
          <w:snapToGrid w:val="0"/>
          <w:kern w:val="0"/>
          <w:szCs w:val="21"/>
        </w:rPr>
        <w:t>项目建设规模：见投标人须知前附表。</w:t>
      </w:r>
    </w:p>
    <w:p w14:paraId="7907CEDB">
      <w:pPr>
        <w:pStyle w:val="5"/>
        <w:snapToGrid w:val="0"/>
        <w:spacing w:before="0" w:after="0" w:line="360" w:lineRule="auto"/>
        <w:rPr>
          <w:rFonts w:ascii="宋体" w:hAnsi="宋体"/>
          <w:b w:val="0"/>
          <w:snapToGrid w:val="0"/>
          <w:sz w:val="24"/>
          <w:szCs w:val="24"/>
        </w:rPr>
      </w:pPr>
      <w:bookmarkStart w:id="101" w:name="_Toc277082554"/>
      <w:bookmarkStart w:id="102" w:name="_Toc20757"/>
      <w:bookmarkStart w:id="103" w:name="_Toc200513128"/>
      <w:bookmarkStart w:id="104" w:name="_Toc430530437"/>
      <w:bookmarkStart w:id="105" w:name="_Toc224103319"/>
      <w:bookmarkStart w:id="106" w:name="_Toc287607748"/>
      <w:bookmarkStart w:id="107" w:name="_Toc509218712"/>
      <w:bookmarkStart w:id="108" w:name="_Toc287620687"/>
      <w:r>
        <w:rPr>
          <w:rFonts w:ascii="宋体" w:hAnsi="宋体"/>
          <w:b w:val="0"/>
          <w:snapToGrid w:val="0"/>
          <w:sz w:val="24"/>
          <w:szCs w:val="24"/>
        </w:rPr>
        <w:t>1.2  资金来源和落实情况</w:t>
      </w:r>
      <w:bookmarkEnd w:id="101"/>
      <w:bookmarkEnd w:id="102"/>
      <w:bookmarkEnd w:id="103"/>
      <w:bookmarkEnd w:id="104"/>
      <w:bookmarkEnd w:id="105"/>
      <w:bookmarkEnd w:id="106"/>
      <w:bookmarkEnd w:id="107"/>
      <w:bookmarkEnd w:id="108"/>
    </w:p>
    <w:p w14:paraId="6092D21D">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1.2.1  本</w:t>
      </w:r>
      <w:r>
        <w:rPr>
          <w:rFonts w:hint="eastAsia" w:ascii="宋体" w:hAnsi="宋体"/>
          <w:snapToGrid w:val="0"/>
          <w:kern w:val="0"/>
          <w:szCs w:val="21"/>
        </w:rPr>
        <w:t>采购</w:t>
      </w:r>
      <w:r>
        <w:rPr>
          <w:rFonts w:ascii="宋体" w:hAnsi="宋体"/>
          <w:snapToGrid w:val="0"/>
          <w:kern w:val="0"/>
          <w:szCs w:val="21"/>
        </w:rPr>
        <w:t>项目的资金来源：见投标人须知前附表。</w:t>
      </w:r>
    </w:p>
    <w:p w14:paraId="506B9FD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1.2.2  本</w:t>
      </w:r>
      <w:r>
        <w:rPr>
          <w:rFonts w:hint="eastAsia" w:ascii="宋体" w:hAnsi="宋体"/>
          <w:snapToGrid w:val="0"/>
          <w:kern w:val="0"/>
          <w:szCs w:val="21"/>
        </w:rPr>
        <w:t>采购</w:t>
      </w:r>
      <w:r>
        <w:rPr>
          <w:rFonts w:ascii="宋体" w:hAnsi="宋体"/>
          <w:snapToGrid w:val="0"/>
          <w:kern w:val="0"/>
          <w:szCs w:val="21"/>
        </w:rPr>
        <w:t>项目的出资比例：见投标人须知前附表。</w:t>
      </w:r>
    </w:p>
    <w:p w14:paraId="38000BE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1.2.3  本</w:t>
      </w:r>
      <w:r>
        <w:rPr>
          <w:rFonts w:hint="eastAsia" w:ascii="宋体" w:hAnsi="宋体"/>
          <w:snapToGrid w:val="0"/>
          <w:kern w:val="0"/>
          <w:szCs w:val="21"/>
        </w:rPr>
        <w:t>采购</w:t>
      </w:r>
      <w:r>
        <w:rPr>
          <w:rFonts w:ascii="宋体" w:hAnsi="宋体"/>
          <w:snapToGrid w:val="0"/>
          <w:kern w:val="0"/>
          <w:szCs w:val="21"/>
        </w:rPr>
        <w:t>项目的资金落实情况：见投标人须知前附表。</w:t>
      </w:r>
    </w:p>
    <w:p w14:paraId="46B4E661">
      <w:pPr>
        <w:pStyle w:val="5"/>
        <w:snapToGrid w:val="0"/>
        <w:spacing w:before="0" w:after="0" w:line="360" w:lineRule="auto"/>
        <w:rPr>
          <w:rFonts w:ascii="宋体" w:hAnsi="宋体"/>
          <w:b w:val="0"/>
          <w:snapToGrid w:val="0"/>
          <w:sz w:val="24"/>
          <w:szCs w:val="24"/>
        </w:rPr>
      </w:pPr>
      <w:bookmarkStart w:id="109" w:name="_Toc224103320"/>
      <w:bookmarkStart w:id="110" w:name="_Toc200513129"/>
      <w:bookmarkStart w:id="111" w:name="_Toc287607749"/>
      <w:bookmarkStart w:id="112" w:name="_Toc430530438"/>
      <w:bookmarkStart w:id="113" w:name="_Toc287620688"/>
      <w:bookmarkStart w:id="114" w:name="_Toc277082555"/>
      <w:bookmarkStart w:id="115" w:name="_Toc509218713"/>
      <w:bookmarkStart w:id="116" w:name="_Toc254"/>
      <w:r>
        <w:rPr>
          <w:rFonts w:ascii="宋体" w:hAnsi="宋体"/>
          <w:b w:val="0"/>
          <w:snapToGrid w:val="0"/>
          <w:sz w:val="24"/>
          <w:szCs w:val="24"/>
        </w:rPr>
        <w:t xml:space="preserve">1.3  </w:t>
      </w:r>
      <w:r>
        <w:rPr>
          <w:rFonts w:hint="eastAsia" w:ascii="宋体" w:hAnsi="宋体"/>
          <w:b w:val="0"/>
          <w:snapToGrid w:val="0"/>
          <w:sz w:val="24"/>
          <w:szCs w:val="24"/>
        </w:rPr>
        <w:t>采购</w:t>
      </w:r>
      <w:r>
        <w:rPr>
          <w:rFonts w:ascii="宋体" w:hAnsi="宋体"/>
          <w:b w:val="0"/>
          <w:snapToGrid w:val="0"/>
          <w:sz w:val="24"/>
          <w:szCs w:val="24"/>
        </w:rPr>
        <w:t>范围、计划工期和质量要求</w:t>
      </w:r>
      <w:bookmarkEnd w:id="109"/>
      <w:bookmarkEnd w:id="110"/>
      <w:bookmarkEnd w:id="111"/>
      <w:bookmarkEnd w:id="112"/>
      <w:bookmarkEnd w:id="113"/>
      <w:bookmarkEnd w:id="114"/>
      <w:bookmarkEnd w:id="115"/>
      <w:bookmarkEnd w:id="116"/>
    </w:p>
    <w:p w14:paraId="724F8CC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1.3.1  </w:t>
      </w:r>
      <w:r>
        <w:rPr>
          <w:rFonts w:hint="eastAsia" w:ascii="宋体" w:hAnsi="宋体"/>
          <w:snapToGrid w:val="0"/>
          <w:kern w:val="0"/>
          <w:szCs w:val="21"/>
        </w:rPr>
        <w:t>采购</w:t>
      </w:r>
      <w:r>
        <w:rPr>
          <w:rFonts w:ascii="宋体" w:hAnsi="宋体"/>
          <w:snapToGrid w:val="0"/>
          <w:kern w:val="0"/>
          <w:szCs w:val="21"/>
        </w:rPr>
        <w:t>范围：见投标人须知前附表。</w:t>
      </w:r>
    </w:p>
    <w:p w14:paraId="24E01DB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1.3.2  计划工期：见投标人须知前附表。</w:t>
      </w:r>
    </w:p>
    <w:p w14:paraId="3B6EB4A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1.3.3  质量要求：见投标人须知前附表。</w:t>
      </w:r>
    </w:p>
    <w:p w14:paraId="39B7F2AA">
      <w:pPr>
        <w:pStyle w:val="5"/>
        <w:snapToGrid w:val="0"/>
        <w:spacing w:before="0" w:after="0" w:line="360" w:lineRule="auto"/>
        <w:rPr>
          <w:rFonts w:ascii="宋体" w:hAnsi="宋体"/>
          <w:b w:val="0"/>
          <w:snapToGrid w:val="0"/>
          <w:sz w:val="24"/>
          <w:szCs w:val="24"/>
        </w:rPr>
      </w:pPr>
      <w:bookmarkStart w:id="117" w:name="_Toc277082557"/>
      <w:bookmarkStart w:id="118" w:name="_Toc200513131"/>
      <w:bookmarkStart w:id="119" w:name="_Toc287620690"/>
      <w:bookmarkStart w:id="120" w:name="_Toc224103322"/>
      <w:bookmarkStart w:id="121" w:name="_Toc25787"/>
      <w:bookmarkStart w:id="122" w:name="_Toc430530440"/>
      <w:bookmarkStart w:id="123" w:name="_Toc509218715"/>
      <w:bookmarkStart w:id="124" w:name="_Toc287607751"/>
      <w:r>
        <w:rPr>
          <w:rFonts w:ascii="宋体" w:hAnsi="宋体"/>
          <w:b w:val="0"/>
          <w:snapToGrid w:val="0"/>
          <w:sz w:val="24"/>
          <w:szCs w:val="24"/>
        </w:rPr>
        <w:t>1.4  投标人资格要求</w:t>
      </w:r>
      <w:bookmarkEnd w:id="117"/>
      <w:bookmarkEnd w:id="118"/>
      <w:bookmarkEnd w:id="119"/>
      <w:bookmarkEnd w:id="120"/>
      <w:bookmarkEnd w:id="121"/>
      <w:bookmarkEnd w:id="122"/>
      <w:bookmarkEnd w:id="123"/>
      <w:bookmarkEnd w:id="124"/>
    </w:p>
    <w:p w14:paraId="4E83C04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1.4.1 投标人应具备承担本标段施工的资质条件、能力和信誉。</w:t>
      </w:r>
    </w:p>
    <w:p w14:paraId="2AE68DB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w:t>
      </w:r>
      <w:r>
        <w:rPr>
          <w:rFonts w:ascii="宋体" w:hAnsi="宋体"/>
          <w:szCs w:val="21"/>
        </w:rPr>
        <w:t>资质条件、营业执照及安全生产条件</w:t>
      </w:r>
      <w:r>
        <w:rPr>
          <w:rFonts w:ascii="宋体" w:hAnsi="宋体"/>
          <w:snapToGrid w:val="0"/>
          <w:kern w:val="0"/>
          <w:szCs w:val="21"/>
        </w:rPr>
        <w:t>：见投标人须知前附表；</w:t>
      </w:r>
    </w:p>
    <w:p w14:paraId="546B0A4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（2）财务要求：见投标人须知前附表；</w:t>
      </w:r>
    </w:p>
    <w:p w14:paraId="7CD1877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（3）业绩要求：见投标人须知前附表；</w:t>
      </w:r>
    </w:p>
    <w:p w14:paraId="0DFE1EA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投标截止日投标资格情况</w:t>
      </w:r>
      <w:r>
        <w:rPr>
          <w:rFonts w:ascii="宋体" w:hAnsi="宋体"/>
          <w:snapToGrid w:val="0"/>
          <w:kern w:val="0"/>
          <w:szCs w:val="21"/>
        </w:rPr>
        <w:t>：见投标人须知前附表；</w:t>
      </w:r>
    </w:p>
    <w:p w14:paraId="34405C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（5）项目经理资格</w:t>
      </w:r>
      <w:r>
        <w:rPr>
          <w:rFonts w:hint="eastAsia" w:ascii="宋体" w:hAnsi="宋体"/>
          <w:snapToGrid w:val="0"/>
          <w:kern w:val="0"/>
          <w:szCs w:val="21"/>
        </w:rPr>
        <w:t>要求</w:t>
      </w:r>
      <w:r>
        <w:rPr>
          <w:rFonts w:ascii="宋体" w:hAnsi="宋体"/>
          <w:snapToGrid w:val="0"/>
          <w:kern w:val="0"/>
          <w:szCs w:val="21"/>
        </w:rPr>
        <w:t>：见投标人须知前附表；</w:t>
      </w:r>
    </w:p>
    <w:p w14:paraId="1B4D4A8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（6）其他要求：见投标人须知前附表。</w:t>
      </w:r>
    </w:p>
    <w:p w14:paraId="190B1BF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1.4.2  投标人须知前附表规定接受联合体投标的，除应符合本章第1.4.1项和投标人须知前附表的要求外，还应遵守以下规定：</w:t>
      </w:r>
    </w:p>
    <w:p w14:paraId="3ADB28F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（1）联合体各方应按</w:t>
      </w:r>
      <w:r>
        <w:rPr>
          <w:rFonts w:hint="eastAsia" w:ascii="宋体" w:hAnsi="宋体"/>
          <w:snapToGrid w:val="0"/>
          <w:kern w:val="0"/>
          <w:szCs w:val="21"/>
        </w:rPr>
        <w:t>采购</w:t>
      </w:r>
      <w:r>
        <w:rPr>
          <w:rFonts w:ascii="宋体" w:hAnsi="宋体"/>
          <w:snapToGrid w:val="0"/>
          <w:kern w:val="0"/>
          <w:szCs w:val="21"/>
        </w:rPr>
        <w:t>文件提供的格式签订联合体协议书，明确联合体牵头人和各方权利义务；</w:t>
      </w:r>
    </w:p>
    <w:p w14:paraId="1F9AB8A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（2）联合体各方均应当具备承担</w:t>
      </w:r>
      <w:r>
        <w:rPr>
          <w:rFonts w:hint="eastAsia" w:ascii="宋体" w:hAnsi="宋体"/>
          <w:snapToGrid w:val="0"/>
          <w:kern w:val="0"/>
          <w:szCs w:val="21"/>
        </w:rPr>
        <w:t>采购</w:t>
      </w:r>
      <w:r>
        <w:rPr>
          <w:rFonts w:ascii="宋体" w:hAnsi="宋体"/>
          <w:snapToGrid w:val="0"/>
          <w:kern w:val="0"/>
          <w:szCs w:val="21"/>
        </w:rPr>
        <w:t>项目的相应能力；联合体协议约定同一专业分工由两个及以上单位共同承担的，</w:t>
      </w:r>
      <w:r>
        <w:rPr>
          <w:rFonts w:hint="eastAsia" w:ascii="宋体" w:hAnsi="宋体"/>
          <w:snapToGrid w:val="0"/>
          <w:kern w:val="0"/>
          <w:szCs w:val="21"/>
        </w:rPr>
        <w:t>按照资质等级较低的单位确定资质等级</w:t>
      </w:r>
      <w:r>
        <w:rPr>
          <w:rFonts w:ascii="宋体" w:hAnsi="宋体"/>
          <w:snapToGrid w:val="0"/>
          <w:kern w:val="0"/>
          <w:szCs w:val="21"/>
        </w:rPr>
        <w:t>；</w:t>
      </w:r>
    </w:p>
    <w:p w14:paraId="3B5D90F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（3）联合体各方不得再以自己名义单独或参加其他联合体在同一标段中投标。</w:t>
      </w:r>
    </w:p>
    <w:p w14:paraId="67D84A14">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1.4.3  投标人不得存在下列情形之一：</w:t>
      </w:r>
    </w:p>
    <w:p w14:paraId="50D68A76">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（1）与</w:t>
      </w:r>
      <w:r>
        <w:rPr>
          <w:rFonts w:hint="eastAsia" w:ascii="宋体" w:hAnsi="宋体"/>
          <w:snapToGrid w:val="0"/>
          <w:kern w:val="0"/>
          <w:position w:val="-2"/>
          <w:szCs w:val="21"/>
        </w:rPr>
        <w:t>采购</w:t>
      </w:r>
      <w:r>
        <w:rPr>
          <w:rFonts w:ascii="宋体" w:hAnsi="宋体"/>
          <w:snapToGrid w:val="0"/>
          <w:kern w:val="0"/>
          <w:position w:val="-2"/>
          <w:szCs w:val="21"/>
        </w:rPr>
        <w:t>人存在利害关系可能影响</w:t>
      </w:r>
      <w:r>
        <w:rPr>
          <w:rFonts w:hint="eastAsia" w:ascii="宋体" w:hAnsi="宋体"/>
          <w:snapToGrid w:val="0"/>
          <w:kern w:val="0"/>
          <w:position w:val="-2"/>
          <w:szCs w:val="21"/>
        </w:rPr>
        <w:t>采购</w:t>
      </w:r>
      <w:r>
        <w:rPr>
          <w:rFonts w:ascii="宋体" w:hAnsi="宋体"/>
          <w:snapToGrid w:val="0"/>
          <w:kern w:val="0"/>
          <w:position w:val="-2"/>
          <w:szCs w:val="21"/>
        </w:rPr>
        <w:t>公正性的法人、其他组织或者个人；</w:t>
      </w:r>
    </w:p>
    <w:p w14:paraId="3AE06BF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（2）为本标段前期准备提供设计或咨询服务的，但设计施工总承包的除外；</w:t>
      </w:r>
    </w:p>
    <w:p w14:paraId="4EDBF95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（3）为本标段的监理人；</w:t>
      </w:r>
    </w:p>
    <w:p w14:paraId="0068393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（4）为本标段的代建人；</w:t>
      </w:r>
    </w:p>
    <w:p w14:paraId="160887D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（5）为本标段提供</w:t>
      </w:r>
      <w:r>
        <w:rPr>
          <w:rFonts w:hint="eastAsia" w:ascii="宋体" w:hAnsi="宋体"/>
          <w:snapToGrid w:val="0"/>
          <w:kern w:val="0"/>
          <w:szCs w:val="21"/>
        </w:rPr>
        <w:t>采购</w:t>
      </w:r>
      <w:r>
        <w:rPr>
          <w:rFonts w:ascii="宋体" w:hAnsi="宋体"/>
          <w:snapToGrid w:val="0"/>
          <w:kern w:val="0"/>
          <w:szCs w:val="21"/>
        </w:rPr>
        <w:t>代理服务的；</w:t>
      </w:r>
    </w:p>
    <w:p w14:paraId="191D107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（6）与本标段的监理人或代建人或</w:t>
      </w:r>
      <w:r>
        <w:rPr>
          <w:rFonts w:hint="eastAsia" w:ascii="宋体" w:hAnsi="宋体"/>
          <w:snapToGrid w:val="0"/>
          <w:kern w:val="0"/>
          <w:szCs w:val="21"/>
        </w:rPr>
        <w:t>采购</w:t>
      </w:r>
      <w:r>
        <w:rPr>
          <w:rFonts w:ascii="宋体" w:hAnsi="宋体"/>
          <w:snapToGrid w:val="0"/>
          <w:kern w:val="0"/>
          <w:szCs w:val="21"/>
        </w:rPr>
        <w:t>代理机构同为一个法定代表人的；</w:t>
      </w:r>
    </w:p>
    <w:p w14:paraId="620C736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（7）与本标段的监理人或代建人或</w:t>
      </w:r>
      <w:r>
        <w:rPr>
          <w:rFonts w:hint="eastAsia" w:ascii="宋体" w:hAnsi="宋体"/>
          <w:snapToGrid w:val="0"/>
          <w:kern w:val="0"/>
          <w:szCs w:val="21"/>
        </w:rPr>
        <w:t>采购</w:t>
      </w:r>
      <w:r>
        <w:rPr>
          <w:rFonts w:ascii="宋体" w:hAnsi="宋体"/>
          <w:snapToGrid w:val="0"/>
          <w:kern w:val="0"/>
          <w:szCs w:val="21"/>
        </w:rPr>
        <w:t>代理机构相互控股或参股的；</w:t>
      </w:r>
    </w:p>
    <w:p w14:paraId="5DD0A8A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（8）与本标段的监理人或代建人或</w:t>
      </w:r>
      <w:r>
        <w:rPr>
          <w:rFonts w:hint="eastAsia" w:ascii="宋体" w:hAnsi="宋体"/>
          <w:snapToGrid w:val="0"/>
          <w:kern w:val="0"/>
          <w:szCs w:val="21"/>
        </w:rPr>
        <w:t>采购</w:t>
      </w:r>
      <w:r>
        <w:rPr>
          <w:rFonts w:ascii="宋体" w:hAnsi="宋体"/>
          <w:snapToGrid w:val="0"/>
          <w:kern w:val="0"/>
          <w:szCs w:val="21"/>
        </w:rPr>
        <w:t>代理机构相互任职或工作的；</w:t>
      </w:r>
    </w:p>
    <w:p w14:paraId="07354E7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（9）被责令停业的；</w:t>
      </w:r>
    </w:p>
    <w:p w14:paraId="3247331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（10）</w:t>
      </w:r>
      <w:r>
        <w:rPr>
          <w:rFonts w:hint="eastAsia" w:ascii="宋体" w:hAnsi="宋体"/>
          <w:snapToGrid w:val="0"/>
          <w:kern w:val="0"/>
          <w:szCs w:val="21"/>
        </w:rPr>
        <w:t>被国家、重庆市（含市或任意区县）有关行政部门处以暂停投标资格行政处罚，且在处罚期限内的</w:t>
      </w:r>
      <w:r>
        <w:rPr>
          <w:rFonts w:ascii="宋体" w:hAnsi="宋体"/>
          <w:snapToGrid w:val="0"/>
          <w:kern w:val="0"/>
          <w:szCs w:val="21"/>
        </w:rPr>
        <w:t>；</w:t>
      </w:r>
    </w:p>
    <w:p w14:paraId="73A4895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（11）财产被接管或冻结的；</w:t>
      </w:r>
    </w:p>
    <w:p w14:paraId="53B07FE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（12）</w:t>
      </w:r>
      <w:r>
        <w:rPr>
          <w:rFonts w:ascii="宋体" w:hAnsi="宋体"/>
          <w:szCs w:val="21"/>
        </w:rPr>
        <w:t>单位负责人为同一人或者存在控股、管理关系的不同单位，不得在同一标段中同时投标</w:t>
      </w:r>
      <w:r>
        <w:rPr>
          <w:rFonts w:ascii="宋体" w:hAnsi="宋体"/>
          <w:snapToGrid w:val="0"/>
          <w:kern w:val="0"/>
          <w:szCs w:val="21"/>
        </w:rPr>
        <w:t>。</w:t>
      </w:r>
    </w:p>
    <w:p w14:paraId="60466E36">
      <w:pPr>
        <w:pStyle w:val="5"/>
        <w:snapToGrid w:val="0"/>
        <w:spacing w:before="0" w:after="0" w:line="360" w:lineRule="auto"/>
        <w:rPr>
          <w:rFonts w:ascii="宋体" w:hAnsi="宋体"/>
          <w:b w:val="0"/>
          <w:snapToGrid w:val="0"/>
          <w:sz w:val="24"/>
          <w:szCs w:val="24"/>
        </w:rPr>
      </w:pPr>
      <w:bookmarkStart w:id="125" w:name="_Toc287620691"/>
      <w:bookmarkStart w:id="126" w:name="_Toc509218716"/>
      <w:bookmarkStart w:id="127" w:name="_Toc224103323"/>
      <w:bookmarkStart w:id="128" w:name="_Toc277082558"/>
      <w:bookmarkStart w:id="129" w:name="_Toc430530441"/>
      <w:bookmarkStart w:id="130" w:name="_Toc29714"/>
      <w:bookmarkStart w:id="131" w:name="_Toc200513132"/>
      <w:bookmarkStart w:id="132" w:name="_Toc287607752"/>
      <w:r>
        <w:rPr>
          <w:rFonts w:ascii="宋体" w:hAnsi="宋体"/>
          <w:b w:val="0"/>
          <w:snapToGrid w:val="0"/>
          <w:sz w:val="24"/>
          <w:szCs w:val="24"/>
        </w:rPr>
        <w:t>1.5  费用承担</w:t>
      </w:r>
      <w:bookmarkEnd w:id="125"/>
      <w:bookmarkEnd w:id="126"/>
      <w:bookmarkEnd w:id="127"/>
      <w:bookmarkEnd w:id="128"/>
      <w:bookmarkEnd w:id="129"/>
      <w:bookmarkEnd w:id="130"/>
      <w:bookmarkEnd w:id="131"/>
      <w:bookmarkEnd w:id="132"/>
    </w:p>
    <w:p w14:paraId="7D6038D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投标人准备和参加投标活动发生的费用自理。</w:t>
      </w:r>
    </w:p>
    <w:p w14:paraId="727483E8">
      <w:pPr>
        <w:pStyle w:val="5"/>
        <w:snapToGrid w:val="0"/>
        <w:spacing w:before="0" w:after="0" w:line="360" w:lineRule="auto"/>
        <w:rPr>
          <w:rFonts w:ascii="宋体" w:hAnsi="宋体"/>
          <w:b w:val="0"/>
          <w:snapToGrid w:val="0"/>
          <w:sz w:val="24"/>
          <w:szCs w:val="24"/>
        </w:rPr>
      </w:pPr>
      <w:bookmarkStart w:id="133" w:name="_Toc287607753"/>
      <w:bookmarkStart w:id="134" w:name="_Toc509218717"/>
      <w:bookmarkStart w:id="135" w:name="_Toc200513133"/>
      <w:bookmarkStart w:id="136" w:name="_Toc9481"/>
      <w:bookmarkStart w:id="137" w:name="_Toc287620692"/>
      <w:bookmarkStart w:id="138" w:name="_Toc430530442"/>
      <w:bookmarkStart w:id="139" w:name="_Toc277082559"/>
      <w:bookmarkStart w:id="140" w:name="_Toc224103324"/>
      <w:r>
        <w:rPr>
          <w:rFonts w:ascii="宋体" w:hAnsi="宋体"/>
          <w:b w:val="0"/>
          <w:snapToGrid w:val="0"/>
          <w:sz w:val="24"/>
          <w:szCs w:val="24"/>
        </w:rPr>
        <w:t>1.6  保密</w:t>
      </w:r>
      <w:bookmarkEnd w:id="133"/>
      <w:bookmarkEnd w:id="134"/>
      <w:bookmarkEnd w:id="135"/>
      <w:bookmarkEnd w:id="136"/>
      <w:bookmarkEnd w:id="137"/>
      <w:bookmarkEnd w:id="138"/>
      <w:bookmarkEnd w:id="139"/>
      <w:bookmarkEnd w:id="140"/>
    </w:p>
    <w:p w14:paraId="46D78ABE">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参与</w:t>
      </w:r>
      <w:r>
        <w:rPr>
          <w:rFonts w:hint="eastAsia" w:ascii="宋体" w:hAnsi="宋体"/>
          <w:snapToGrid w:val="0"/>
          <w:kern w:val="0"/>
          <w:szCs w:val="21"/>
        </w:rPr>
        <w:t>采购</w:t>
      </w:r>
      <w:r>
        <w:rPr>
          <w:rFonts w:ascii="宋体" w:hAnsi="宋体"/>
          <w:snapToGrid w:val="0"/>
          <w:kern w:val="0"/>
          <w:szCs w:val="21"/>
        </w:rPr>
        <w:t>投标活动的各方应对</w:t>
      </w:r>
      <w:r>
        <w:rPr>
          <w:rFonts w:hint="eastAsia" w:ascii="宋体" w:hAnsi="宋体"/>
          <w:snapToGrid w:val="0"/>
          <w:kern w:val="0"/>
          <w:szCs w:val="21"/>
        </w:rPr>
        <w:t>采购</w:t>
      </w:r>
      <w:r>
        <w:rPr>
          <w:rFonts w:ascii="宋体" w:hAnsi="宋体"/>
          <w:snapToGrid w:val="0"/>
          <w:kern w:val="0"/>
          <w:szCs w:val="21"/>
        </w:rPr>
        <w:t>文件和投标文件中的商业和技术等秘密保密，违者应对由此造成的后果承担法律责任。</w:t>
      </w:r>
    </w:p>
    <w:p w14:paraId="2BE7171D">
      <w:pPr>
        <w:pStyle w:val="5"/>
        <w:snapToGrid w:val="0"/>
        <w:spacing w:before="0" w:after="0" w:line="360" w:lineRule="auto"/>
        <w:rPr>
          <w:rFonts w:ascii="宋体" w:hAnsi="宋体"/>
          <w:b w:val="0"/>
          <w:snapToGrid w:val="0"/>
          <w:sz w:val="24"/>
          <w:szCs w:val="24"/>
        </w:rPr>
      </w:pPr>
      <w:bookmarkStart w:id="141" w:name="_Toc509218718"/>
      <w:bookmarkStart w:id="142" w:name="_Toc287620693"/>
      <w:bookmarkStart w:id="143" w:name="_Toc15202"/>
      <w:bookmarkStart w:id="144" w:name="_Toc430530443"/>
      <w:bookmarkStart w:id="145" w:name="_Toc200513134"/>
      <w:bookmarkStart w:id="146" w:name="_Toc224103325"/>
      <w:bookmarkStart w:id="147" w:name="_Toc287607754"/>
      <w:bookmarkStart w:id="148" w:name="_Toc277082560"/>
      <w:r>
        <w:rPr>
          <w:rFonts w:ascii="宋体" w:hAnsi="宋体"/>
          <w:b w:val="0"/>
          <w:snapToGrid w:val="0"/>
          <w:sz w:val="24"/>
          <w:szCs w:val="24"/>
        </w:rPr>
        <w:t>1.7  语言文字</w:t>
      </w:r>
      <w:bookmarkEnd w:id="141"/>
      <w:bookmarkEnd w:id="142"/>
      <w:bookmarkEnd w:id="143"/>
      <w:bookmarkEnd w:id="144"/>
      <w:bookmarkEnd w:id="145"/>
      <w:bookmarkEnd w:id="146"/>
      <w:bookmarkEnd w:id="147"/>
      <w:bookmarkEnd w:id="148"/>
    </w:p>
    <w:p w14:paraId="6351B69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除专用术语外，与</w:t>
      </w:r>
      <w:r>
        <w:rPr>
          <w:rFonts w:hint="eastAsia" w:ascii="宋体" w:hAnsi="宋体"/>
          <w:snapToGrid w:val="0"/>
          <w:kern w:val="0"/>
          <w:szCs w:val="21"/>
        </w:rPr>
        <w:t>采购</w:t>
      </w:r>
      <w:r>
        <w:rPr>
          <w:rFonts w:ascii="宋体" w:hAnsi="宋体"/>
          <w:snapToGrid w:val="0"/>
          <w:kern w:val="0"/>
          <w:szCs w:val="21"/>
        </w:rPr>
        <w:t>投标有关的语言均使用中文。必要时专用术语应附有中文注释。</w:t>
      </w:r>
    </w:p>
    <w:p w14:paraId="79F5E6F1">
      <w:pPr>
        <w:pStyle w:val="5"/>
        <w:snapToGrid w:val="0"/>
        <w:spacing w:before="0" w:after="0" w:line="360" w:lineRule="auto"/>
        <w:rPr>
          <w:rFonts w:ascii="宋体" w:hAnsi="宋体"/>
          <w:b w:val="0"/>
          <w:snapToGrid w:val="0"/>
          <w:sz w:val="24"/>
          <w:szCs w:val="24"/>
        </w:rPr>
      </w:pPr>
      <w:bookmarkStart w:id="149" w:name="_Toc287607755"/>
      <w:bookmarkStart w:id="150" w:name="_Toc287620694"/>
      <w:bookmarkStart w:id="151" w:name="_Toc224103326"/>
      <w:bookmarkStart w:id="152" w:name="_Toc200513135"/>
      <w:bookmarkStart w:id="153" w:name="_Toc277082561"/>
      <w:bookmarkStart w:id="154" w:name="_Toc430530444"/>
      <w:bookmarkStart w:id="155" w:name="_Toc509218719"/>
      <w:bookmarkStart w:id="156" w:name="_Toc27153"/>
      <w:r>
        <w:rPr>
          <w:rFonts w:ascii="宋体" w:hAnsi="宋体"/>
          <w:b w:val="0"/>
          <w:snapToGrid w:val="0"/>
          <w:sz w:val="24"/>
          <w:szCs w:val="24"/>
        </w:rPr>
        <w:t>1.8  计量单位</w:t>
      </w:r>
      <w:bookmarkEnd w:id="149"/>
      <w:bookmarkEnd w:id="150"/>
      <w:bookmarkEnd w:id="151"/>
      <w:bookmarkEnd w:id="152"/>
      <w:bookmarkEnd w:id="153"/>
      <w:bookmarkEnd w:id="154"/>
      <w:bookmarkEnd w:id="155"/>
      <w:bookmarkEnd w:id="156"/>
    </w:p>
    <w:p w14:paraId="02217E76">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所有计量均采用中华人民共和国法定计量单位。</w:t>
      </w:r>
    </w:p>
    <w:p w14:paraId="6E0CB9A3">
      <w:pPr>
        <w:pStyle w:val="5"/>
        <w:snapToGrid w:val="0"/>
        <w:spacing w:before="0" w:after="0" w:line="360" w:lineRule="auto"/>
        <w:rPr>
          <w:rFonts w:ascii="宋体" w:hAnsi="宋体"/>
          <w:b w:val="0"/>
          <w:snapToGrid w:val="0"/>
          <w:sz w:val="24"/>
          <w:szCs w:val="24"/>
        </w:rPr>
      </w:pPr>
      <w:bookmarkStart w:id="157" w:name="_Toc132"/>
      <w:bookmarkStart w:id="158" w:name="_Toc287607756"/>
      <w:bookmarkStart w:id="159" w:name="_Toc224103327"/>
      <w:bookmarkStart w:id="160" w:name="_Toc509218720"/>
      <w:bookmarkStart w:id="161" w:name="_Toc430530445"/>
      <w:bookmarkStart w:id="162" w:name="_Toc277082562"/>
      <w:bookmarkStart w:id="163" w:name="_Toc287620695"/>
      <w:bookmarkStart w:id="164" w:name="_Toc200513136"/>
      <w:r>
        <w:rPr>
          <w:rFonts w:ascii="宋体" w:hAnsi="宋体"/>
          <w:b w:val="0"/>
          <w:snapToGrid w:val="0"/>
          <w:sz w:val="24"/>
          <w:szCs w:val="24"/>
        </w:rPr>
        <w:t>1.9  踏勘现场</w:t>
      </w:r>
      <w:bookmarkEnd w:id="157"/>
      <w:bookmarkEnd w:id="158"/>
      <w:bookmarkEnd w:id="159"/>
      <w:bookmarkEnd w:id="160"/>
      <w:bookmarkEnd w:id="161"/>
      <w:bookmarkEnd w:id="162"/>
      <w:bookmarkEnd w:id="163"/>
      <w:bookmarkEnd w:id="164"/>
    </w:p>
    <w:p w14:paraId="7A32A12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1.9.1  投标人须知前附表规定组织踏勘现场的，</w:t>
      </w:r>
      <w:r>
        <w:rPr>
          <w:rFonts w:hint="eastAsia" w:ascii="宋体" w:hAnsi="宋体"/>
          <w:snapToGrid w:val="0"/>
          <w:kern w:val="0"/>
          <w:szCs w:val="21"/>
        </w:rPr>
        <w:t>采购</w:t>
      </w:r>
      <w:r>
        <w:rPr>
          <w:rFonts w:ascii="宋体" w:hAnsi="宋体"/>
          <w:snapToGrid w:val="0"/>
          <w:kern w:val="0"/>
          <w:szCs w:val="21"/>
        </w:rPr>
        <w:t>人按投标人须知前附表规定的时间、 地点组织投标人踏勘项目现场。</w:t>
      </w:r>
    </w:p>
    <w:p w14:paraId="35D50FB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1.9.2  投标人踏勘现场发生的费用自理。</w:t>
      </w:r>
    </w:p>
    <w:p w14:paraId="2338FE8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1.9.3  除</w:t>
      </w:r>
      <w:r>
        <w:rPr>
          <w:rFonts w:hint="eastAsia" w:ascii="宋体" w:hAnsi="宋体"/>
          <w:snapToGrid w:val="0"/>
          <w:kern w:val="0"/>
          <w:szCs w:val="21"/>
        </w:rPr>
        <w:t>采购</w:t>
      </w:r>
      <w:r>
        <w:rPr>
          <w:rFonts w:ascii="宋体" w:hAnsi="宋体"/>
          <w:snapToGrid w:val="0"/>
          <w:kern w:val="0"/>
          <w:szCs w:val="21"/>
        </w:rPr>
        <w:t>人的原因外，投标人自行负责在踏勘现场中所发生的人员伤亡和财产损失。</w:t>
      </w:r>
    </w:p>
    <w:p w14:paraId="5D7D8E5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 xml:space="preserve">1.9.4  </w:t>
      </w:r>
      <w:r>
        <w:rPr>
          <w:rFonts w:hint="eastAsia" w:ascii="宋体" w:hAnsi="宋体"/>
          <w:snapToGrid w:val="0"/>
          <w:kern w:val="0"/>
          <w:szCs w:val="21"/>
        </w:rPr>
        <w:t>采购</w:t>
      </w:r>
      <w:r>
        <w:rPr>
          <w:rFonts w:ascii="宋体" w:hAnsi="宋体"/>
          <w:snapToGrid w:val="0"/>
          <w:kern w:val="0"/>
          <w:szCs w:val="21"/>
        </w:rPr>
        <w:t>人在踏勘现场中介绍的工程场地和相关的周边环境情况，供投标人在编制投标文件时参考，</w:t>
      </w:r>
      <w:r>
        <w:rPr>
          <w:rFonts w:hint="eastAsia" w:ascii="宋体" w:hAnsi="宋体"/>
          <w:snapToGrid w:val="0"/>
          <w:kern w:val="0"/>
          <w:szCs w:val="21"/>
        </w:rPr>
        <w:t>采购</w:t>
      </w:r>
      <w:r>
        <w:rPr>
          <w:rFonts w:ascii="宋体" w:hAnsi="宋体"/>
          <w:snapToGrid w:val="0"/>
          <w:kern w:val="0"/>
          <w:szCs w:val="21"/>
        </w:rPr>
        <w:t>人不对投标人据此做出的判断和决策负责。</w:t>
      </w:r>
    </w:p>
    <w:p w14:paraId="716777B7">
      <w:pPr>
        <w:pStyle w:val="5"/>
        <w:snapToGrid w:val="0"/>
        <w:spacing w:before="0" w:after="0" w:line="360" w:lineRule="auto"/>
        <w:rPr>
          <w:rFonts w:ascii="宋体" w:hAnsi="宋体"/>
          <w:b w:val="0"/>
          <w:snapToGrid w:val="0"/>
          <w:sz w:val="24"/>
          <w:szCs w:val="24"/>
        </w:rPr>
      </w:pPr>
      <w:bookmarkStart w:id="165" w:name="_Toc11926"/>
      <w:bookmarkStart w:id="166" w:name="_Toc287620696"/>
      <w:bookmarkStart w:id="167" w:name="_Toc277082563"/>
      <w:bookmarkStart w:id="168" w:name="_Toc200513137"/>
      <w:bookmarkStart w:id="169" w:name="_Toc287607757"/>
      <w:bookmarkStart w:id="170" w:name="_Toc224103328"/>
      <w:bookmarkStart w:id="171" w:name="_Toc430530446"/>
      <w:bookmarkStart w:id="172" w:name="_Toc509218721"/>
      <w:r>
        <w:rPr>
          <w:rFonts w:ascii="宋体" w:hAnsi="宋体"/>
          <w:b w:val="0"/>
          <w:snapToGrid w:val="0"/>
          <w:sz w:val="24"/>
          <w:szCs w:val="24"/>
        </w:rPr>
        <w:t>1.10  投标预备会</w:t>
      </w:r>
      <w:bookmarkEnd w:id="165"/>
      <w:bookmarkEnd w:id="166"/>
      <w:bookmarkEnd w:id="167"/>
      <w:bookmarkEnd w:id="168"/>
      <w:bookmarkEnd w:id="169"/>
      <w:bookmarkEnd w:id="170"/>
      <w:bookmarkEnd w:id="171"/>
      <w:bookmarkEnd w:id="172"/>
    </w:p>
    <w:p w14:paraId="3224FAF7">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1.10.1  投标人须知前附表规定召开投标预备会的，</w:t>
      </w:r>
      <w:r>
        <w:rPr>
          <w:rFonts w:hint="eastAsia" w:ascii="宋体" w:hAnsi="宋体"/>
          <w:snapToGrid w:val="0"/>
          <w:kern w:val="0"/>
          <w:szCs w:val="21"/>
        </w:rPr>
        <w:t>采购</w:t>
      </w:r>
      <w:r>
        <w:rPr>
          <w:rFonts w:ascii="宋体" w:hAnsi="宋体"/>
          <w:snapToGrid w:val="0"/>
          <w:kern w:val="0"/>
          <w:szCs w:val="21"/>
        </w:rPr>
        <w:t>人按投标人须知前附表规定的时间和地点召开投标预备会，澄清投标人提出的问题。</w:t>
      </w:r>
    </w:p>
    <w:p w14:paraId="344D053B">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1.10.2  投标人应在投标人须知前附表第</w:t>
      </w:r>
      <w:r>
        <w:rPr>
          <w:rFonts w:ascii="宋体" w:hAnsi="宋体"/>
          <w:kern w:val="0"/>
          <w:szCs w:val="21"/>
        </w:rPr>
        <w:t>2.2.4项</w:t>
      </w:r>
      <w:r>
        <w:rPr>
          <w:rFonts w:ascii="宋体" w:hAnsi="宋体"/>
          <w:snapToGrid w:val="0"/>
          <w:kern w:val="0"/>
          <w:szCs w:val="21"/>
        </w:rPr>
        <w:t>规定的时间前，以书面形式将提出的问题送达</w:t>
      </w:r>
      <w:r>
        <w:rPr>
          <w:rFonts w:hint="eastAsia" w:ascii="宋体" w:hAnsi="宋体"/>
          <w:snapToGrid w:val="0"/>
          <w:kern w:val="0"/>
          <w:szCs w:val="21"/>
        </w:rPr>
        <w:t>采购</w:t>
      </w:r>
      <w:r>
        <w:rPr>
          <w:rFonts w:ascii="宋体" w:hAnsi="宋体"/>
          <w:snapToGrid w:val="0"/>
          <w:kern w:val="0"/>
          <w:szCs w:val="21"/>
        </w:rPr>
        <w:t>人，以便</w:t>
      </w:r>
      <w:r>
        <w:rPr>
          <w:rFonts w:hint="eastAsia" w:ascii="宋体" w:hAnsi="宋体"/>
          <w:snapToGrid w:val="0"/>
          <w:kern w:val="0"/>
          <w:szCs w:val="21"/>
        </w:rPr>
        <w:t>采购</w:t>
      </w:r>
      <w:r>
        <w:rPr>
          <w:rFonts w:ascii="宋体" w:hAnsi="宋体"/>
          <w:snapToGrid w:val="0"/>
          <w:kern w:val="0"/>
          <w:szCs w:val="21"/>
        </w:rPr>
        <w:t>人澄清。</w:t>
      </w:r>
    </w:p>
    <w:p w14:paraId="17141624">
      <w:pPr>
        <w:autoSpaceDE w:val="0"/>
        <w:autoSpaceDN w:val="0"/>
        <w:adjustRightInd w:val="0"/>
        <w:snapToGrid w:val="0"/>
        <w:spacing w:line="360" w:lineRule="auto"/>
        <w:ind w:firstLine="424" w:firstLineChars="202"/>
        <w:rPr>
          <w:rFonts w:ascii="宋体" w:hAnsi="宋体"/>
          <w:snapToGrid w:val="0"/>
          <w:kern w:val="0"/>
          <w:szCs w:val="21"/>
        </w:rPr>
      </w:pPr>
      <w:r>
        <w:rPr>
          <w:rFonts w:ascii="宋体" w:hAnsi="宋体"/>
          <w:snapToGrid w:val="0"/>
          <w:kern w:val="0"/>
          <w:szCs w:val="21"/>
        </w:rPr>
        <w:t xml:space="preserve">1.10.3  </w:t>
      </w:r>
      <w:r>
        <w:rPr>
          <w:rFonts w:hint="eastAsia" w:ascii="宋体" w:hAnsi="宋体"/>
          <w:snapToGrid w:val="0"/>
          <w:kern w:val="0"/>
          <w:szCs w:val="21"/>
        </w:rPr>
        <w:t>采购</w:t>
      </w:r>
      <w:r>
        <w:rPr>
          <w:rFonts w:ascii="宋体" w:hAnsi="宋体"/>
          <w:snapToGrid w:val="0"/>
          <w:kern w:val="0"/>
          <w:szCs w:val="21"/>
        </w:rPr>
        <w:t>人在投标人须知前附表规定的时间内，将对投标人所提</w:t>
      </w:r>
      <w:r>
        <w:rPr>
          <w:rFonts w:ascii="宋体" w:hAnsi="宋体"/>
          <w:snapToGrid w:val="0"/>
          <w:kern w:val="0"/>
          <w:position w:val="-2"/>
          <w:szCs w:val="21"/>
        </w:rPr>
        <w:t>的</w:t>
      </w:r>
      <w:r>
        <w:rPr>
          <w:rFonts w:ascii="宋体" w:hAnsi="宋体"/>
          <w:snapToGrid w:val="0"/>
          <w:kern w:val="0"/>
          <w:szCs w:val="21"/>
        </w:rPr>
        <w:t>问题</w:t>
      </w:r>
      <w:r>
        <w:rPr>
          <w:rFonts w:ascii="宋体" w:hAnsi="宋体"/>
          <w:snapToGrid w:val="0"/>
          <w:kern w:val="0"/>
          <w:position w:val="-2"/>
          <w:szCs w:val="21"/>
        </w:rPr>
        <w:t>进行澄清。该澄清内容为</w:t>
      </w:r>
      <w:r>
        <w:rPr>
          <w:rFonts w:hint="eastAsia" w:ascii="宋体" w:hAnsi="宋体"/>
          <w:snapToGrid w:val="0"/>
          <w:kern w:val="0"/>
          <w:position w:val="-2"/>
          <w:szCs w:val="21"/>
        </w:rPr>
        <w:t>采购</w:t>
      </w:r>
      <w:r>
        <w:rPr>
          <w:rFonts w:ascii="宋体" w:hAnsi="宋体"/>
          <w:snapToGrid w:val="0"/>
          <w:kern w:val="0"/>
          <w:position w:val="-2"/>
          <w:szCs w:val="21"/>
        </w:rPr>
        <w:t>文件的组成部分。</w:t>
      </w:r>
    </w:p>
    <w:p w14:paraId="0EC39985">
      <w:pPr>
        <w:pStyle w:val="5"/>
        <w:snapToGrid w:val="0"/>
        <w:spacing w:before="0" w:after="0" w:line="360" w:lineRule="auto"/>
        <w:rPr>
          <w:rFonts w:ascii="宋体" w:hAnsi="宋体"/>
          <w:b w:val="0"/>
          <w:snapToGrid w:val="0"/>
          <w:sz w:val="24"/>
          <w:szCs w:val="24"/>
        </w:rPr>
      </w:pPr>
      <w:bookmarkStart w:id="173" w:name="_Toc430530447"/>
      <w:bookmarkStart w:id="174" w:name="_Toc509218722"/>
      <w:bookmarkStart w:id="175" w:name="_Toc200513138"/>
      <w:bookmarkStart w:id="176" w:name="_Toc277082564"/>
      <w:bookmarkStart w:id="177" w:name="_Toc287607758"/>
      <w:bookmarkStart w:id="178" w:name="_Toc224103329"/>
      <w:bookmarkStart w:id="179" w:name="_Toc287620697"/>
      <w:bookmarkStart w:id="180" w:name="_Toc1359"/>
      <w:r>
        <w:rPr>
          <w:rFonts w:ascii="宋体" w:hAnsi="宋体"/>
          <w:b w:val="0"/>
          <w:snapToGrid w:val="0"/>
          <w:sz w:val="24"/>
          <w:szCs w:val="24"/>
        </w:rPr>
        <w:t>1.11  分包</w:t>
      </w:r>
      <w:bookmarkEnd w:id="173"/>
      <w:bookmarkEnd w:id="174"/>
      <w:bookmarkEnd w:id="175"/>
      <w:bookmarkEnd w:id="176"/>
      <w:bookmarkEnd w:id="177"/>
      <w:bookmarkEnd w:id="178"/>
      <w:bookmarkEnd w:id="179"/>
      <w:bookmarkEnd w:id="180"/>
    </w:p>
    <w:p w14:paraId="6C1FDA63">
      <w:pPr>
        <w:autoSpaceDE w:val="0"/>
        <w:autoSpaceDN w:val="0"/>
        <w:adjustRightInd w:val="0"/>
        <w:snapToGrid w:val="0"/>
        <w:spacing w:line="360" w:lineRule="auto"/>
        <w:ind w:firstLine="426"/>
        <w:rPr>
          <w:rFonts w:ascii="宋体" w:hAnsi="宋体"/>
          <w:snapToGrid w:val="0"/>
          <w:kern w:val="0"/>
          <w:szCs w:val="21"/>
        </w:rPr>
      </w:pPr>
      <w:r>
        <w:rPr>
          <w:rFonts w:ascii="宋体" w:hAnsi="宋体"/>
          <w:snapToGrid w:val="0"/>
          <w:kern w:val="0"/>
          <w:szCs w:val="21"/>
        </w:rPr>
        <w:t>投标人拟在中标后将中标项目的部分非主体、非关键性工作进行分包的，应符合投标人须知前附表规定的分包内容、分包金额和接受分包的第三人资质要求等限制性条件。</w:t>
      </w:r>
    </w:p>
    <w:p w14:paraId="310C645E">
      <w:pPr>
        <w:pStyle w:val="5"/>
        <w:snapToGrid w:val="0"/>
        <w:spacing w:before="0" w:after="0" w:line="360" w:lineRule="auto"/>
        <w:rPr>
          <w:rFonts w:ascii="宋体" w:hAnsi="宋体"/>
          <w:b w:val="0"/>
          <w:snapToGrid w:val="0"/>
          <w:sz w:val="24"/>
          <w:szCs w:val="24"/>
        </w:rPr>
      </w:pPr>
      <w:bookmarkStart w:id="181" w:name="_Toc287620698"/>
      <w:bookmarkStart w:id="182" w:name="_Toc509218723"/>
      <w:bookmarkStart w:id="183" w:name="_Toc200513139"/>
      <w:bookmarkStart w:id="184" w:name="_Toc287607759"/>
      <w:bookmarkStart w:id="185" w:name="_Toc32458"/>
      <w:bookmarkStart w:id="186" w:name="_Toc224103330"/>
      <w:bookmarkStart w:id="187" w:name="_Toc430530448"/>
      <w:bookmarkStart w:id="188" w:name="_Toc277082565"/>
      <w:r>
        <w:rPr>
          <w:rFonts w:ascii="宋体" w:hAnsi="宋体"/>
          <w:b w:val="0"/>
          <w:snapToGrid w:val="0"/>
          <w:sz w:val="24"/>
          <w:szCs w:val="24"/>
        </w:rPr>
        <w:t>1.12  偏离</w:t>
      </w:r>
      <w:bookmarkEnd w:id="181"/>
      <w:bookmarkEnd w:id="182"/>
      <w:bookmarkEnd w:id="183"/>
      <w:bookmarkEnd w:id="184"/>
      <w:bookmarkEnd w:id="185"/>
      <w:bookmarkEnd w:id="186"/>
      <w:bookmarkEnd w:id="187"/>
      <w:bookmarkEnd w:id="188"/>
    </w:p>
    <w:p w14:paraId="7524175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投标人须知前附表允许投标文件偏离</w:t>
      </w:r>
      <w:r>
        <w:rPr>
          <w:rFonts w:hint="eastAsia" w:ascii="宋体" w:hAnsi="宋体"/>
          <w:snapToGrid w:val="0"/>
          <w:kern w:val="0"/>
          <w:szCs w:val="21"/>
        </w:rPr>
        <w:t>采购</w:t>
      </w:r>
      <w:r>
        <w:rPr>
          <w:rFonts w:ascii="宋体" w:hAnsi="宋体"/>
          <w:snapToGrid w:val="0"/>
          <w:kern w:val="0"/>
          <w:szCs w:val="21"/>
        </w:rPr>
        <w:t>文件某些要求的，偏离应当符合</w:t>
      </w:r>
      <w:r>
        <w:rPr>
          <w:rFonts w:hint="eastAsia" w:ascii="宋体" w:hAnsi="宋体"/>
          <w:snapToGrid w:val="0"/>
          <w:kern w:val="0"/>
          <w:szCs w:val="21"/>
        </w:rPr>
        <w:t>采购</w:t>
      </w:r>
      <w:r>
        <w:rPr>
          <w:rFonts w:ascii="宋体" w:hAnsi="宋体"/>
          <w:snapToGrid w:val="0"/>
          <w:kern w:val="0"/>
          <w:szCs w:val="21"/>
        </w:rPr>
        <w:t>文件规定 的偏离范围和幅度。</w:t>
      </w:r>
    </w:p>
    <w:p w14:paraId="37F4DB09">
      <w:pPr>
        <w:pStyle w:val="4"/>
        <w:spacing w:before="0" w:after="0" w:line="360" w:lineRule="auto"/>
        <w:rPr>
          <w:rFonts w:ascii="宋体" w:hAnsi="宋体"/>
          <w:b w:val="0"/>
          <w:snapToGrid w:val="0"/>
        </w:rPr>
      </w:pPr>
      <w:bookmarkStart w:id="189" w:name="_Toc287620699"/>
      <w:bookmarkStart w:id="190" w:name="_Toc287607760"/>
      <w:bookmarkStart w:id="191" w:name="_Toc509218724"/>
      <w:bookmarkStart w:id="192" w:name="_Toc430530449"/>
      <w:bookmarkStart w:id="193" w:name="_Toc224103331"/>
      <w:bookmarkStart w:id="194" w:name="_Toc200513140"/>
      <w:bookmarkStart w:id="195" w:name="_Toc30737"/>
      <w:bookmarkStart w:id="196" w:name="_Toc277082566"/>
      <w:r>
        <w:rPr>
          <w:rFonts w:ascii="宋体" w:hAnsi="宋体"/>
          <w:b w:val="0"/>
          <w:snapToGrid w:val="0"/>
        </w:rPr>
        <w:t xml:space="preserve">2.  </w:t>
      </w:r>
      <w:r>
        <w:rPr>
          <w:rFonts w:hint="eastAsia" w:ascii="宋体" w:hAnsi="宋体"/>
          <w:b w:val="0"/>
          <w:snapToGrid w:val="0"/>
        </w:rPr>
        <w:t>采购</w:t>
      </w:r>
      <w:r>
        <w:rPr>
          <w:rFonts w:ascii="宋体" w:hAnsi="宋体"/>
          <w:b w:val="0"/>
          <w:snapToGrid w:val="0"/>
        </w:rPr>
        <w:t>文件</w:t>
      </w:r>
      <w:bookmarkEnd w:id="189"/>
      <w:bookmarkEnd w:id="190"/>
      <w:bookmarkEnd w:id="191"/>
      <w:bookmarkEnd w:id="192"/>
      <w:bookmarkEnd w:id="193"/>
      <w:bookmarkEnd w:id="194"/>
      <w:bookmarkEnd w:id="195"/>
      <w:bookmarkEnd w:id="196"/>
    </w:p>
    <w:p w14:paraId="2A846981">
      <w:pPr>
        <w:pStyle w:val="5"/>
        <w:snapToGrid w:val="0"/>
        <w:spacing w:before="0" w:after="0" w:line="360" w:lineRule="auto"/>
        <w:rPr>
          <w:rFonts w:ascii="宋体" w:hAnsi="宋体"/>
          <w:b w:val="0"/>
          <w:snapToGrid w:val="0"/>
          <w:sz w:val="24"/>
          <w:szCs w:val="24"/>
        </w:rPr>
      </w:pPr>
      <w:bookmarkStart w:id="197" w:name="_Toc224103332"/>
      <w:bookmarkStart w:id="198" w:name="_Toc430530450"/>
      <w:bookmarkStart w:id="199" w:name="_Toc277082567"/>
      <w:bookmarkStart w:id="200" w:name="_Toc200513141"/>
      <w:bookmarkStart w:id="201" w:name="_Toc287620700"/>
      <w:bookmarkStart w:id="202" w:name="_Toc509218725"/>
      <w:bookmarkStart w:id="203" w:name="_Toc287607761"/>
      <w:bookmarkStart w:id="204" w:name="_Toc32517"/>
      <w:r>
        <w:rPr>
          <w:rFonts w:ascii="宋体" w:hAnsi="宋体"/>
          <w:b w:val="0"/>
          <w:snapToGrid w:val="0"/>
          <w:sz w:val="24"/>
          <w:szCs w:val="24"/>
        </w:rPr>
        <w:t xml:space="preserve">2.1  </w:t>
      </w:r>
      <w:r>
        <w:rPr>
          <w:rFonts w:hint="eastAsia" w:ascii="宋体" w:hAnsi="宋体"/>
          <w:b w:val="0"/>
          <w:snapToGrid w:val="0"/>
          <w:sz w:val="24"/>
          <w:szCs w:val="24"/>
        </w:rPr>
        <w:t>采购</w:t>
      </w:r>
      <w:r>
        <w:rPr>
          <w:rFonts w:ascii="宋体" w:hAnsi="宋体"/>
          <w:b w:val="0"/>
          <w:snapToGrid w:val="0"/>
          <w:sz w:val="24"/>
          <w:szCs w:val="24"/>
        </w:rPr>
        <w:t>文件的组成</w:t>
      </w:r>
      <w:bookmarkEnd w:id="197"/>
      <w:bookmarkEnd w:id="198"/>
      <w:bookmarkEnd w:id="199"/>
      <w:bookmarkEnd w:id="200"/>
      <w:bookmarkEnd w:id="201"/>
      <w:bookmarkEnd w:id="202"/>
      <w:bookmarkEnd w:id="203"/>
      <w:bookmarkEnd w:id="204"/>
    </w:p>
    <w:p w14:paraId="6600D1C7">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本</w:t>
      </w:r>
      <w:r>
        <w:rPr>
          <w:rFonts w:hint="eastAsia" w:ascii="宋体" w:hAnsi="宋体"/>
          <w:snapToGrid w:val="0"/>
          <w:kern w:val="0"/>
          <w:szCs w:val="21"/>
        </w:rPr>
        <w:t>采购</w:t>
      </w:r>
      <w:r>
        <w:rPr>
          <w:rFonts w:ascii="宋体" w:hAnsi="宋体"/>
          <w:snapToGrid w:val="0"/>
          <w:kern w:val="0"/>
          <w:szCs w:val="21"/>
        </w:rPr>
        <w:t>文件包括：</w:t>
      </w:r>
    </w:p>
    <w:p w14:paraId="43C78CD0">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采购</w:t>
      </w:r>
      <w:r>
        <w:rPr>
          <w:rFonts w:ascii="宋体" w:hAnsi="宋体"/>
          <w:snapToGrid w:val="0"/>
          <w:kern w:val="0"/>
          <w:szCs w:val="21"/>
        </w:rPr>
        <w:t>公告（或投标邀请书）；</w:t>
      </w:r>
    </w:p>
    <w:p w14:paraId="43D8993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（2）投标人须知；</w:t>
      </w:r>
    </w:p>
    <w:p w14:paraId="6E07766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（3）评标办法；</w:t>
      </w:r>
    </w:p>
    <w:p w14:paraId="636B1D9D">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（4）合同条款及格式；</w:t>
      </w:r>
    </w:p>
    <w:p w14:paraId="4927C918">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（5）工程量清单；</w:t>
      </w:r>
    </w:p>
    <w:p w14:paraId="021E4D07">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（6）图纸；</w:t>
      </w:r>
    </w:p>
    <w:p w14:paraId="2A43E5A6">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（7）技术标准和要求；</w:t>
      </w:r>
    </w:p>
    <w:p w14:paraId="5496FB90">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（8）投标文件格式；</w:t>
      </w:r>
    </w:p>
    <w:p w14:paraId="57FEF561">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（9）投标人须知前附表规定的其他材料。</w:t>
      </w:r>
    </w:p>
    <w:p w14:paraId="0ABD04AF">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根据本章第1.10款、第2.2款和第2.3款对</w:t>
      </w:r>
      <w:r>
        <w:rPr>
          <w:rFonts w:hint="eastAsia" w:ascii="宋体" w:hAnsi="宋体"/>
          <w:snapToGrid w:val="0"/>
          <w:kern w:val="0"/>
          <w:szCs w:val="21"/>
        </w:rPr>
        <w:t>采购</w:t>
      </w:r>
      <w:r>
        <w:rPr>
          <w:rFonts w:ascii="宋体" w:hAnsi="宋体"/>
          <w:snapToGrid w:val="0"/>
          <w:kern w:val="0"/>
          <w:szCs w:val="21"/>
        </w:rPr>
        <w:t>文件所作的澄清、修改，构成</w:t>
      </w:r>
      <w:r>
        <w:rPr>
          <w:rFonts w:hint="eastAsia" w:ascii="宋体" w:hAnsi="宋体"/>
          <w:snapToGrid w:val="0"/>
          <w:kern w:val="0"/>
          <w:szCs w:val="21"/>
        </w:rPr>
        <w:t>采购</w:t>
      </w:r>
      <w:r>
        <w:rPr>
          <w:rFonts w:ascii="宋体" w:hAnsi="宋体"/>
          <w:snapToGrid w:val="0"/>
          <w:kern w:val="0"/>
          <w:szCs w:val="21"/>
        </w:rPr>
        <w:t>文件的组成部分。</w:t>
      </w:r>
    </w:p>
    <w:p w14:paraId="6EF208DB">
      <w:pPr>
        <w:pStyle w:val="4"/>
        <w:spacing w:before="0" w:after="0" w:line="360" w:lineRule="auto"/>
        <w:rPr>
          <w:rFonts w:ascii="宋体" w:hAnsi="宋体"/>
          <w:b w:val="0"/>
          <w:snapToGrid w:val="0"/>
        </w:rPr>
      </w:pPr>
      <w:bookmarkStart w:id="205" w:name="_Toc13895"/>
      <w:bookmarkStart w:id="206" w:name="_Toc224103335"/>
      <w:bookmarkStart w:id="207" w:name="_Toc287620703"/>
      <w:bookmarkStart w:id="208" w:name="_Toc509218728"/>
      <w:bookmarkStart w:id="209" w:name="_Toc287607764"/>
      <w:bookmarkStart w:id="210" w:name="_Toc277082570"/>
      <w:bookmarkStart w:id="211" w:name="_Toc200513144"/>
      <w:bookmarkStart w:id="212" w:name="_Toc430530453"/>
      <w:r>
        <w:rPr>
          <w:rFonts w:ascii="宋体" w:hAnsi="宋体"/>
          <w:b w:val="0"/>
          <w:snapToGrid w:val="0"/>
        </w:rPr>
        <w:t>3.  投标文件</w:t>
      </w:r>
      <w:bookmarkEnd w:id="205"/>
      <w:bookmarkEnd w:id="206"/>
      <w:bookmarkEnd w:id="207"/>
      <w:bookmarkEnd w:id="208"/>
      <w:bookmarkEnd w:id="209"/>
      <w:bookmarkEnd w:id="210"/>
      <w:bookmarkEnd w:id="211"/>
      <w:bookmarkEnd w:id="212"/>
    </w:p>
    <w:p w14:paraId="3E743046">
      <w:pPr>
        <w:pStyle w:val="5"/>
        <w:snapToGrid w:val="0"/>
        <w:spacing w:before="0" w:after="0" w:line="360" w:lineRule="auto"/>
        <w:rPr>
          <w:rFonts w:ascii="宋体" w:hAnsi="宋体"/>
          <w:b w:val="0"/>
          <w:snapToGrid w:val="0"/>
          <w:sz w:val="24"/>
          <w:szCs w:val="24"/>
        </w:rPr>
      </w:pPr>
      <w:bookmarkStart w:id="213" w:name="_Toc277082571"/>
      <w:bookmarkStart w:id="214" w:name="_Toc287620704"/>
      <w:bookmarkStart w:id="215" w:name="_Toc224103336"/>
      <w:bookmarkStart w:id="216" w:name="_Toc25335"/>
      <w:bookmarkStart w:id="217" w:name="_Toc430530454"/>
      <w:bookmarkStart w:id="218" w:name="_Toc509218729"/>
      <w:bookmarkStart w:id="219" w:name="_Toc287607765"/>
      <w:bookmarkStart w:id="220" w:name="_Toc200513145"/>
      <w:r>
        <w:rPr>
          <w:rFonts w:ascii="宋体" w:hAnsi="宋体"/>
          <w:b w:val="0"/>
          <w:snapToGrid w:val="0"/>
          <w:sz w:val="24"/>
          <w:szCs w:val="24"/>
        </w:rPr>
        <w:t>3.1  投标文件的组成</w:t>
      </w:r>
      <w:bookmarkEnd w:id="213"/>
      <w:bookmarkEnd w:id="214"/>
      <w:bookmarkEnd w:id="215"/>
      <w:bookmarkEnd w:id="216"/>
      <w:bookmarkEnd w:id="217"/>
      <w:bookmarkEnd w:id="218"/>
      <w:bookmarkEnd w:id="219"/>
      <w:bookmarkEnd w:id="220"/>
    </w:p>
    <w:p w14:paraId="218A2B4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3.1.1 投标文件应包括下列内容：</w:t>
      </w:r>
    </w:p>
    <w:p w14:paraId="6A83B429">
      <w:pPr>
        <w:spacing w:line="360" w:lineRule="auto"/>
        <w:ind w:firstLine="420" w:firstLineChars="200"/>
        <w:rPr>
          <w:rFonts w:ascii="宋体" w:hAnsi="宋体"/>
        </w:rPr>
      </w:pPr>
      <w:r>
        <w:rPr>
          <w:rFonts w:hint="eastAsia" w:ascii="宋体" w:hAnsi="宋体"/>
        </w:rPr>
        <w:t>3.1.1.1投标函部分</w:t>
      </w:r>
    </w:p>
    <w:p w14:paraId="337045FC">
      <w:pPr>
        <w:spacing w:line="360" w:lineRule="auto"/>
        <w:ind w:firstLine="420" w:firstLineChars="200"/>
        <w:rPr>
          <w:rFonts w:ascii="宋体" w:hAnsi="宋体"/>
        </w:rPr>
      </w:pPr>
      <w:r>
        <w:rPr>
          <w:rFonts w:hint="eastAsia" w:ascii="宋体" w:hAnsi="宋体"/>
        </w:rPr>
        <w:t>（1）投标函</w:t>
      </w:r>
    </w:p>
    <w:p w14:paraId="10B45065">
      <w:pPr>
        <w:spacing w:line="360" w:lineRule="auto"/>
        <w:ind w:firstLine="420" w:firstLineChars="200"/>
        <w:rPr>
          <w:rFonts w:ascii="宋体" w:hAnsi="宋体"/>
        </w:rPr>
      </w:pPr>
      <w:r>
        <w:rPr>
          <w:rFonts w:hint="eastAsia" w:ascii="宋体" w:hAnsi="宋体"/>
        </w:rPr>
        <w:t>（2）投标函附录</w:t>
      </w:r>
    </w:p>
    <w:p w14:paraId="6B70211F">
      <w:pPr>
        <w:spacing w:line="360" w:lineRule="auto"/>
        <w:ind w:firstLine="420" w:firstLineChars="200"/>
        <w:rPr>
          <w:rFonts w:ascii="宋体" w:hAnsi="宋体"/>
        </w:rPr>
      </w:pPr>
      <w:r>
        <w:rPr>
          <w:rFonts w:hint="eastAsia" w:ascii="宋体" w:hAnsi="宋体"/>
        </w:rPr>
        <w:t>（3）法定代表人身份证明或附有法定代表人身份证明的授权委托书</w:t>
      </w:r>
    </w:p>
    <w:p w14:paraId="00DB850E">
      <w:pPr>
        <w:spacing w:line="360" w:lineRule="auto"/>
        <w:ind w:firstLine="420" w:firstLineChars="200"/>
        <w:rPr>
          <w:rFonts w:ascii="宋体" w:hAnsi="宋体"/>
        </w:rPr>
      </w:pPr>
      <w:r>
        <w:rPr>
          <w:rFonts w:hint="eastAsia" w:ascii="宋体" w:hAnsi="宋体"/>
        </w:rPr>
        <w:t>（4）低价风险担保缴纳承诺书（如有）</w:t>
      </w:r>
    </w:p>
    <w:p w14:paraId="7C16A1C8">
      <w:pPr>
        <w:spacing w:line="360" w:lineRule="auto"/>
        <w:ind w:firstLine="420" w:firstLineChars="200"/>
        <w:rPr>
          <w:rFonts w:ascii="宋体" w:hAnsi="宋体"/>
        </w:rPr>
      </w:pPr>
      <w:r>
        <w:rPr>
          <w:rFonts w:hint="eastAsia" w:ascii="宋体" w:hAnsi="宋体"/>
        </w:rPr>
        <w:t>（5）联合体协议书（如有）</w:t>
      </w:r>
    </w:p>
    <w:p w14:paraId="3C762F46">
      <w:pPr>
        <w:spacing w:line="360" w:lineRule="auto"/>
        <w:ind w:firstLine="420" w:firstLineChars="200"/>
        <w:rPr>
          <w:rFonts w:ascii="宋体" w:hAnsi="宋体"/>
        </w:rPr>
      </w:pPr>
      <w:r>
        <w:rPr>
          <w:rFonts w:hint="eastAsia" w:ascii="宋体" w:hAnsi="宋体"/>
        </w:rPr>
        <w:t>3.1.1.2经济部分</w:t>
      </w:r>
    </w:p>
    <w:p w14:paraId="3552C153">
      <w:pPr>
        <w:spacing w:line="360" w:lineRule="auto"/>
        <w:ind w:firstLine="420" w:firstLineChars="200"/>
        <w:rPr>
          <w:rFonts w:ascii="宋体" w:hAnsi="宋体"/>
        </w:rPr>
      </w:pPr>
      <w:r>
        <w:rPr>
          <w:rFonts w:hint="eastAsia" w:ascii="宋体" w:hAnsi="宋体"/>
        </w:rPr>
        <w:t>（1）已标价工程量清单</w:t>
      </w:r>
    </w:p>
    <w:p w14:paraId="565E81DB">
      <w:pPr>
        <w:spacing w:line="360" w:lineRule="auto"/>
        <w:ind w:firstLine="420" w:firstLineChars="200"/>
        <w:rPr>
          <w:rFonts w:ascii="宋体" w:hAnsi="宋体"/>
        </w:rPr>
      </w:pPr>
      <w:r>
        <w:rPr>
          <w:rFonts w:hint="eastAsia" w:ascii="宋体" w:hAnsi="宋体"/>
        </w:rPr>
        <w:t>3.1.1.3技术部分（不设置技术方案评审的不设此部分）</w:t>
      </w:r>
    </w:p>
    <w:p w14:paraId="586C6F97">
      <w:pPr>
        <w:spacing w:line="360" w:lineRule="auto"/>
        <w:ind w:firstLine="420" w:firstLineChars="200"/>
        <w:rPr>
          <w:rFonts w:ascii="宋体" w:hAnsi="宋体"/>
        </w:rPr>
      </w:pPr>
      <w:r>
        <w:rPr>
          <w:rFonts w:hint="eastAsia" w:ascii="宋体" w:hAnsi="宋体"/>
        </w:rPr>
        <w:t>3.1.1.4资格审查部分</w:t>
      </w:r>
    </w:p>
    <w:p w14:paraId="76771E91">
      <w:pPr>
        <w:spacing w:line="360" w:lineRule="auto"/>
        <w:ind w:firstLine="420" w:firstLineChars="200"/>
        <w:rPr>
          <w:rFonts w:ascii="宋体" w:hAnsi="宋体"/>
        </w:rPr>
      </w:pPr>
      <w:r>
        <w:rPr>
          <w:rFonts w:hint="eastAsia" w:ascii="宋体" w:hAnsi="宋体"/>
        </w:rPr>
        <w:t>（1）法定代表人身份证明或附有法定代表人身份证明的授权委托书</w:t>
      </w:r>
    </w:p>
    <w:p w14:paraId="41C76BDB">
      <w:pPr>
        <w:spacing w:line="360" w:lineRule="auto"/>
        <w:ind w:firstLine="420" w:firstLineChars="200"/>
        <w:rPr>
          <w:rFonts w:ascii="宋体" w:hAnsi="宋体"/>
        </w:rPr>
      </w:pPr>
      <w:r>
        <w:rPr>
          <w:rFonts w:hint="eastAsia" w:ascii="宋体" w:hAnsi="宋体"/>
        </w:rPr>
        <w:t>（2）联合体协议书（如有）</w:t>
      </w:r>
    </w:p>
    <w:p w14:paraId="48A73D78">
      <w:pPr>
        <w:spacing w:line="360" w:lineRule="auto"/>
        <w:ind w:firstLine="420" w:firstLineChars="200"/>
        <w:rPr>
          <w:rFonts w:ascii="宋体" w:hAnsi="宋体"/>
        </w:rPr>
      </w:pPr>
      <w:r>
        <w:rPr>
          <w:rFonts w:hint="eastAsia" w:ascii="宋体" w:hAnsi="宋体"/>
        </w:rPr>
        <w:t>（3）投标人基本情况表</w:t>
      </w:r>
    </w:p>
    <w:p w14:paraId="0067D98C">
      <w:pPr>
        <w:spacing w:line="360" w:lineRule="auto"/>
        <w:ind w:firstLine="420" w:firstLineChars="200"/>
        <w:rPr>
          <w:rFonts w:ascii="宋体" w:hAnsi="宋体"/>
        </w:rPr>
      </w:pPr>
      <w:r>
        <w:rPr>
          <w:rFonts w:hint="eastAsia" w:ascii="宋体" w:hAnsi="宋体"/>
        </w:rPr>
        <w:t>（4）项目管理机构</w:t>
      </w:r>
    </w:p>
    <w:p w14:paraId="0924E325">
      <w:pPr>
        <w:spacing w:line="360" w:lineRule="auto"/>
        <w:ind w:firstLine="420" w:firstLineChars="200"/>
        <w:rPr>
          <w:rFonts w:ascii="宋体" w:hAnsi="宋体"/>
        </w:rPr>
      </w:pPr>
      <w:r>
        <w:rPr>
          <w:rFonts w:hint="eastAsia" w:ascii="宋体" w:hAnsi="宋体"/>
        </w:rPr>
        <w:t>（5）近年财务状况表</w:t>
      </w:r>
    </w:p>
    <w:p w14:paraId="0848FDE8">
      <w:pPr>
        <w:spacing w:line="360" w:lineRule="auto"/>
        <w:ind w:firstLine="420" w:firstLineChars="200"/>
        <w:rPr>
          <w:rFonts w:ascii="宋体" w:hAnsi="宋体"/>
        </w:rPr>
      </w:pPr>
      <w:r>
        <w:rPr>
          <w:rFonts w:hint="eastAsia" w:ascii="宋体" w:hAnsi="宋体"/>
        </w:rPr>
        <w:t>（6）类似项目情况表</w:t>
      </w:r>
    </w:p>
    <w:p w14:paraId="69E728D8">
      <w:pPr>
        <w:spacing w:line="360" w:lineRule="auto"/>
        <w:ind w:firstLine="420" w:firstLineChars="200"/>
        <w:rPr>
          <w:rFonts w:ascii="宋体" w:hAnsi="宋体"/>
        </w:rPr>
      </w:pPr>
      <w:r>
        <w:rPr>
          <w:rFonts w:hint="eastAsia" w:ascii="宋体" w:hAnsi="宋体"/>
        </w:rPr>
        <w:t>（7）承诺</w:t>
      </w:r>
    </w:p>
    <w:p w14:paraId="58076CD3">
      <w:pPr>
        <w:spacing w:line="360" w:lineRule="auto"/>
        <w:ind w:firstLine="420" w:firstLineChars="200"/>
        <w:rPr>
          <w:rFonts w:ascii="宋体" w:hAnsi="宋体"/>
        </w:rPr>
      </w:pPr>
      <w:r>
        <w:rPr>
          <w:rFonts w:hint="eastAsia" w:ascii="宋体" w:hAnsi="宋体"/>
        </w:rPr>
        <w:t>（8）其他资料</w:t>
      </w:r>
    </w:p>
    <w:p w14:paraId="70C37358">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3.1.2  投标人须知前附表规定不接受联合体投标的，或投标人没有组成联合体的，投标文件不包括联合体协议书。</w:t>
      </w:r>
    </w:p>
    <w:p w14:paraId="0D476164">
      <w:pPr>
        <w:pStyle w:val="5"/>
        <w:snapToGrid w:val="0"/>
        <w:spacing w:before="0" w:after="0" w:line="360" w:lineRule="auto"/>
        <w:rPr>
          <w:rFonts w:ascii="宋体" w:hAnsi="宋体"/>
          <w:b w:val="0"/>
          <w:snapToGrid w:val="0"/>
          <w:sz w:val="24"/>
          <w:szCs w:val="24"/>
        </w:rPr>
      </w:pPr>
      <w:bookmarkStart w:id="221" w:name="_Toc287607766"/>
      <w:bookmarkStart w:id="222" w:name="_Toc430530455"/>
      <w:bookmarkStart w:id="223" w:name="_Toc200513146"/>
      <w:bookmarkStart w:id="224" w:name="_Toc6572"/>
      <w:bookmarkStart w:id="225" w:name="_Toc224103337"/>
      <w:bookmarkStart w:id="226" w:name="_Toc277082572"/>
      <w:bookmarkStart w:id="227" w:name="_Toc509218730"/>
      <w:bookmarkStart w:id="228" w:name="_Toc287620705"/>
      <w:r>
        <w:rPr>
          <w:rFonts w:ascii="宋体" w:hAnsi="宋体"/>
          <w:b w:val="0"/>
          <w:snapToGrid w:val="0"/>
          <w:sz w:val="24"/>
          <w:szCs w:val="24"/>
        </w:rPr>
        <w:t>3.2  投标报价</w:t>
      </w:r>
      <w:bookmarkEnd w:id="221"/>
      <w:bookmarkEnd w:id="222"/>
      <w:bookmarkEnd w:id="223"/>
      <w:bookmarkEnd w:id="224"/>
      <w:bookmarkEnd w:id="225"/>
      <w:bookmarkEnd w:id="226"/>
      <w:bookmarkEnd w:id="227"/>
      <w:bookmarkEnd w:id="228"/>
    </w:p>
    <w:p w14:paraId="50A1E57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3.2.1  投标人应按第五章“工程量清单”的要求填写相应表格。</w:t>
      </w:r>
    </w:p>
    <w:p w14:paraId="6010F9F5">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3.2.2</w:t>
      </w:r>
      <w:r>
        <w:rPr>
          <w:rFonts w:hint="eastAsia" w:ascii="宋体" w:hAnsi="宋体"/>
          <w:snapToGrid w:val="0"/>
          <w:kern w:val="0"/>
          <w:szCs w:val="21"/>
        </w:rPr>
        <w:t xml:space="preserve">  </w:t>
      </w:r>
      <w:r>
        <w:rPr>
          <w:rFonts w:ascii="宋体" w:hAnsi="宋体"/>
          <w:snapToGrid w:val="0"/>
          <w:kern w:val="0"/>
          <w:szCs w:val="21"/>
        </w:rPr>
        <w:t>投标人在投标截止时间前修改投标函中的投标总报价，应同时修改第五章“工程量清单”中的相应报价。此修改须符合本章第 4.3 款的有关要求。</w:t>
      </w:r>
    </w:p>
    <w:p w14:paraId="7E4DF5F4">
      <w:pPr>
        <w:pStyle w:val="5"/>
        <w:snapToGrid w:val="0"/>
        <w:spacing w:before="0" w:after="0" w:line="360" w:lineRule="auto"/>
        <w:rPr>
          <w:rFonts w:ascii="宋体" w:hAnsi="宋体"/>
          <w:b w:val="0"/>
          <w:snapToGrid w:val="0"/>
          <w:sz w:val="24"/>
          <w:szCs w:val="24"/>
        </w:rPr>
      </w:pPr>
      <w:bookmarkStart w:id="229" w:name="_Toc224103338"/>
      <w:bookmarkStart w:id="230" w:name="_Toc430530456"/>
      <w:bookmarkStart w:id="231" w:name="_Toc5556"/>
      <w:bookmarkStart w:id="232" w:name="_Toc509218731"/>
      <w:bookmarkStart w:id="233" w:name="_Toc287620706"/>
      <w:bookmarkStart w:id="234" w:name="_Toc277082573"/>
      <w:bookmarkStart w:id="235" w:name="_Toc287607767"/>
      <w:bookmarkStart w:id="236" w:name="_Toc200513147"/>
      <w:r>
        <w:rPr>
          <w:rFonts w:ascii="宋体" w:hAnsi="宋体"/>
          <w:b w:val="0"/>
          <w:snapToGrid w:val="0"/>
          <w:sz w:val="24"/>
          <w:szCs w:val="24"/>
        </w:rPr>
        <w:t>3.3  投标有效期</w:t>
      </w:r>
      <w:bookmarkEnd w:id="229"/>
      <w:bookmarkEnd w:id="230"/>
      <w:bookmarkEnd w:id="231"/>
      <w:bookmarkEnd w:id="232"/>
      <w:bookmarkEnd w:id="233"/>
      <w:bookmarkEnd w:id="234"/>
      <w:bookmarkEnd w:id="235"/>
      <w:bookmarkEnd w:id="236"/>
    </w:p>
    <w:p w14:paraId="388553C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3.3.1  在投标人须知前附表规定的投标有效期内，投标人不得要求撤销或修改其投标文件。</w:t>
      </w:r>
    </w:p>
    <w:p w14:paraId="2BA45A4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3.3.2  出现特殊情况需要延长投标有效期的，</w:t>
      </w:r>
      <w:r>
        <w:rPr>
          <w:rFonts w:hint="eastAsia" w:ascii="宋体" w:hAnsi="宋体"/>
          <w:snapToGrid w:val="0"/>
          <w:kern w:val="0"/>
          <w:szCs w:val="21"/>
        </w:rPr>
        <w:t>采购</w:t>
      </w:r>
      <w:r>
        <w:rPr>
          <w:rFonts w:ascii="宋体" w:hAnsi="宋体"/>
          <w:snapToGrid w:val="0"/>
          <w:kern w:val="0"/>
          <w:szCs w:val="21"/>
        </w:rPr>
        <w:t>人以书面形式通知所有投标人延长投标有效期。投标人同意延长的，应相应延长其投标保函的有效期，但不得要求或被允许修改或撤销其投标文件；投标人拒绝延长的，其投标失效，但投标人有权收回其投标保函。</w:t>
      </w:r>
      <w:r>
        <w:rPr>
          <w:rFonts w:hint="eastAsia" w:ascii="宋体" w:hAnsi="宋体"/>
          <w:snapToGrid w:val="0"/>
          <w:kern w:val="0"/>
          <w:szCs w:val="21"/>
        </w:rPr>
        <w:t>（适用于投标保证金采用投标保函形式的）</w:t>
      </w:r>
    </w:p>
    <w:p w14:paraId="20B7D340">
      <w:pPr>
        <w:autoSpaceDE w:val="0"/>
        <w:autoSpaceDN w:val="0"/>
        <w:adjustRightInd w:val="0"/>
        <w:snapToGrid w:val="0"/>
        <w:spacing w:line="360" w:lineRule="auto"/>
        <w:ind w:firstLine="420" w:firstLineChars="200"/>
        <w:rPr>
          <w:rFonts w:ascii="宋体" w:hAnsi="宋体" w:cs="MingLiU"/>
          <w:snapToGrid w:val="0"/>
          <w:kern w:val="0"/>
          <w:szCs w:val="21"/>
        </w:rPr>
      </w:pPr>
      <w:r>
        <w:rPr>
          <w:rFonts w:hint="eastAsia" w:ascii="宋体" w:hAnsi="宋体" w:cs="MingLiU"/>
          <w:snapToGrid w:val="0"/>
          <w:kern w:val="0"/>
          <w:szCs w:val="21"/>
        </w:rPr>
        <w:t>出现特殊情况需要延长投标有效期的，采购人以书面形式通知所有投标人延长投标有效期。投标人同意延长的，应相应延长其投标保证金的有效期，但不得要求或被允许修改或撤销其投标文件；投标人拒绝延长的，其投标失效，但投标人有权收回其投标保证金。（适用于投标保证金采用银行转账形式的）</w:t>
      </w:r>
    </w:p>
    <w:p w14:paraId="5114F5E3">
      <w:pPr>
        <w:pStyle w:val="5"/>
        <w:keepNext w:val="0"/>
        <w:keepLines w:val="0"/>
        <w:snapToGrid w:val="0"/>
        <w:spacing w:before="0" w:after="0" w:line="360" w:lineRule="auto"/>
        <w:rPr>
          <w:rFonts w:ascii="宋体" w:hAnsi="宋体"/>
          <w:b w:val="0"/>
          <w:snapToGrid w:val="0"/>
          <w:sz w:val="24"/>
          <w:szCs w:val="24"/>
        </w:rPr>
      </w:pPr>
      <w:bookmarkStart w:id="237" w:name="_Toc509218734"/>
      <w:bookmarkStart w:id="238" w:name="_Toc287620709"/>
      <w:bookmarkStart w:id="239" w:name="_Toc224103341"/>
      <w:bookmarkStart w:id="240" w:name="_Toc18052"/>
      <w:bookmarkStart w:id="241" w:name="_Toc430530459"/>
      <w:bookmarkStart w:id="242" w:name="_Toc200513150"/>
      <w:bookmarkStart w:id="243" w:name="_Toc287607770"/>
      <w:bookmarkStart w:id="244" w:name="_Toc277082576"/>
      <w:r>
        <w:rPr>
          <w:rFonts w:ascii="宋体" w:hAnsi="宋体"/>
          <w:b w:val="0"/>
          <w:snapToGrid w:val="0"/>
          <w:sz w:val="24"/>
          <w:szCs w:val="24"/>
        </w:rPr>
        <w:t>3.4  资格审查资料</w:t>
      </w:r>
      <w:bookmarkEnd w:id="237"/>
      <w:bookmarkEnd w:id="238"/>
      <w:bookmarkEnd w:id="239"/>
      <w:bookmarkEnd w:id="240"/>
      <w:bookmarkEnd w:id="241"/>
      <w:bookmarkEnd w:id="242"/>
      <w:bookmarkEnd w:id="243"/>
      <w:bookmarkEnd w:id="244"/>
    </w:p>
    <w:p w14:paraId="3A7CB18D">
      <w:pPr>
        <w:autoSpaceDE w:val="0"/>
        <w:autoSpaceDN w:val="0"/>
        <w:adjustRightInd w:val="0"/>
        <w:snapToGrid w:val="0"/>
        <w:spacing w:line="360" w:lineRule="auto"/>
        <w:ind w:left="103" w:leftChars="49" w:right="37" w:firstLine="420" w:firstLineChars="200"/>
        <w:rPr>
          <w:rFonts w:ascii="宋体" w:hAnsi="宋体"/>
          <w:szCs w:val="21"/>
        </w:rPr>
      </w:pPr>
      <w:r>
        <w:rPr>
          <w:rFonts w:ascii="宋体" w:hAnsi="宋体"/>
          <w:szCs w:val="21"/>
        </w:rPr>
        <w:t>投标人</w:t>
      </w:r>
      <w:r>
        <w:rPr>
          <w:rFonts w:hint="eastAsia" w:ascii="宋体" w:hAnsi="宋体"/>
          <w:szCs w:val="21"/>
        </w:rPr>
        <w:t>应附</w:t>
      </w:r>
      <w:r>
        <w:rPr>
          <w:rFonts w:hint="eastAsia" w:ascii="宋体" w:hAnsi="宋体"/>
          <w:kern w:val="0"/>
          <w:szCs w:val="21"/>
        </w:rPr>
        <w:t>投标人须知前附表第1</w:t>
      </w:r>
      <w:r>
        <w:rPr>
          <w:rFonts w:ascii="宋体" w:hAnsi="宋体"/>
          <w:kern w:val="0"/>
          <w:szCs w:val="21"/>
        </w:rPr>
        <w:t>.4.1项</w:t>
      </w:r>
      <w:r>
        <w:rPr>
          <w:rFonts w:hint="eastAsia" w:ascii="宋体" w:hAnsi="宋体"/>
          <w:kern w:val="0"/>
          <w:szCs w:val="21"/>
        </w:rPr>
        <w:t>中要求的相关证明材料</w:t>
      </w:r>
      <w:r>
        <w:rPr>
          <w:rFonts w:ascii="宋体" w:hAnsi="宋体"/>
          <w:szCs w:val="21"/>
        </w:rPr>
        <w:t>。</w:t>
      </w:r>
    </w:p>
    <w:p w14:paraId="4E8A788C">
      <w:pPr>
        <w:autoSpaceDE w:val="0"/>
        <w:autoSpaceDN w:val="0"/>
        <w:adjustRightInd w:val="0"/>
        <w:snapToGrid w:val="0"/>
        <w:spacing w:line="360" w:lineRule="auto"/>
        <w:ind w:left="103" w:leftChars="49" w:right="37" w:firstLine="420" w:firstLineChars="200"/>
        <w:rPr>
          <w:rFonts w:ascii="宋体" w:hAnsi="宋体"/>
          <w:snapToGrid w:val="0"/>
          <w:kern w:val="0"/>
          <w:szCs w:val="21"/>
        </w:rPr>
      </w:pPr>
      <w:r>
        <w:rPr>
          <w:rFonts w:hint="eastAsia" w:ascii="宋体" w:hAnsi="宋体"/>
          <w:snapToGrid w:val="0"/>
          <w:kern w:val="0"/>
          <w:szCs w:val="21"/>
        </w:rPr>
        <w:t>投标人须知前附表规定接受联合体投标的，详见投标人须知前附表联合体投标相关内容。</w:t>
      </w:r>
    </w:p>
    <w:p w14:paraId="750811B6">
      <w:pPr>
        <w:pStyle w:val="5"/>
        <w:snapToGrid w:val="0"/>
        <w:spacing w:before="0" w:after="0" w:line="360" w:lineRule="auto"/>
        <w:rPr>
          <w:rFonts w:ascii="宋体" w:hAnsi="宋体"/>
          <w:b w:val="0"/>
          <w:snapToGrid w:val="0"/>
          <w:sz w:val="24"/>
          <w:szCs w:val="24"/>
        </w:rPr>
      </w:pPr>
      <w:bookmarkStart w:id="245" w:name="_Toc26108"/>
      <w:bookmarkStart w:id="246" w:name="_Toc200513152"/>
      <w:bookmarkStart w:id="247" w:name="_Toc287607772"/>
      <w:bookmarkStart w:id="248" w:name="_Toc430530461"/>
      <w:bookmarkStart w:id="249" w:name="_Toc277082578"/>
      <w:bookmarkStart w:id="250" w:name="_Toc224103343"/>
      <w:bookmarkStart w:id="251" w:name="_Toc287620711"/>
      <w:bookmarkStart w:id="252" w:name="_Toc509218736"/>
      <w:r>
        <w:rPr>
          <w:rFonts w:ascii="宋体" w:hAnsi="宋体"/>
          <w:b w:val="0"/>
          <w:snapToGrid w:val="0"/>
          <w:sz w:val="24"/>
          <w:szCs w:val="24"/>
        </w:rPr>
        <w:t>3.5  投标文件的编制</w:t>
      </w:r>
      <w:bookmarkEnd w:id="245"/>
      <w:bookmarkEnd w:id="246"/>
      <w:bookmarkEnd w:id="247"/>
      <w:bookmarkEnd w:id="248"/>
      <w:bookmarkEnd w:id="249"/>
      <w:bookmarkEnd w:id="250"/>
      <w:bookmarkEnd w:id="251"/>
      <w:bookmarkEnd w:id="252"/>
    </w:p>
    <w:p w14:paraId="7527A919">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3.5.1  投标文件应按第八章“投标文件格式”进行编写，如有必要，可以增加附页，作为投标文件的组成部分。其中，投标函附录在满足</w:t>
      </w:r>
      <w:r>
        <w:rPr>
          <w:rFonts w:hint="eastAsia" w:ascii="宋体" w:hAnsi="宋体"/>
          <w:snapToGrid w:val="0"/>
          <w:kern w:val="0"/>
          <w:szCs w:val="21"/>
        </w:rPr>
        <w:t>采购</w:t>
      </w:r>
      <w:r>
        <w:rPr>
          <w:rFonts w:ascii="宋体" w:hAnsi="宋体"/>
          <w:snapToGrid w:val="0"/>
          <w:kern w:val="0"/>
          <w:szCs w:val="21"/>
        </w:rPr>
        <w:t>文件实质性要求的基础上，可以提出比</w:t>
      </w:r>
      <w:r>
        <w:rPr>
          <w:rFonts w:hint="eastAsia" w:ascii="宋体" w:hAnsi="宋体"/>
          <w:snapToGrid w:val="0"/>
          <w:kern w:val="0"/>
          <w:szCs w:val="21"/>
        </w:rPr>
        <w:t>采购</w:t>
      </w:r>
      <w:r>
        <w:rPr>
          <w:rFonts w:ascii="宋体" w:hAnsi="宋体"/>
          <w:snapToGrid w:val="0"/>
          <w:kern w:val="0"/>
          <w:szCs w:val="21"/>
        </w:rPr>
        <w:t>文件要求更有利于</w:t>
      </w:r>
      <w:r>
        <w:rPr>
          <w:rFonts w:hint="eastAsia" w:ascii="宋体" w:hAnsi="宋体"/>
          <w:snapToGrid w:val="0"/>
          <w:kern w:val="0"/>
          <w:szCs w:val="21"/>
        </w:rPr>
        <w:t>采购</w:t>
      </w:r>
      <w:r>
        <w:rPr>
          <w:rFonts w:ascii="宋体" w:hAnsi="宋体"/>
          <w:snapToGrid w:val="0"/>
          <w:kern w:val="0"/>
          <w:szCs w:val="21"/>
        </w:rPr>
        <w:t>人的承诺。</w:t>
      </w:r>
    </w:p>
    <w:p w14:paraId="7B912C8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3.5.2  投标文件应当对</w:t>
      </w:r>
      <w:r>
        <w:rPr>
          <w:rFonts w:hint="eastAsia" w:ascii="宋体" w:hAnsi="宋体"/>
          <w:snapToGrid w:val="0"/>
          <w:kern w:val="0"/>
          <w:szCs w:val="21"/>
        </w:rPr>
        <w:t>采购</w:t>
      </w:r>
      <w:r>
        <w:rPr>
          <w:rFonts w:ascii="宋体" w:hAnsi="宋体"/>
          <w:snapToGrid w:val="0"/>
          <w:kern w:val="0"/>
          <w:szCs w:val="21"/>
        </w:rPr>
        <w:t>文件有关工期、投标有效期、质量要求、技术标准和要求、</w:t>
      </w:r>
      <w:r>
        <w:rPr>
          <w:rFonts w:hint="eastAsia" w:ascii="宋体" w:hAnsi="宋体"/>
          <w:snapToGrid w:val="0"/>
          <w:kern w:val="0"/>
          <w:szCs w:val="21"/>
        </w:rPr>
        <w:t>采购</w:t>
      </w:r>
      <w:r>
        <w:rPr>
          <w:rFonts w:ascii="宋体" w:hAnsi="宋体"/>
          <w:snapToGrid w:val="0"/>
          <w:kern w:val="0"/>
          <w:szCs w:val="21"/>
        </w:rPr>
        <w:t>范围等实质性内容做出响应。</w:t>
      </w:r>
    </w:p>
    <w:p w14:paraId="51D11D3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position w:val="-2"/>
          <w:szCs w:val="21"/>
        </w:rPr>
        <w:t xml:space="preserve">3.5.3  </w:t>
      </w:r>
      <w:r>
        <w:rPr>
          <w:rFonts w:hint="eastAsia" w:ascii="宋体" w:hAnsi="宋体"/>
          <w:snapToGrid w:val="0"/>
          <w:kern w:val="0"/>
          <w:position w:val="-2"/>
          <w:szCs w:val="21"/>
        </w:rPr>
        <w:t>投标文件的签字盖章要求：按本章投标人须知前附表第3.7.3项执行。</w:t>
      </w:r>
    </w:p>
    <w:p w14:paraId="272B9789">
      <w:pPr>
        <w:autoSpaceDE w:val="0"/>
        <w:autoSpaceDN w:val="0"/>
        <w:adjustRightInd w:val="0"/>
        <w:snapToGrid w:val="0"/>
        <w:spacing w:line="360" w:lineRule="auto"/>
        <w:ind w:right="-109" w:firstLine="420" w:firstLineChars="200"/>
        <w:rPr>
          <w:rFonts w:ascii="宋体" w:hAnsi="宋体"/>
          <w:snapToGrid w:val="0"/>
          <w:kern w:val="0"/>
          <w:szCs w:val="21"/>
        </w:rPr>
      </w:pPr>
      <w:r>
        <w:rPr>
          <w:rFonts w:ascii="宋体" w:hAnsi="宋体"/>
          <w:snapToGrid w:val="0"/>
          <w:kern w:val="0"/>
          <w:szCs w:val="21"/>
        </w:rPr>
        <w:t>3.5.4  投标文件</w:t>
      </w:r>
      <w:r>
        <w:rPr>
          <w:rFonts w:hint="eastAsia" w:ascii="宋体" w:hAnsi="宋体"/>
          <w:snapToGrid w:val="0"/>
          <w:kern w:val="0"/>
          <w:szCs w:val="21"/>
        </w:rPr>
        <w:t>应按规定格式排版</w:t>
      </w:r>
      <w:r>
        <w:rPr>
          <w:rFonts w:ascii="宋体" w:hAnsi="宋体"/>
          <w:snapToGrid w:val="0"/>
          <w:kern w:val="0"/>
          <w:szCs w:val="21"/>
        </w:rPr>
        <w:t>，并编制目录，具体</w:t>
      </w:r>
      <w:r>
        <w:rPr>
          <w:rFonts w:hint="eastAsia" w:ascii="宋体" w:hAnsi="宋体"/>
          <w:snapToGrid w:val="0"/>
          <w:kern w:val="0"/>
          <w:szCs w:val="21"/>
        </w:rPr>
        <w:t>编制</w:t>
      </w:r>
      <w:r>
        <w:rPr>
          <w:rFonts w:ascii="宋体" w:hAnsi="宋体"/>
          <w:snapToGrid w:val="0"/>
          <w:kern w:val="0"/>
          <w:szCs w:val="21"/>
        </w:rPr>
        <w:t>要求见投标人须知前附表规定。</w:t>
      </w:r>
    </w:p>
    <w:p w14:paraId="214DA3C2">
      <w:pPr>
        <w:pStyle w:val="4"/>
        <w:keepNext w:val="0"/>
        <w:keepLines w:val="0"/>
        <w:spacing w:before="0" w:after="0" w:line="360" w:lineRule="auto"/>
        <w:rPr>
          <w:rFonts w:ascii="宋体" w:hAnsi="宋体"/>
          <w:b w:val="0"/>
          <w:snapToGrid w:val="0"/>
        </w:rPr>
      </w:pPr>
      <w:bookmarkStart w:id="253" w:name="_Toc456"/>
      <w:bookmarkStart w:id="254" w:name="_Toc287607773"/>
      <w:bookmarkStart w:id="255" w:name="_Toc200513153"/>
      <w:bookmarkStart w:id="256" w:name="_Toc287620712"/>
      <w:bookmarkStart w:id="257" w:name="_Toc430530462"/>
      <w:bookmarkStart w:id="258" w:name="_Toc224103344"/>
      <w:bookmarkStart w:id="259" w:name="_Toc277082579"/>
      <w:bookmarkStart w:id="260" w:name="_Toc509218737"/>
      <w:r>
        <w:rPr>
          <w:rFonts w:ascii="宋体" w:hAnsi="宋体"/>
          <w:b w:val="0"/>
          <w:snapToGrid w:val="0"/>
        </w:rPr>
        <w:t>4.  投标</w:t>
      </w:r>
      <w:bookmarkEnd w:id="253"/>
      <w:bookmarkEnd w:id="254"/>
      <w:bookmarkEnd w:id="255"/>
      <w:bookmarkEnd w:id="256"/>
      <w:bookmarkEnd w:id="257"/>
      <w:bookmarkEnd w:id="258"/>
      <w:bookmarkEnd w:id="259"/>
      <w:bookmarkEnd w:id="260"/>
    </w:p>
    <w:p w14:paraId="375EA5DD">
      <w:pPr>
        <w:pStyle w:val="5"/>
        <w:keepNext w:val="0"/>
        <w:keepLines w:val="0"/>
        <w:snapToGrid w:val="0"/>
        <w:spacing w:before="0" w:after="0" w:line="360" w:lineRule="auto"/>
        <w:rPr>
          <w:rFonts w:ascii="宋体" w:hAnsi="宋体"/>
          <w:b w:val="0"/>
          <w:snapToGrid w:val="0"/>
          <w:sz w:val="24"/>
          <w:szCs w:val="24"/>
        </w:rPr>
      </w:pPr>
      <w:bookmarkStart w:id="261" w:name="_Toc287620713"/>
      <w:bookmarkStart w:id="262" w:name="_Toc30188"/>
      <w:bookmarkStart w:id="263" w:name="_Toc200513154"/>
      <w:bookmarkStart w:id="264" w:name="_Toc287607774"/>
      <w:bookmarkStart w:id="265" w:name="_Toc224103345"/>
      <w:bookmarkStart w:id="266" w:name="_Toc509218738"/>
      <w:bookmarkStart w:id="267" w:name="_Toc430530463"/>
      <w:bookmarkStart w:id="268" w:name="_Toc277082580"/>
      <w:r>
        <w:rPr>
          <w:rFonts w:ascii="宋体" w:hAnsi="宋体"/>
          <w:b w:val="0"/>
          <w:snapToGrid w:val="0"/>
          <w:sz w:val="24"/>
          <w:szCs w:val="24"/>
        </w:rPr>
        <w:t>4.1  投标文件的密封和标记</w:t>
      </w:r>
      <w:bookmarkEnd w:id="261"/>
      <w:bookmarkEnd w:id="262"/>
      <w:bookmarkEnd w:id="263"/>
      <w:bookmarkEnd w:id="264"/>
      <w:bookmarkEnd w:id="265"/>
      <w:bookmarkEnd w:id="266"/>
      <w:bookmarkEnd w:id="267"/>
      <w:bookmarkEnd w:id="268"/>
    </w:p>
    <w:p w14:paraId="6FC8135D">
      <w:pPr>
        <w:autoSpaceDE w:val="0"/>
        <w:autoSpaceDN w:val="0"/>
        <w:adjustRightInd w:val="0"/>
        <w:snapToGrid w:val="0"/>
        <w:spacing w:line="360" w:lineRule="auto"/>
        <w:ind w:firstLine="420" w:firstLineChars="200"/>
        <w:rPr>
          <w:rFonts w:ascii="宋体" w:hAnsi="宋体"/>
          <w:snapToGrid w:val="0"/>
          <w:kern w:val="0"/>
          <w:szCs w:val="21"/>
        </w:rPr>
      </w:pPr>
      <w:bookmarkStart w:id="269" w:name="_Toc200513155"/>
      <w:r>
        <w:rPr>
          <w:rFonts w:ascii="宋体" w:hAnsi="宋体"/>
          <w:snapToGrid w:val="0"/>
          <w:kern w:val="0"/>
          <w:szCs w:val="21"/>
        </w:rPr>
        <w:t>4.1.1  投标文件的密封</w:t>
      </w:r>
      <w:r>
        <w:rPr>
          <w:rFonts w:hint="eastAsia" w:ascii="宋体" w:hAnsi="宋体"/>
          <w:snapToGrid w:val="0"/>
          <w:kern w:val="0"/>
          <w:szCs w:val="21"/>
        </w:rPr>
        <w:t>：</w:t>
      </w:r>
      <w:r>
        <w:rPr>
          <w:rFonts w:ascii="宋体" w:hAnsi="宋体"/>
          <w:snapToGrid w:val="0"/>
          <w:kern w:val="0"/>
          <w:szCs w:val="21"/>
        </w:rPr>
        <w:t>见投标人须知前附表。</w:t>
      </w:r>
    </w:p>
    <w:p w14:paraId="41A77517">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4.1.2  投标文件的封套上应写明的内容</w:t>
      </w:r>
      <w:r>
        <w:rPr>
          <w:rFonts w:hint="eastAsia" w:ascii="宋体" w:hAnsi="宋体"/>
          <w:snapToGrid w:val="0"/>
          <w:kern w:val="0"/>
          <w:szCs w:val="21"/>
        </w:rPr>
        <w:t>：</w:t>
      </w:r>
      <w:r>
        <w:rPr>
          <w:rFonts w:ascii="宋体" w:hAnsi="宋体"/>
          <w:snapToGrid w:val="0"/>
          <w:kern w:val="0"/>
          <w:szCs w:val="21"/>
        </w:rPr>
        <w:t>见投标人须知前附表。</w:t>
      </w:r>
    </w:p>
    <w:p w14:paraId="5ADCAC7B">
      <w:pPr>
        <w:pStyle w:val="5"/>
        <w:keepNext w:val="0"/>
        <w:keepLines w:val="0"/>
        <w:snapToGrid w:val="0"/>
        <w:spacing w:before="0" w:after="0" w:line="360" w:lineRule="auto"/>
        <w:rPr>
          <w:rFonts w:ascii="宋体" w:hAnsi="宋体"/>
          <w:b w:val="0"/>
          <w:snapToGrid w:val="0"/>
          <w:sz w:val="24"/>
          <w:szCs w:val="24"/>
        </w:rPr>
      </w:pPr>
      <w:bookmarkStart w:id="270" w:name="_Toc287620714"/>
      <w:bookmarkStart w:id="271" w:name="_Toc509218739"/>
      <w:bookmarkStart w:id="272" w:name="_Toc224103346"/>
      <w:bookmarkStart w:id="273" w:name="_Toc3927"/>
      <w:bookmarkStart w:id="274" w:name="_Toc287607775"/>
      <w:bookmarkStart w:id="275" w:name="_Toc277082581"/>
      <w:bookmarkStart w:id="276" w:name="_Toc430530464"/>
      <w:r>
        <w:rPr>
          <w:rFonts w:ascii="宋体" w:hAnsi="宋体"/>
          <w:b w:val="0"/>
          <w:snapToGrid w:val="0"/>
          <w:sz w:val="24"/>
          <w:szCs w:val="24"/>
        </w:rPr>
        <w:t>4.2  投标文件的递交</w:t>
      </w:r>
      <w:bookmarkEnd w:id="269"/>
      <w:bookmarkEnd w:id="270"/>
      <w:bookmarkEnd w:id="271"/>
      <w:bookmarkEnd w:id="272"/>
      <w:bookmarkEnd w:id="273"/>
      <w:bookmarkEnd w:id="274"/>
      <w:bookmarkEnd w:id="275"/>
      <w:bookmarkEnd w:id="276"/>
    </w:p>
    <w:p w14:paraId="6C38C532">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4.2.1  投标人应在投标人须知前附表第 2.2.2 项规定的投标截止时间前递交投标文件。</w:t>
      </w:r>
    </w:p>
    <w:p w14:paraId="03CBEAC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4.2.2  投标人递交投标文件的地点：见投标人须知前附表。</w:t>
      </w:r>
    </w:p>
    <w:p w14:paraId="6EA0C55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4.2.3  除投标人须知前附表另有规定外，投标人所递交的投标文件不予退还。</w:t>
      </w:r>
    </w:p>
    <w:p w14:paraId="2873B5CB">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4.2.4  逾期送达的或者未送达指定地点的投标文件，</w:t>
      </w:r>
      <w:r>
        <w:rPr>
          <w:rFonts w:hint="eastAsia" w:ascii="宋体" w:hAnsi="宋体"/>
          <w:snapToGrid w:val="0"/>
          <w:kern w:val="0"/>
          <w:szCs w:val="21"/>
        </w:rPr>
        <w:t>采购</w:t>
      </w:r>
      <w:r>
        <w:rPr>
          <w:rFonts w:ascii="宋体" w:hAnsi="宋体"/>
          <w:snapToGrid w:val="0"/>
          <w:kern w:val="0"/>
          <w:szCs w:val="21"/>
        </w:rPr>
        <w:t>人不予受理。</w:t>
      </w:r>
    </w:p>
    <w:p w14:paraId="2A14F3F7">
      <w:pPr>
        <w:pStyle w:val="4"/>
        <w:keepNext w:val="0"/>
        <w:keepLines w:val="0"/>
        <w:spacing w:before="0" w:after="0" w:line="360" w:lineRule="auto"/>
        <w:rPr>
          <w:rFonts w:ascii="宋体" w:hAnsi="宋体"/>
          <w:b w:val="0"/>
          <w:snapToGrid w:val="0"/>
        </w:rPr>
      </w:pPr>
      <w:bookmarkStart w:id="277" w:name="_Toc277082583"/>
      <w:bookmarkStart w:id="278" w:name="_Toc430530466"/>
      <w:bookmarkStart w:id="279" w:name="_Toc224103348"/>
      <w:bookmarkStart w:id="280" w:name="_Toc200513157"/>
      <w:bookmarkStart w:id="281" w:name="_Toc509218741"/>
      <w:bookmarkStart w:id="282" w:name="_Toc287607777"/>
      <w:bookmarkStart w:id="283" w:name="_Toc287620716"/>
      <w:bookmarkStart w:id="284" w:name="_Toc31220"/>
      <w:r>
        <w:rPr>
          <w:rFonts w:ascii="宋体" w:hAnsi="宋体"/>
          <w:b w:val="0"/>
          <w:snapToGrid w:val="0"/>
        </w:rPr>
        <w:t>5.  开标</w:t>
      </w:r>
      <w:bookmarkEnd w:id="277"/>
      <w:bookmarkEnd w:id="278"/>
      <w:bookmarkEnd w:id="279"/>
      <w:bookmarkEnd w:id="280"/>
      <w:bookmarkEnd w:id="281"/>
      <w:bookmarkEnd w:id="282"/>
      <w:bookmarkEnd w:id="283"/>
      <w:bookmarkEnd w:id="284"/>
    </w:p>
    <w:p w14:paraId="7E1A4793">
      <w:pPr>
        <w:pStyle w:val="5"/>
        <w:keepNext w:val="0"/>
        <w:keepLines w:val="0"/>
        <w:snapToGrid w:val="0"/>
        <w:spacing w:before="0" w:after="0" w:line="360" w:lineRule="auto"/>
        <w:rPr>
          <w:rFonts w:ascii="宋体" w:hAnsi="宋体"/>
          <w:b w:val="0"/>
          <w:snapToGrid w:val="0"/>
          <w:sz w:val="24"/>
          <w:szCs w:val="24"/>
        </w:rPr>
      </w:pPr>
      <w:bookmarkStart w:id="285" w:name="_Toc287607778"/>
      <w:bookmarkStart w:id="286" w:name="_Toc9150"/>
      <w:bookmarkStart w:id="287" w:name="_Toc509218742"/>
      <w:bookmarkStart w:id="288" w:name="_Toc287620717"/>
      <w:bookmarkStart w:id="289" w:name="_Toc200513158"/>
      <w:bookmarkStart w:id="290" w:name="_Toc430530467"/>
      <w:bookmarkStart w:id="291" w:name="_Toc224103349"/>
      <w:bookmarkStart w:id="292" w:name="_Toc277082584"/>
      <w:r>
        <w:rPr>
          <w:rFonts w:ascii="宋体" w:hAnsi="宋体"/>
          <w:b w:val="0"/>
          <w:snapToGrid w:val="0"/>
          <w:sz w:val="24"/>
          <w:szCs w:val="24"/>
        </w:rPr>
        <w:t>5.1  开标时间和地点</w:t>
      </w:r>
      <w:bookmarkEnd w:id="285"/>
      <w:bookmarkEnd w:id="286"/>
      <w:bookmarkEnd w:id="287"/>
      <w:bookmarkEnd w:id="288"/>
      <w:bookmarkEnd w:id="289"/>
      <w:bookmarkEnd w:id="290"/>
      <w:bookmarkEnd w:id="291"/>
      <w:bookmarkEnd w:id="292"/>
    </w:p>
    <w:p w14:paraId="4B877E71">
      <w:pPr>
        <w:autoSpaceDE w:val="0"/>
        <w:autoSpaceDN w:val="0"/>
        <w:adjustRightInd w:val="0"/>
        <w:snapToGrid w:val="0"/>
        <w:spacing w:line="360" w:lineRule="auto"/>
        <w:ind w:firstLine="420" w:firstLineChars="200"/>
        <w:rPr>
          <w:rFonts w:ascii="宋体" w:hAnsi="宋体"/>
          <w:snapToGrid w:val="0"/>
          <w:kern w:val="0"/>
          <w:szCs w:val="21"/>
        </w:rPr>
      </w:pPr>
      <w:r>
        <w:rPr>
          <w:rFonts w:hint="eastAsia" w:ascii="宋体" w:hAnsi="宋体"/>
          <w:snapToGrid w:val="0"/>
          <w:kern w:val="0"/>
          <w:szCs w:val="21"/>
        </w:rPr>
        <w:t>5.1.1  采购</w:t>
      </w:r>
      <w:r>
        <w:rPr>
          <w:rFonts w:ascii="宋体" w:hAnsi="宋体"/>
          <w:snapToGrid w:val="0"/>
          <w:kern w:val="0"/>
          <w:szCs w:val="21"/>
        </w:rPr>
        <w:t>人在投标人须知前附表第 2.2.2 项规定的投标截止时间（开标时间）和投标人须知前附表规定的地点公开开标，并邀请所有投标人的法定代表人或其委托代理人准时参加。</w:t>
      </w:r>
    </w:p>
    <w:p w14:paraId="600C5421">
      <w:pPr>
        <w:pStyle w:val="5"/>
        <w:keepNext w:val="0"/>
        <w:keepLines w:val="0"/>
        <w:snapToGrid w:val="0"/>
        <w:spacing w:before="0" w:after="0" w:line="360" w:lineRule="auto"/>
        <w:rPr>
          <w:rFonts w:ascii="宋体" w:hAnsi="宋体"/>
          <w:b w:val="0"/>
          <w:snapToGrid w:val="0"/>
          <w:sz w:val="24"/>
          <w:szCs w:val="24"/>
        </w:rPr>
      </w:pPr>
      <w:bookmarkStart w:id="293" w:name="_Toc287620718"/>
      <w:bookmarkStart w:id="294" w:name="_Toc277082585"/>
      <w:bookmarkStart w:id="295" w:name="_Toc287607779"/>
      <w:bookmarkStart w:id="296" w:name="_Toc430530468"/>
      <w:bookmarkStart w:id="297" w:name="_Toc200513159"/>
      <w:bookmarkStart w:id="298" w:name="_Toc11554"/>
      <w:bookmarkStart w:id="299" w:name="_Toc224103350"/>
      <w:bookmarkStart w:id="300" w:name="_Toc509218743"/>
      <w:r>
        <w:rPr>
          <w:rFonts w:ascii="宋体" w:hAnsi="宋体"/>
          <w:b w:val="0"/>
          <w:snapToGrid w:val="0"/>
          <w:sz w:val="24"/>
          <w:szCs w:val="24"/>
        </w:rPr>
        <w:t>5.2  开标程序</w:t>
      </w:r>
      <w:bookmarkEnd w:id="293"/>
      <w:bookmarkEnd w:id="294"/>
      <w:bookmarkEnd w:id="295"/>
      <w:bookmarkEnd w:id="296"/>
      <w:bookmarkEnd w:id="297"/>
      <w:bookmarkEnd w:id="298"/>
      <w:bookmarkEnd w:id="299"/>
      <w:bookmarkEnd w:id="300"/>
    </w:p>
    <w:p w14:paraId="6EC6E609">
      <w:pPr>
        <w:autoSpaceDE w:val="0"/>
        <w:autoSpaceDN w:val="0"/>
        <w:adjustRightInd w:val="0"/>
        <w:snapToGrid w:val="0"/>
        <w:spacing w:line="360" w:lineRule="auto"/>
        <w:ind w:firstLine="420" w:firstLineChars="200"/>
        <w:rPr>
          <w:rFonts w:ascii="宋体" w:hAnsi="宋体"/>
          <w:szCs w:val="21"/>
        </w:rPr>
      </w:pPr>
      <w:bookmarkStart w:id="301" w:name="_Toc287607780"/>
      <w:bookmarkStart w:id="302" w:name="_Toc224103351"/>
      <w:bookmarkStart w:id="303" w:name="_Toc277082586"/>
      <w:bookmarkStart w:id="304" w:name="_Toc287620719"/>
      <w:bookmarkStart w:id="305" w:name="_Toc200513160"/>
      <w:r>
        <w:rPr>
          <w:rFonts w:ascii="宋体" w:hAnsi="宋体"/>
          <w:szCs w:val="21"/>
        </w:rPr>
        <w:t>详见投标人须知前附表第5.2款开标程序。</w:t>
      </w:r>
    </w:p>
    <w:p w14:paraId="3377610B">
      <w:pPr>
        <w:pStyle w:val="5"/>
        <w:keepNext w:val="0"/>
        <w:keepLines w:val="0"/>
        <w:snapToGrid w:val="0"/>
        <w:spacing w:before="0" w:after="0" w:line="360" w:lineRule="auto"/>
        <w:rPr>
          <w:rFonts w:ascii="宋体" w:hAnsi="宋体"/>
          <w:b w:val="0"/>
          <w:snapToGrid w:val="0"/>
          <w:sz w:val="24"/>
          <w:szCs w:val="24"/>
        </w:rPr>
      </w:pPr>
      <w:bookmarkStart w:id="306" w:name="_Toc11875"/>
      <w:r>
        <w:rPr>
          <w:rFonts w:ascii="宋体" w:hAnsi="宋体"/>
          <w:b w:val="0"/>
          <w:snapToGrid w:val="0"/>
          <w:sz w:val="24"/>
          <w:szCs w:val="24"/>
        </w:rPr>
        <w:t>5.</w:t>
      </w:r>
      <w:r>
        <w:rPr>
          <w:rFonts w:hint="eastAsia" w:ascii="宋体" w:hAnsi="宋体"/>
          <w:b w:val="0"/>
          <w:snapToGrid w:val="0"/>
          <w:sz w:val="24"/>
          <w:szCs w:val="24"/>
        </w:rPr>
        <w:t>3</w:t>
      </w:r>
      <w:r>
        <w:rPr>
          <w:rFonts w:ascii="宋体" w:hAnsi="宋体"/>
          <w:b w:val="0"/>
          <w:snapToGrid w:val="0"/>
          <w:sz w:val="24"/>
          <w:szCs w:val="24"/>
        </w:rPr>
        <w:t xml:space="preserve">  </w:t>
      </w:r>
      <w:r>
        <w:rPr>
          <w:rFonts w:hint="eastAsia" w:ascii="宋体" w:hAnsi="宋体"/>
          <w:b w:val="0"/>
          <w:snapToGrid w:val="0"/>
          <w:sz w:val="24"/>
          <w:szCs w:val="24"/>
        </w:rPr>
        <w:t>开标异议</w:t>
      </w:r>
      <w:bookmarkEnd w:id="306"/>
    </w:p>
    <w:p w14:paraId="1ED6B2EB">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投标人对开标有异议的，应在开标现场或在线（不见面开标适用）提出，开标现场提出异议的，应出示法定代表人身份证明或附有法定代表人身份证明的授权委托书。采购人当场作出答复，并制作记录，有异议的投标人代表、采购人代表、主持人、记录人等有关人员在记录上签字确认</w:t>
      </w:r>
      <w:r>
        <w:rPr>
          <w:rFonts w:ascii="宋体" w:hAnsi="宋体"/>
          <w:szCs w:val="21"/>
        </w:rPr>
        <w:t>。</w:t>
      </w:r>
    </w:p>
    <w:p w14:paraId="2EEFBB62">
      <w:pPr>
        <w:pStyle w:val="4"/>
        <w:keepNext w:val="0"/>
        <w:keepLines w:val="0"/>
        <w:spacing w:before="0" w:after="0" w:line="360" w:lineRule="auto"/>
        <w:rPr>
          <w:rFonts w:ascii="宋体" w:hAnsi="宋体"/>
          <w:b w:val="0"/>
          <w:snapToGrid w:val="0"/>
        </w:rPr>
      </w:pPr>
      <w:bookmarkStart w:id="307" w:name="_Toc509218744"/>
      <w:bookmarkStart w:id="308" w:name="_Toc430530469"/>
      <w:bookmarkStart w:id="309" w:name="_Toc32069"/>
      <w:r>
        <w:rPr>
          <w:rFonts w:ascii="宋体" w:hAnsi="宋体"/>
          <w:b w:val="0"/>
          <w:snapToGrid w:val="0"/>
        </w:rPr>
        <w:t>6.  评标</w:t>
      </w:r>
      <w:bookmarkEnd w:id="301"/>
      <w:bookmarkEnd w:id="302"/>
      <w:bookmarkEnd w:id="303"/>
      <w:bookmarkEnd w:id="304"/>
      <w:bookmarkEnd w:id="305"/>
      <w:bookmarkEnd w:id="307"/>
      <w:bookmarkEnd w:id="308"/>
      <w:bookmarkEnd w:id="309"/>
    </w:p>
    <w:p w14:paraId="46E06247">
      <w:pPr>
        <w:pStyle w:val="5"/>
        <w:keepNext w:val="0"/>
        <w:keepLines w:val="0"/>
        <w:snapToGrid w:val="0"/>
        <w:spacing w:before="0" w:after="0" w:line="360" w:lineRule="auto"/>
        <w:rPr>
          <w:rFonts w:ascii="宋体" w:hAnsi="宋体"/>
          <w:b w:val="0"/>
          <w:snapToGrid w:val="0"/>
          <w:sz w:val="24"/>
          <w:szCs w:val="24"/>
        </w:rPr>
      </w:pPr>
      <w:bookmarkStart w:id="310" w:name="_Toc200513161"/>
      <w:bookmarkStart w:id="311" w:name="_Toc509218745"/>
      <w:bookmarkStart w:id="312" w:name="_Toc287607781"/>
      <w:bookmarkStart w:id="313" w:name="_Toc22494"/>
      <w:bookmarkStart w:id="314" w:name="_Toc224103352"/>
      <w:bookmarkStart w:id="315" w:name="_Toc277082587"/>
      <w:bookmarkStart w:id="316" w:name="_Toc287620720"/>
      <w:bookmarkStart w:id="317" w:name="_Toc430530470"/>
      <w:r>
        <w:rPr>
          <w:rFonts w:ascii="宋体" w:hAnsi="宋体"/>
          <w:b w:val="0"/>
          <w:snapToGrid w:val="0"/>
          <w:sz w:val="24"/>
          <w:szCs w:val="24"/>
        </w:rPr>
        <w:t>6.1  评标委员会</w:t>
      </w:r>
      <w:bookmarkEnd w:id="310"/>
      <w:bookmarkEnd w:id="311"/>
      <w:bookmarkEnd w:id="312"/>
      <w:bookmarkEnd w:id="313"/>
      <w:bookmarkEnd w:id="314"/>
      <w:bookmarkEnd w:id="315"/>
      <w:bookmarkEnd w:id="316"/>
      <w:bookmarkEnd w:id="317"/>
    </w:p>
    <w:p w14:paraId="13D73C95">
      <w:pPr>
        <w:autoSpaceDE w:val="0"/>
        <w:autoSpaceDN w:val="0"/>
        <w:adjustRightInd w:val="0"/>
        <w:snapToGrid w:val="0"/>
        <w:spacing w:line="360" w:lineRule="auto"/>
        <w:ind w:firstLine="420" w:firstLineChars="200"/>
        <w:rPr>
          <w:rFonts w:ascii="宋体" w:hAnsi="宋体"/>
          <w:b/>
          <w:snapToGrid w:val="0"/>
          <w:kern w:val="0"/>
          <w:szCs w:val="21"/>
        </w:rPr>
      </w:pPr>
      <w:r>
        <w:rPr>
          <w:rFonts w:ascii="宋体" w:hAnsi="宋体"/>
          <w:snapToGrid w:val="0"/>
          <w:kern w:val="0"/>
          <w:szCs w:val="21"/>
        </w:rPr>
        <w:t>6.1.1  评标由</w:t>
      </w:r>
      <w:r>
        <w:rPr>
          <w:rFonts w:hint="eastAsia" w:ascii="宋体" w:hAnsi="宋体"/>
          <w:snapToGrid w:val="0"/>
          <w:kern w:val="0"/>
          <w:szCs w:val="21"/>
        </w:rPr>
        <w:t>采购</w:t>
      </w:r>
      <w:r>
        <w:rPr>
          <w:rFonts w:ascii="宋体" w:hAnsi="宋体"/>
          <w:snapToGrid w:val="0"/>
          <w:kern w:val="0"/>
          <w:szCs w:val="21"/>
        </w:rPr>
        <w:t>人由</w:t>
      </w:r>
      <w:r>
        <w:rPr>
          <w:rFonts w:hint="eastAsia" w:ascii="宋体" w:hAnsi="宋体"/>
          <w:snapToGrid w:val="0"/>
          <w:kern w:val="0"/>
          <w:szCs w:val="21"/>
        </w:rPr>
        <w:t>采购</w:t>
      </w:r>
      <w:r>
        <w:rPr>
          <w:rFonts w:ascii="宋体" w:hAnsi="宋体"/>
          <w:snapToGrid w:val="0"/>
          <w:kern w:val="0"/>
          <w:szCs w:val="21"/>
        </w:rPr>
        <w:t>人自行组织评标小组。</w:t>
      </w:r>
    </w:p>
    <w:p w14:paraId="2EAF8A54">
      <w:pPr>
        <w:pStyle w:val="98"/>
        <w:spacing w:before="0" w:after="0" w:line="360" w:lineRule="auto"/>
        <w:ind w:firstLine="420" w:firstLineChars="200"/>
        <w:jc w:val="left"/>
        <w:rPr>
          <w:rFonts w:ascii="宋体" w:hAnsi="宋体" w:eastAsia="宋体" w:cs="宋体"/>
          <w:sz w:val="21"/>
          <w:szCs w:val="21"/>
          <w:lang w:eastAsia="zh-CN"/>
        </w:rPr>
      </w:pPr>
      <w:r>
        <w:rPr>
          <w:rFonts w:hint="eastAsia" w:ascii="宋体" w:hAnsi="宋体" w:eastAsia="宋体" w:cs="宋体"/>
          <w:sz w:val="21"/>
          <w:szCs w:val="21"/>
          <w:lang w:eastAsia="zh-CN"/>
        </w:rPr>
        <w:t>6.1.</w:t>
      </w:r>
      <w:r>
        <w:rPr>
          <w:rFonts w:eastAsia="宋体" w:cs="宋体" w:asciiTheme="minorHAnsi" w:hAnsiTheme="minorHAnsi"/>
          <w:sz w:val="21"/>
          <w:szCs w:val="21"/>
          <w:lang w:eastAsia="zh-CN"/>
        </w:rPr>
        <w:t>2</w:t>
      </w:r>
      <w:r>
        <w:rPr>
          <w:rFonts w:hint="eastAsia" w:ascii="宋体" w:hAnsi="宋体" w:eastAsia="宋体" w:cs="宋体"/>
          <w:sz w:val="21"/>
          <w:szCs w:val="21"/>
          <w:lang w:eastAsia="zh-CN"/>
        </w:rPr>
        <w:t xml:space="preserve">  评标过程中，评标委员会成员有回避事由、擅离职守或者因健康等原因不能继续评标的，应当及时更换。被更换的评标委员会成员作出的评审结论无效，由更换后的评标委员会成员重新进行评审。</w:t>
      </w:r>
    </w:p>
    <w:p w14:paraId="405EA76A">
      <w:pPr>
        <w:pStyle w:val="5"/>
        <w:snapToGrid w:val="0"/>
        <w:spacing w:before="0" w:after="0" w:line="360" w:lineRule="auto"/>
        <w:rPr>
          <w:rFonts w:ascii="宋体" w:hAnsi="宋体"/>
          <w:b w:val="0"/>
          <w:snapToGrid w:val="0"/>
          <w:sz w:val="24"/>
          <w:szCs w:val="24"/>
        </w:rPr>
      </w:pPr>
      <w:bookmarkStart w:id="318" w:name="_Toc287607782"/>
      <w:bookmarkStart w:id="319" w:name="_Toc277082588"/>
      <w:bookmarkStart w:id="320" w:name="_Toc200513162"/>
      <w:bookmarkStart w:id="321" w:name="_Toc29897"/>
      <w:bookmarkStart w:id="322" w:name="_Toc287620721"/>
      <w:bookmarkStart w:id="323" w:name="_Toc509218746"/>
      <w:bookmarkStart w:id="324" w:name="_Toc430530471"/>
      <w:bookmarkStart w:id="325" w:name="_Toc224103353"/>
      <w:r>
        <w:rPr>
          <w:rFonts w:ascii="宋体" w:hAnsi="宋体"/>
          <w:b w:val="0"/>
          <w:snapToGrid w:val="0"/>
          <w:sz w:val="24"/>
          <w:szCs w:val="24"/>
        </w:rPr>
        <w:t>6.2  评标原则</w:t>
      </w:r>
      <w:bookmarkEnd w:id="318"/>
      <w:bookmarkEnd w:id="319"/>
      <w:bookmarkEnd w:id="320"/>
      <w:bookmarkEnd w:id="321"/>
      <w:bookmarkEnd w:id="322"/>
      <w:bookmarkEnd w:id="323"/>
      <w:bookmarkEnd w:id="324"/>
      <w:bookmarkEnd w:id="325"/>
    </w:p>
    <w:p w14:paraId="2F5800CF">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评标活动遵循公平、公正、科学和择优的原则。</w:t>
      </w:r>
    </w:p>
    <w:p w14:paraId="0E1B6F62">
      <w:pPr>
        <w:pStyle w:val="5"/>
        <w:snapToGrid w:val="0"/>
        <w:spacing w:before="0" w:after="0" w:line="360" w:lineRule="auto"/>
        <w:rPr>
          <w:rFonts w:ascii="宋体" w:hAnsi="宋体"/>
          <w:b w:val="0"/>
          <w:snapToGrid w:val="0"/>
          <w:sz w:val="24"/>
          <w:szCs w:val="24"/>
        </w:rPr>
      </w:pPr>
      <w:bookmarkStart w:id="326" w:name="_Toc430530472"/>
      <w:bookmarkStart w:id="327" w:name="_Toc509218747"/>
      <w:bookmarkStart w:id="328" w:name="_Toc224103354"/>
      <w:bookmarkStart w:id="329" w:name="_Toc20628"/>
      <w:bookmarkStart w:id="330" w:name="_Toc287620722"/>
      <w:bookmarkStart w:id="331" w:name="_Toc287607783"/>
      <w:bookmarkStart w:id="332" w:name="_Toc200513163"/>
      <w:bookmarkStart w:id="333" w:name="_Toc277082589"/>
      <w:r>
        <w:rPr>
          <w:rFonts w:ascii="宋体" w:hAnsi="宋体"/>
          <w:b w:val="0"/>
          <w:snapToGrid w:val="0"/>
          <w:sz w:val="24"/>
          <w:szCs w:val="24"/>
        </w:rPr>
        <w:t>6.3  评标</w:t>
      </w:r>
      <w:bookmarkEnd w:id="326"/>
      <w:bookmarkEnd w:id="327"/>
      <w:bookmarkEnd w:id="328"/>
      <w:bookmarkEnd w:id="329"/>
      <w:bookmarkEnd w:id="330"/>
      <w:bookmarkEnd w:id="331"/>
      <w:bookmarkEnd w:id="332"/>
      <w:bookmarkEnd w:id="333"/>
    </w:p>
    <w:p w14:paraId="620C80D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评标委员会按照第三章“评标办法”规定的方法、评审因素、标准和程序对投标文件进行评审。第三章“评标办法”没有规定的方法、评审因素和标准，不得作为评标依据。</w:t>
      </w:r>
    </w:p>
    <w:p w14:paraId="3CB019C3">
      <w:pPr>
        <w:pStyle w:val="4"/>
        <w:spacing w:before="0" w:after="0" w:line="360" w:lineRule="auto"/>
        <w:rPr>
          <w:rFonts w:ascii="宋体" w:hAnsi="宋体"/>
          <w:b w:val="0"/>
          <w:snapToGrid w:val="0"/>
        </w:rPr>
      </w:pPr>
      <w:bookmarkStart w:id="334" w:name="_Toc277082590"/>
      <w:bookmarkStart w:id="335" w:name="_Toc200513164"/>
      <w:bookmarkStart w:id="336" w:name="_Toc287620723"/>
      <w:bookmarkStart w:id="337" w:name="_Toc15230"/>
      <w:bookmarkStart w:id="338" w:name="_Toc287607784"/>
      <w:bookmarkStart w:id="339" w:name="_Toc509218748"/>
      <w:bookmarkStart w:id="340" w:name="_Toc430530473"/>
      <w:bookmarkStart w:id="341" w:name="_Toc224103355"/>
      <w:r>
        <w:rPr>
          <w:rFonts w:ascii="宋体" w:hAnsi="宋体"/>
          <w:b w:val="0"/>
          <w:snapToGrid w:val="0"/>
        </w:rPr>
        <w:t>7.  合同授予</w:t>
      </w:r>
      <w:bookmarkEnd w:id="334"/>
      <w:bookmarkEnd w:id="335"/>
      <w:bookmarkEnd w:id="336"/>
      <w:bookmarkEnd w:id="337"/>
      <w:bookmarkEnd w:id="338"/>
      <w:bookmarkEnd w:id="339"/>
      <w:bookmarkEnd w:id="340"/>
      <w:bookmarkEnd w:id="341"/>
    </w:p>
    <w:p w14:paraId="71EA6A6A">
      <w:pPr>
        <w:pStyle w:val="5"/>
        <w:snapToGrid w:val="0"/>
        <w:spacing w:before="0" w:after="0" w:line="360" w:lineRule="auto"/>
        <w:rPr>
          <w:rFonts w:ascii="宋体" w:hAnsi="宋体"/>
          <w:b w:val="0"/>
          <w:snapToGrid w:val="0"/>
          <w:sz w:val="24"/>
          <w:szCs w:val="24"/>
        </w:rPr>
      </w:pPr>
      <w:bookmarkStart w:id="342" w:name="_Toc509218749"/>
      <w:bookmarkStart w:id="343" w:name="_Toc287620724"/>
      <w:bookmarkStart w:id="344" w:name="_Toc287607785"/>
      <w:bookmarkStart w:id="345" w:name="_Toc224103356"/>
      <w:bookmarkStart w:id="346" w:name="_Toc200513165"/>
      <w:bookmarkStart w:id="347" w:name="_Toc277082591"/>
      <w:bookmarkStart w:id="348" w:name="_Toc430530474"/>
      <w:bookmarkStart w:id="349" w:name="_Toc32274"/>
      <w:r>
        <w:rPr>
          <w:rFonts w:ascii="宋体" w:hAnsi="宋体"/>
          <w:b w:val="0"/>
          <w:snapToGrid w:val="0"/>
          <w:sz w:val="24"/>
          <w:szCs w:val="24"/>
        </w:rPr>
        <w:t>7.1  定标方式</w:t>
      </w:r>
      <w:bookmarkEnd w:id="342"/>
      <w:bookmarkEnd w:id="343"/>
      <w:bookmarkEnd w:id="344"/>
      <w:bookmarkEnd w:id="345"/>
      <w:bookmarkEnd w:id="346"/>
      <w:bookmarkEnd w:id="347"/>
      <w:bookmarkEnd w:id="348"/>
      <w:bookmarkEnd w:id="349"/>
    </w:p>
    <w:p w14:paraId="4A2465CA">
      <w:pPr>
        <w:spacing w:line="360" w:lineRule="auto"/>
        <w:ind w:firstLine="420" w:firstLineChars="200"/>
        <w:rPr>
          <w:rFonts w:ascii="宋体" w:hAnsi="宋体"/>
          <w:szCs w:val="21"/>
        </w:rPr>
      </w:pPr>
      <w:r>
        <w:rPr>
          <w:rFonts w:ascii="宋体" w:hAnsi="宋体"/>
          <w:szCs w:val="21"/>
        </w:rPr>
        <w:t>国有资金占控股或者主导地位的依法必须进行</w:t>
      </w:r>
      <w:r>
        <w:rPr>
          <w:rFonts w:hint="eastAsia" w:ascii="宋体" w:hAnsi="宋体"/>
          <w:szCs w:val="21"/>
        </w:rPr>
        <w:t>采购</w:t>
      </w:r>
      <w:r>
        <w:rPr>
          <w:rFonts w:ascii="宋体" w:hAnsi="宋体"/>
          <w:szCs w:val="21"/>
        </w:rPr>
        <w:t>的项目，</w:t>
      </w:r>
      <w:r>
        <w:rPr>
          <w:rFonts w:hint="eastAsia" w:ascii="宋体" w:hAnsi="宋体"/>
          <w:szCs w:val="21"/>
        </w:rPr>
        <w:t>采购</w:t>
      </w:r>
      <w:r>
        <w:rPr>
          <w:rFonts w:ascii="宋体" w:hAnsi="宋体"/>
          <w:szCs w:val="21"/>
        </w:rPr>
        <w:t>人应当确定排名第一的中标候选人为中标人。排名第一的中标候选人放弃中标、因不可抗力不能履行合同、不按照</w:t>
      </w:r>
      <w:r>
        <w:rPr>
          <w:rFonts w:hint="eastAsia" w:ascii="宋体" w:hAnsi="宋体"/>
          <w:szCs w:val="21"/>
        </w:rPr>
        <w:t>采购</w:t>
      </w:r>
      <w:r>
        <w:rPr>
          <w:rFonts w:ascii="宋体" w:hAnsi="宋体"/>
          <w:szCs w:val="21"/>
        </w:rPr>
        <w:t>文件要求提交履约保证金，或者被查实存在影响中标结果的违法行为等情形，不符合中标条件的，</w:t>
      </w:r>
      <w:r>
        <w:rPr>
          <w:rFonts w:hint="eastAsia" w:ascii="宋体" w:hAnsi="宋体"/>
          <w:szCs w:val="21"/>
        </w:rPr>
        <w:t>采购</w:t>
      </w:r>
      <w:r>
        <w:rPr>
          <w:rFonts w:ascii="宋体" w:hAnsi="宋体"/>
          <w:szCs w:val="21"/>
        </w:rPr>
        <w:t>人可以按照评标委员会提出的中标候选人名单排序依次确定其他中标候选人为中标人，也可以重新</w:t>
      </w:r>
      <w:r>
        <w:rPr>
          <w:rFonts w:hint="eastAsia" w:ascii="宋体" w:hAnsi="宋体"/>
          <w:szCs w:val="21"/>
        </w:rPr>
        <w:t>采购</w:t>
      </w:r>
      <w:r>
        <w:rPr>
          <w:rFonts w:ascii="宋体" w:hAnsi="宋体"/>
          <w:szCs w:val="21"/>
        </w:rPr>
        <w:t>。</w:t>
      </w:r>
    </w:p>
    <w:p w14:paraId="40A9B733">
      <w:pPr>
        <w:spacing w:line="360" w:lineRule="auto"/>
        <w:ind w:firstLine="420" w:firstLineChars="200"/>
        <w:rPr>
          <w:rFonts w:ascii="宋体" w:hAnsi="宋体"/>
          <w:szCs w:val="21"/>
        </w:rPr>
      </w:pPr>
      <w:r>
        <w:rPr>
          <w:rFonts w:ascii="宋体" w:hAnsi="宋体"/>
          <w:snapToGrid w:val="0"/>
          <w:kern w:val="0"/>
          <w:szCs w:val="21"/>
        </w:rPr>
        <w:t>评标委员会推荐中标候选人的人数</w:t>
      </w:r>
      <w:r>
        <w:rPr>
          <w:rFonts w:hint="eastAsia" w:ascii="宋体" w:hAnsi="宋体"/>
          <w:snapToGrid w:val="0"/>
          <w:kern w:val="0"/>
          <w:szCs w:val="21"/>
        </w:rPr>
        <w:t>：</w:t>
      </w:r>
      <w:r>
        <w:rPr>
          <w:rFonts w:ascii="宋体" w:hAnsi="宋体"/>
          <w:snapToGrid w:val="0"/>
          <w:kern w:val="0"/>
          <w:szCs w:val="21"/>
        </w:rPr>
        <w:t>见投标人须知前附表。</w:t>
      </w:r>
    </w:p>
    <w:p w14:paraId="2AD8B114">
      <w:pPr>
        <w:pStyle w:val="5"/>
        <w:snapToGrid w:val="0"/>
        <w:spacing w:before="0" w:after="0" w:line="360" w:lineRule="auto"/>
        <w:rPr>
          <w:rFonts w:ascii="宋体" w:hAnsi="宋体"/>
          <w:b w:val="0"/>
          <w:snapToGrid w:val="0"/>
          <w:sz w:val="24"/>
          <w:szCs w:val="24"/>
        </w:rPr>
      </w:pPr>
      <w:bookmarkStart w:id="350" w:name="_Toc29133"/>
      <w:bookmarkStart w:id="351" w:name="_Toc430530475"/>
      <w:bookmarkStart w:id="352" w:name="_Toc509218750"/>
      <w:r>
        <w:rPr>
          <w:rFonts w:ascii="宋体" w:hAnsi="宋体"/>
          <w:b w:val="0"/>
          <w:snapToGrid w:val="0"/>
          <w:sz w:val="24"/>
          <w:szCs w:val="24"/>
        </w:rPr>
        <w:t>7.2  中标公示及中标通知</w:t>
      </w:r>
      <w:bookmarkEnd w:id="350"/>
      <w:bookmarkEnd w:id="351"/>
      <w:bookmarkEnd w:id="352"/>
    </w:p>
    <w:p w14:paraId="25852EA6">
      <w:pPr>
        <w:autoSpaceDE w:val="0"/>
        <w:autoSpaceDN w:val="0"/>
        <w:adjustRightInd w:val="0"/>
        <w:snapToGrid w:val="0"/>
        <w:spacing w:line="360" w:lineRule="auto"/>
        <w:ind w:firstLine="420" w:firstLineChars="200"/>
        <w:rPr>
          <w:rFonts w:ascii="宋体" w:hAnsi="宋体"/>
          <w:szCs w:val="21"/>
        </w:rPr>
      </w:pPr>
      <w:r>
        <w:rPr>
          <w:rFonts w:hint="eastAsia" w:ascii="宋体" w:hAnsi="宋体"/>
          <w:snapToGrid w:val="0"/>
          <w:kern w:val="0"/>
          <w:szCs w:val="21"/>
        </w:rPr>
        <w:t>采购</w:t>
      </w:r>
      <w:r>
        <w:rPr>
          <w:rFonts w:ascii="宋体" w:hAnsi="宋体"/>
          <w:snapToGrid w:val="0"/>
          <w:kern w:val="0"/>
          <w:szCs w:val="21"/>
        </w:rPr>
        <w:t>人在收到评标报告之日起3日内公示中标候选人，公示期不得少于3日</w:t>
      </w:r>
      <w:r>
        <w:rPr>
          <w:rFonts w:hint="eastAsia" w:ascii="宋体" w:hAnsi="宋体"/>
          <w:szCs w:val="21"/>
        </w:rPr>
        <w:t>。</w:t>
      </w:r>
    </w:p>
    <w:p w14:paraId="2DC91F91">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在本章第 3.3 款规定的投标有效期内，且未有投标人的异议与投诉，</w:t>
      </w:r>
      <w:r>
        <w:rPr>
          <w:rFonts w:hint="eastAsia" w:ascii="宋体" w:hAnsi="宋体"/>
          <w:snapToGrid w:val="0"/>
          <w:kern w:val="0"/>
          <w:szCs w:val="21"/>
        </w:rPr>
        <w:t>采购</w:t>
      </w:r>
      <w:r>
        <w:rPr>
          <w:rFonts w:ascii="宋体" w:hAnsi="宋体"/>
          <w:snapToGrid w:val="0"/>
          <w:kern w:val="0"/>
          <w:szCs w:val="21"/>
        </w:rPr>
        <w:t>人以书面形式向中标人发出中标通知书。</w:t>
      </w:r>
    </w:p>
    <w:p w14:paraId="5EC5B4EB">
      <w:pPr>
        <w:pStyle w:val="5"/>
        <w:snapToGrid w:val="0"/>
        <w:spacing w:before="0" w:after="0" w:line="360" w:lineRule="auto"/>
        <w:rPr>
          <w:rFonts w:ascii="宋体" w:hAnsi="宋体"/>
          <w:b w:val="0"/>
          <w:snapToGrid w:val="0"/>
          <w:sz w:val="24"/>
          <w:szCs w:val="24"/>
        </w:rPr>
      </w:pPr>
      <w:bookmarkStart w:id="353" w:name="_Toc287607787"/>
      <w:bookmarkStart w:id="354" w:name="_Toc224103358"/>
      <w:bookmarkStart w:id="355" w:name="_Toc277082593"/>
      <w:bookmarkStart w:id="356" w:name="_Toc430530476"/>
      <w:bookmarkStart w:id="357" w:name="_Toc21475"/>
      <w:bookmarkStart w:id="358" w:name="_Toc287620726"/>
      <w:bookmarkStart w:id="359" w:name="_Toc509218751"/>
      <w:bookmarkStart w:id="360" w:name="_Toc200513167"/>
      <w:r>
        <w:rPr>
          <w:rFonts w:ascii="宋体" w:hAnsi="宋体"/>
          <w:b w:val="0"/>
          <w:snapToGrid w:val="0"/>
          <w:sz w:val="24"/>
          <w:szCs w:val="24"/>
        </w:rPr>
        <w:t>7.3  履约担保</w:t>
      </w:r>
      <w:bookmarkEnd w:id="353"/>
      <w:bookmarkEnd w:id="354"/>
      <w:bookmarkEnd w:id="355"/>
      <w:bookmarkEnd w:id="356"/>
      <w:bookmarkEnd w:id="357"/>
      <w:bookmarkEnd w:id="358"/>
      <w:bookmarkEnd w:id="359"/>
      <w:bookmarkEnd w:id="360"/>
    </w:p>
    <w:p w14:paraId="5CE0AA0C">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7.3.1  在签订合同前，中标人应按投标人须知前附表规定的金额、担保形式和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文件第四章“合同条款及格式”规定的履约担保格式向</w:t>
      </w:r>
      <w:r>
        <w:rPr>
          <w:rFonts w:hint="eastAsia" w:ascii="宋体" w:hAnsi="宋体"/>
          <w:snapToGrid w:val="0"/>
          <w:kern w:val="0"/>
          <w:szCs w:val="21"/>
        </w:rPr>
        <w:t>采购</w:t>
      </w:r>
      <w:r>
        <w:rPr>
          <w:rFonts w:ascii="宋体" w:hAnsi="宋体"/>
          <w:snapToGrid w:val="0"/>
          <w:kern w:val="0"/>
          <w:szCs w:val="21"/>
        </w:rPr>
        <w:t>人提交履约担保。联合体中标的，其履约担保由牵头人递交，并应符合投标人须知前附表规定的金额、担保形式和</w:t>
      </w:r>
      <w:r>
        <w:rPr>
          <w:rFonts w:hint="eastAsia" w:ascii="宋体" w:hAnsi="宋体"/>
          <w:snapToGrid w:val="0"/>
          <w:kern w:val="0"/>
          <w:szCs w:val="21"/>
        </w:rPr>
        <w:t>采购</w:t>
      </w:r>
      <w:r>
        <w:rPr>
          <w:rFonts w:ascii="宋体" w:hAnsi="宋体"/>
          <w:snapToGrid w:val="0"/>
          <w:kern w:val="0"/>
          <w:szCs w:val="21"/>
        </w:rPr>
        <w:t>文件第四章“合同条款及格式”规定的履约担保格式要求。</w:t>
      </w:r>
    </w:p>
    <w:p w14:paraId="2250B5D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7.3.2  中标人不能按本章第 7.3.1 项要求提交履约担保的，视为放弃中标，其投标保证金不予退还，给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15440546">
      <w:pPr>
        <w:pStyle w:val="5"/>
        <w:snapToGrid w:val="0"/>
        <w:spacing w:before="0" w:after="0" w:line="360" w:lineRule="auto"/>
        <w:rPr>
          <w:rFonts w:ascii="宋体" w:hAnsi="宋体"/>
          <w:b w:val="0"/>
          <w:snapToGrid w:val="0"/>
          <w:sz w:val="24"/>
          <w:szCs w:val="24"/>
        </w:rPr>
      </w:pPr>
      <w:bookmarkStart w:id="361" w:name="_Toc287620727"/>
      <w:bookmarkStart w:id="362" w:name="_Toc26300"/>
      <w:bookmarkStart w:id="363" w:name="_Toc287607788"/>
      <w:bookmarkStart w:id="364" w:name="_Toc224103359"/>
      <w:bookmarkStart w:id="365" w:name="_Toc509218752"/>
      <w:bookmarkStart w:id="366" w:name="_Toc277082594"/>
      <w:bookmarkStart w:id="367" w:name="_Toc430530477"/>
      <w:bookmarkStart w:id="368" w:name="_Toc200513168"/>
      <w:r>
        <w:rPr>
          <w:rFonts w:ascii="宋体" w:hAnsi="宋体"/>
          <w:b w:val="0"/>
          <w:snapToGrid w:val="0"/>
          <w:sz w:val="24"/>
          <w:szCs w:val="24"/>
        </w:rPr>
        <w:t>7.4  签订合同</w:t>
      </w:r>
      <w:bookmarkEnd w:id="361"/>
      <w:bookmarkEnd w:id="362"/>
      <w:bookmarkEnd w:id="363"/>
      <w:bookmarkEnd w:id="364"/>
      <w:bookmarkEnd w:id="365"/>
      <w:bookmarkEnd w:id="366"/>
      <w:bookmarkEnd w:id="367"/>
      <w:bookmarkEnd w:id="368"/>
    </w:p>
    <w:p w14:paraId="33C7F194">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 xml:space="preserve">7.4.1 </w:t>
      </w:r>
      <w:r>
        <w:rPr>
          <w:rFonts w:hint="eastAsia" w:ascii="宋体" w:hAnsi="宋体"/>
          <w:snapToGrid w:val="0"/>
          <w:kern w:val="0"/>
          <w:szCs w:val="21"/>
        </w:rPr>
        <w:t xml:space="preserve"> 采购</w:t>
      </w:r>
      <w:r>
        <w:rPr>
          <w:rFonts w:ascii="宋体" w:hAnsi="宋体"/>
          <w:snapToGrid w:val="0"/>
          <w:kern w:val="0"/>
          <w:szCs w:val="21"/>
        </w:rPr>
        <w:t>人和中标人应当自中标通知书发出之日起 30 天内，根据</w:t>
      </w:r>
      <w:r>
        <w:rPr>
          <w:rFonts w:hint="eastAsia" w:ascii="宋体" w:hAnsi="宋体"/>
          <w:snapToGrid w:val="0"/>
          <w:kern w:val="0"/>
          <w:szCs w:val="21"/>
        </w:rPr>
        <w:t>采购</w:t>
      </w:r>
      <w:r>
        <w:rPr>
          <w:rFonts w:ascii="宋体" w:hAnsi="宋体"/>
          <w:snapToGrid w:val="0"/>
          <w:kern w:val="0"/>
          <w:szCs w:val="21"/>
        </w:rPr>
        <w:t>文件和中标人的投标文件订立书面合同。中标人</w:t>
      </w:r>
      <w:r>
        <w:rPr>
          <w:rFonts w:hint="eastAsia" w:ascii="宋体" w:hAnsi="宋体"/>
          <w:snapToGrid w:val="0"/>
          <w:kern w:val="0"/>
          <w:szCs w:val="21"/>
        </w:rPr>
        <w:t>放弃中标项目，</w:t>
      </w:r>
      <w:r>
        <w:rPr>
          <w:rFonts w:ascii="宋体" w:hAnsi="宋体"/>
          <w:snapToGrid w:val="0"/>
          <w:kern w:val="0"/>
          <w:szCs w:val="21"/>
        </w:rPr>
        <w:t>无正当理由</w:t>
      </w:r>
      <w:r>
        <w:rPr>
          <w:rFonts w:hint="eastAsia" w:ascii="宋体" w:hAnsi="宋体"/>
          <w:snapToGrid w:val="0"/>
          <w:kern w:val="0"/>
          <w:szCs w:val="21"/>
        </w:rPr>
        <w:t>不与采购人签订合同，在签订合同时向采购人提出附加条件或者更改合同实质性内容</w:t>
      </w:r>
      <w:r>
        <w:rPr>
          <w:rFonts w:ascii="宋体" w:hAnsi="宋体"/>
          <w:snapToGrid w:val="0"/>
          <w:kern w:val="0"/>
          <w:szCs w:val="21"/>
        </w:rPr>
        <w:t>，</w:t>
      </w:r>
      <w:r>
        <w:rPr>
          <w:rFonts w:hint="eastAsia" w:ascii="宋体" w:hAnsi="宋体" w:cs="宋体"/>
          <w:szCs w:val="21"/>
        </w:rPr>
        <w:t>或不按照采购文件要求提交低价风险担保（适用于经评审最低投标价法）或履约保证金的，</w:t>
      </w:r>
      <w:r>
        <w:rPr>
          <w:rFonts w:hint="eastAsia" w:ascii="宋体" w:hAnsi="宋体"/>
          <w:snapToGrid w:val="0"/>
          <w:kern w:val="0"/>
          <w:szCs w:val="21"/>
        </w:rPr>
        <w:t>采购</w:t>
      </w:r>
      <w:r>
        <w:rPr>
          <w:rFonts w:ascii="宋体" w:hAnsi="宋体"/>
          <w:snapToGrid w:val="0"/>
          <w:kern w:val="0"/>
          <w:szCs w:val="21"/>
        </w:rPr>
        <w:t>人取消其中标资格，其投标保证金不予退还；给</w:t>
      </w:r>
      <w:r>
        <w:rPr>
          <w:rFonts w:hint="eastAsia" w:ascii="宋体" w:hAnsi="宋体"/>
          <w:snapToGrid w:val="0"/>
          <w:kern w:val="0"/>
          <w:szCs w:val="21"/>
        </w:rPr>
        <w:t>采购</w:t>
      </w:r>
      <w:r>
        <w:rPr>
          <w:rFonts w:ascii="宋体" w:hAnsi="宋体"/>
          <w:snapToGrid w:val="0"/>
          <w:kern w:val="0"/>
          <w:szCs w:val="21"/>
        </w:rPr>
        <w:t>人造成的损失超过投标保证金数额的，中标人还应当对超过部分予以赔偿。</w:t>
      </w:r>
    </w:p>
    <w:p w14:paraId="68FBC628">
      <w:pPr>
        <w:autoSpaceDE w:val="0"/>
        <w:autoSpaceDN w:val="0"/>
        <w:adjustRightInd w:val="0"/>
        <w:snapToGrid w:val="0"/>
        <w:spacing w:line="360" w:lineRule="auto"/>
        <w:ind w:firstLine="420"/>
        <w:rPr>
          <w:rFonts w:ascii="宋体" w:hAnsi="宋体"/>
          <w:snapToGrid w:val="0"/>
          <w:kern w:val="0"/>
          <w:szCs w:val="21"/>
        </w:rPr>
      </w:pPr>
      <w:r>
        <w:rPr>
          <w:rFonts w:ascii="宋体" w:hAnsi="宋体"/>
          <w:snapToGrid w:val="0"/>
          <w:kern w:val="0"/>
          <w:szCs w:val="21"/>
        </w:rPr>
        <w:t>7.4.2  发出中标通知书后，</w:t>
      </w:r>
      <w:r>
        <w:rPr>
          <w:rFonts w:hint="eastAsia" w:ascii="宋体" w:hAnsi="宋体"/>
          <w:snapToGrid w:val="0"/>
          <w:kern w:val="0"/>
          <w:szCs w:val="21"/>
        </w:rPr>
        <w:t>采购</w:t>
      </w:r>
      <w:r>
        <w:rPr>
          <w:rFonts w:ascii="宋体" w:hAnsi="宋体"/>
          <w:snapToGrid w:val="0"/>
          <w:kern w:val="0"/>
          <w:szCs w:val="21"/>
        </w:rPr>
        <w:t>人无正当理由拒签合同的，</w:t>
      </w:r>
      <w:r>
        <w:rPr>
          <w:rFonts w:hint="eastAsia" w:ascii="宋体" w:hAnsi="宋体"/>
          <w:snapToGrid w:val="0"/>
          <w:kern w:val="0"/>
          <w:szCs w:val="21"/>
        </w:rPr>
        <w:t>采购</w:t>
      </w:r>
      <w:r>
        <w:rPr>
          <w:rFonts w:ascii="宋体" w:hAnsi="宋体"/>
          <w:snapToGrid w:val="0"/>
          <w:kern w:val="0"/>
          <w:szCs w:val="21"/>
        </w:rPr>
        <w:t>人向中标人退还投标保证金；给中标人造成损失的，还应当赔偿损失。</w:t>
      </w:r>
    </w:p>
    <w:p w14:paraId="14128A9B">
      <w:pPr>
        <w:pStyle w:val="4"/>
        <w:spacing w:before="0" w:after="0" w:line="360" w:lineRule="auto"/>
        <w:rPr>
          <w:rFonts w:ascii="宋体" w:hAnsi="宋体"/>
          <w:b w:val="0"/>
          <w:snapToGrid w:val="0"/>
        </w:rPr>
      </w:pPr>
      <w:bookmarkStart w:id="369" w:name="_Toc224103360"/>
      <w:bookmarkStart w:id="370" w:name="_Toc28692"/>
      <w:bookmarkStart w:id="371" w:name="_Toc430530478"/>
      <w:bookmarkStart w:id="372" w:name="_Toc509218753"/>
      <w:bookmarkStart w:id="373" w:name="_Toc287607789"/>
      <w:bookmarkStart w:id="374" w:name="_Toc200513169"/>
      <w:bookmarkStart w:id="375" w:name="_Toc287620728"/>
      <w:bookmarkStart w:id="376" w:name="_Toc277082595"/>
      <w:r>
        <w:rPr>
          <w:rFonts w:ascii="宋体" w:hAnsi="宋体"/>
          <w:b w:val="0"/>
          <w:snapToGrid w:val="0"/>
        </w:rPr>
        <w:t>8.  重新</w:t>
      </w:r>
      <w:r>
        <w:rPr>
          <w:rFonts w:hint="eastAsia" w:ascii="宋体" w:hAnsi="宋体"/>
          <w:b w:val="0"/>
          <w:snapToGrid w:val="0"/>
        </w:rPr>
        <w:t>采购</w:t>
      </w:r>
      <w:r>
        <w:rPr>
          <w:rFonts w:ascii="宋体" w:hAnsi="宋体"/>
          <w:b w:val="0"/>
          <w:snapToGrid w:val="0"/>
        </w:rPr>
        <w:t>和不再</w:t>
      </w:r>
      <w:bookmarkEnd w:id="369"/>
      <w:bookmarkEnd w:id="370"/>
      <w:bookmarkEnd w:id="371"/>
      <w:bookmarkEnd w:id="372"/>
      <w:bookmarkEnd w:id="373"/>
      <w:bookmarkEnd w:id="374"/>
      <w:bookmarkEnd w:id="375"/>
      <w:bookmarkEnd w:id="376"/>
      <w:r>
        <w:rPr>
          <w:rFonts w:hint="eastAsia" w:ascii="宋体" w:hAnsi="宋体"/>
          <w:b w:val="0"/>
          <w:snapToGrid w:val="0"/>
        </w:rPr>
        <w:t>采购</w:t>
      </w:r>
    </w:p>
    <w:p w14:paraId="1F611832">
      <w:pPr>
        <w:pStyle w:val="5"/>
        <w:snapToGrid w:val="0"/>
        <w:spacing w:before="0" w:after="0" w:line="360" w:lineRule="auto"/>
        <w:rPr>
          <w:rFonts w:ascii="宋体" w:hAnsi="宋体"/>
          <w:b w:val="0"/>
          <w:snapToGrid w:val="0"/>
          <w:sz w:val="24"/>
          <w:szCs w:val="24"/>
        </w:rPr>
      </w:pPr>
      <w:bookmarkStart w:id="377" w:name="_Toc430530479"/>
      <w:bookmarkStart w:id="378" w:name="_Toc509218754"/>
      <w:bookmarkStart w:id="379" w:name="_Toc224103361"/>
      <w:bookmarkStart w:id="380" w:name="_Toc277082596"/>
      <w:bookmarkStart w:id="381" w:name="_Toc287607790"/>
      <w:bookmarkStart w:id="382" w:name="_Toc287620729"/>
      <w:bookmarkStart w:id="383" w:name="_Toc200513170"/>
      <w:bookmarkStart w:id="384" w:name="_Toc1745"/>
      <w:r>
        <w:rPr>
          <w:rFonts w:ascii="宋体" w:hAnsi="宋体"/>
          <w:b w:val="0"/>
          <w:snapToGrid w:val="0"/>
          <w:sz w:val="24"/>
          <w:szCs w:val="24"/>
        </w:rPr>
        <w:t>8.1  重新</w:t>
      </w:r>
      <w:bookmarkEnd w:id="377"/>
      <w:bookmarkEnd w:id="378"/>
      <w:bookmarkEnd w:id="379"/>
      <w:bookmarkEnd w:id="380"/>
      <w:bookmarkEnd w:id="381"/>
      <w:bookmarkEnd w:id="382"/>
      <w:bookmarkEnd w:id="383"/>
      <w:r>
        <w:rPr>
          <w:rFonts w:hint="eastAsia" w:ascii="宋体" w:hAnsi="宋体"/>
          <w:b w:val="0"/>
          <w:snapToGrid w:val="0"/>
          <w:sz w:val="24"/>
          <w:szCs w:val="24"/>
        </w:rPr>
        <w:t>采购的情形</w:t>
      </w:r>
      <w:bookmarkEnd w:id="384"/>
    </w:p>
    <w:p w14:paraId="6EB5EDFC">
      <w:pPr>
        <w:autoSpaceDE w:val="0"/>
        <w:autoSpaceDN w:val="0"/>
        <w:adjustRightInd w:val="0"/>
        <w:snapToGrid w:val="0"/>
        <w:spacing w:line="360" w:lineRule="auto"/>
        <w:ind w:left="359" w:leftChars="171"/>
        <w:rPr>
          <w:rFonts w:ascii="宋体" w:hAnsi="宋体"/>
          <w:snapToGrid w:val="0"/>
          <w:kern w:val="0"/>
          <w:szCs w:val="21"/>
        </w:rPr>
      </w:pPr>
      <w:r>
        <w:rPr>
          <w:rFonts w:ascii="宋体" w:hAnsi="宋体"/>
          <w:snapToGrid w:val="0"/>
          <w:kern w:val="0"/>
          <w:szCs w:val="21"/>
        </w:rPr>
        <w:t>有下列情形之一的，</w:t>
      </w:r>
      <w:r>
        <w:rPr>
          <w:rFonts w:hint="eastAsia" w:ascii="宋体" w:hAnsi="宋体"/>
          <w:snapToGrid w:val="0"/>
          <w:kern w:val="0"/>
          <w:szCs w:val="21"/>
        </w:rPr>
        <w:t>采购</w:t>
      </w:r>
      <w:r>
        <w:rPr>
          <w:rFonts w:ascii="宋体" w:hAnsi="宋体"/>
          <w:snapToGrid w:val="0"/>
          <w:kern w:val="0"/>
          <w:szCs w:val="21"/>
        </w:rPr>
        <w:t>人将重新</w:t>
      </w:r>
      <w:r>
        <w:rPr>
          <w:rFonts w:hint="eastAsia" w:ascii="宋体" w:hAnsi="宋体"/>
          <w:snapToGrid w:val="0"/>
          <w:kern w:val="0"/>
          <w:szCs w:val="21"/>
        </w:rPr>
        <w:t>采购</w:t>
      </w:r>
      <w:r>
        <w:rPr>
          <w:rFonts w:ascii="宋体" w:hAnsi="宋体"/>
          <w:snapToGrid w:val="0"/>
          <w:kern w:val="0"/>
          <w:szCs w:val="21"/>
        </w:rPr>
        <w:t>：</w:t>
      </w:r>
    </w:p>
    <w:p w14:paraId="4047C33A">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（1）投标截止时间止，投标人少于 3 个的；</w:t>
      </w:r>
    </w:p>
    <w:p w14:paraId="60DA46A0">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（2）经评标委员会评审后否决所有投标的；</w:t>
      </w:r>
    </w:p>
    <w:p w14:paraId="29B19FC3">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经评标委员会评审后部分投标被否决，导致有效投标人不足三个的，评标委员会应当否决所有投标。但是有效投标人的经济、技术等指标仍然具有市场竞争力，能够满足采购文件要求的，评标委员会可以继续评标并确定中标候选人</w:t>
      </w:r>
      <w:r>
        <w:rPr>
          <w:rFonts w:ascii="宋体" w:hAnsi="宋体"/>
          <w:snapToGrid w:val="0"/>
          <w:kern w:val="0"/>
          <w:szCs w:val="21"/>
        </w:rPr>
        <w:t>；</w:t>
      </w:r>
    </w:p>
    <w:p w14:paraId="3BB8880E">
      <w:pPr>
        <w:autoSpaceDE w:val="0"/>
        <w:autoSpaceDN w:val="0"/>
        <w:adjustRightInd w:val="0"/>
        <w:snapToGrid w:val="0"/>
        <w:spacing w:line="360" w:lineRule="auto"/>
        <w:ind w:firstLine="420" w:firstLineChars="200"/>
        <w:rPr>
          <w:rFonts w:ascii="宋体" w:hAnsi="宋体"/>
          <w:snapToGrid w:val="0"/>
          <w:kern w:val="0"/>
          <w:szCs w:val="21"/>
        </w:rPr>
      </w:pPr>
      <w:r>
        <w:rPr>
          <w:rFonts w:ascii="宋体" w:hAnsi="宋体"/>
          <w:snapToGrid w:val="0"/>
          <w:kern w:val="0"/>
          <w:szCs w:val="21"/>
        </w:rPr>
        <w:t>（4）法律法规规定的其他情形。</w:t>
      </w:r>
    </w:p>
    <w:p w14:paraId="68F44B44">
      <w:pPr>
        <w:pStyle w:val="5"/>
        <w:snapToGrid w:val="0"/>
        <w:spacing w:before="0" w:after="0" w:line="360" w:lineRule="auto"/>
        <w:rPr>
          <w:rFonts w:ascii="宋体" w:hAnsi="宋体"/>
          <w:b w:val="0"/>
          <w:snapToGrid w:val="0"/>
          <w:sz w:val="24"/>
          <w:szCs w:val="24"/>
        </w:rPr>
      </w:pPr>
      <w:bookmarkStart w:id="385" w:name="_Toc224103362"/>
      <w:bookmarkStart w:id="386" w:name="_Toc287620730"/>
      <w:bookmarkStart w:id="387" w:name="_Toc248"/>
      <w:bookmarkStart w:id="388" w:name="_Toc287607791"/>
      <w:bookmarkStart w:id="389" w:name="_Toc277082597"/>
      <w:bookmarkStart w:id="390" w:name="_Toc200513171"/>
      <w:bookmarkStart w:id="391" w:name="_Toc509218755"/>
      <w:bookmarkStart w:id="392" w:name="_Toc430530480"/>
      <w:r>
        <w:rPr>
          <w:rFonts w:ascii="宋体" w:hAnsi="宋体"/>
          <w:b w:val="0"/>
          <w:snapToGrid w:val="0"/>
          <w:sz w:val="24"/>
          <w:szCs w:val="24"/>
        </w:rPr>
        <w:t xml:space="preserve">8.2  </w:t>
      </w:r>
      <w:r>
        <w:rPr>
          <w:rFonts w:hint="eastAsia" w:ascii="宋体" w:hAnsi="宋体"/>
          <w:b w:val="0"/>
          <w:snapToGrid w:val="0"/>
          <w:sz w:val="24"/>
          <w:szCs w:val="24"/>
        </w:rPr>
        <w:t>重新采购</w:t>
      </w:r>
      <w:r>
        <w:rPr>
          <w:rFonts w:ascii="宋体" w:hAnsi="宋体"/>
          <w:b w:val="0"/>
          <w:snapToGrid w:val="0"/>
          <w:sz w:val="24"/>
          <w:szCs w:val="24"/>
        </w:rPr>
        <w:t>和不再</w:t>
      </w:r>
      <w:bookmarkEnd w:id="385"/>
      <w:bookmarkEnd w:id="386"/>
      <w:bookmarkEnd w:id="387"/>
      <w:bookmarkEnd w:id="388"/>
      <w:bookmarkEnd w:id="389"/>
      <w:bookmarkEnd w:id="390"/>
      <w:bookmarkEnd w:id="391"/>
      <w:bookmarkEnd w:id="392"/>
      <w:r>
        <w:rPr>
          <w:rFonts w:hint="eastAsia" w:ascii="宋体" w:hAnsi="宋体"/>
          <w:b w:val="0"/>
          <w:snapToGrid w:val="0"/>
          <w:sz w:val="24"/>
          <w:szCs w:val="24"/>
        </w:rPr>
        <w:t>采购</w:t>
      </w:r>
    </w:p>
    <w:p w14:paraId="180F483E">
      <w:pPr>
        <w:autoSpaceDE w:val="0"/>
        <w:autoSpaceDN w:val="0"/>
        <w:adjustRightInd w:val="0"/>
        <w:snapToGrid w:val="0"/>
        <w:spacing w:line="360" w:lineRule="auto"/>
        <w:ind w:firstLine="420"/>
        <w:rPr>
          <w:rFonts w:ascii="宋体" w:hAnsi="宋体"/>
          <w:snapToGrid w:val="0"/>
          <w:kern w:val="0"/>
          <w:szCs w:val="21"/>
        </w:rPr>
      </w:pPr>
      <w:r>
        <w:rPr>
          <w:rFonts w:hint="eastAsia" w:ascii="宋体" w:hAnsi="宋体"/>
          <w:snapToGrid w:val="0"/>
          <w:kern w:val="0"/>
          <w:szCs w:val="21"/>
        </w:rPr>
        <w:t>重新采购的投标人仍然少于三个的，按照采购投标法律法规规定的程序开标和评标。重新采购经评审有有效投标人的，应当依法确定中标候选人；无有效投标人的，可以不再进行采购，但是按照国家有关规定需要履行审批、核准、备案手续的依法必须进行采购的项目，应当报原项目投资主管部门审批、核准、备案</w:t>
      </w:r>
      <w:r>
        <w:rPr>
          <w:rFonts w:ascii="宋体" w:hAnsi="宋体"/>
          <w:snapToGrid w:val="0"/>
          <w:kern w:val="0"/>
          <w:szCs w:val="21"/>
        </w:rPr>
        <w:t>。</w:t>
      </w:r>
      <w:bookmarkStart w:id="393" w:name="_Toc3833"/>
    </w:p>
    <w:p w14:paraId="6609BF60">
      <w:pPr>
        <w:pStyle w:val="2"/>
      </w:pPr>
    </w:p>
    <w:p w14:paraId="16020A28"/>
    <w:p w14:paraId="48EC8294">
      <w:pPr>
        <w:pStyle w:val="2"/>
      </w:pPr>
    </w:p>
    <w:p w14:paraId="073D063C"/>
    <w:p w14:paraId="4771728F">
      <w:pPr>
        <w:pStyle w:val="2"/>
      </w:pPr>
    </w:p>
    <w:p w14:paraId="3AF2EA30"/>
    <w:p w14:paraId="3042CC2A">
      <w:pPr>
        <w:pStyle w:val="2"/>
      </w:pPr>
    </w:p>
    <w:p w14:paraId="655E5646"/>
    <w:p w14:paraId="3F713475">
      <w:pPr>
        <w:pStyle w:val="2"/>
      </w:pPr>
    </w:p>
    <w:p w14:paraId="5B8C6EF5"/>
    <w:p w14:paraId="157430A9">
      <w:pPr>
        <w:pStyle w:val="2"/>
      </w:pPr>
    </w:p>
    <w:p w14:paraId="49B45A76"/>
    <w:p w14:paraId="2D74DE27">
      <w:pPr>
        <w:pStyle w:val="2"/>
      </w:pPr>
    </w:p>
    <w:p w14:paraId="5FE62B66"/>
    <w:p w14:paraId="336CEAAE">
      <w:pPr>
        <w:pStyle w:val="2"/>
      </w:pPr>
    </w:p>
    <w:p w14:paraId="127F3C9E"/>
    <w:p w14:paraId="603EFBB6">
      <w:pPr>
        <w:pStyle w:val="2"/>
      </w:pPr>
    </w:p>
    <w:p w14:paraId="71B0C188"/>
    <w:p w14:paraId="1DD87F98">
      <w:pPr>
        <w:pStyle w:val="2"/>
      </w:pPr>
    </w:p>
    <w:p w14:paraId="1C470814"/>
    <w:p w14:paraId="13300372">
      <w:pPr>
        <w:pStyle w:val="2"/>
      </w:pPr>
    </w:p>
    <w:p w14:paraId="53A955E3"/>
    <w:p w14:paraId="09CED57A">
      <w:pPr>
        <w:pStyle w:val="2"/>
      </w:pPr>
    </w:p>
    <w:p w14:paraId="421D3467">
      <w:pPr>
        <w:pStyle w:val="3"/>
        <w:spacing w:line="360" w:lineRule="auto"/>
        <w:jc w:val="center"/>
        <w:rPr>
          <w:rFonts w:ascii="宋体" w:hAnsi="宋体"/>
          <w:snapToGrid w:val="0"/>
          <w:kern w:val="0"/>
        </w:rPr>
      </w:pPr>
      <w:r>
        <w:rPr>
          <w:rFonts w:ascii="宋体" w:hAnsi="宋体"/>
          <w:snapToGrid w:val="0"/>
          <w:kern w:val="0"/>
        </w:rPr>
        <w:t xml:space="preserve">第三章 </w:t>
      </w:r>
      <w:r>
        <w:rPr>
          <w:rFonts w:hint="eastAsia" w:ascii="宋体" w:hAnsi="宋体"/>
          <w:snapToGrid w:val="0"/>
          <w:kern w:val="0"/>
        </w:rPr>
        <w:t xml:space="preserve"> </w:t>
      </w:r>
      <w:r>
        <w:rPr>
          <w:rFonts w:ascii="宋体" w:hAnsi="宋体"/>
          <w:snapToGrid w:val="0"/>
          <w:kern w:val="0"/>
        </w:rPr>
        <w:t>评标办法（</w:t>
      </w:r>
      <w:r>
        <w:rPr>
          <w:rFonts w:hint="eastAsia" w:ascii="宋体" w:hAnsi="宋体"/>
          <w:snapToGrid w:val="0"/>
          <w:kern w:val="0"/>
        </w:rPr>
        <w:t>经评审的最低投标价法</w:t>
      </w:r>
      <w:r>
        <w:rPr>
          <w:rFonts w:ascii="宋体" w:hAnsi="宋体"/>
          <w:snapToGrid w:val="0"/>
          <w:kern w:val="0"/>
        </w:rPr>
        <w:t>）</w:t>
      </w:r>
      <w:bookmarkEnd w:id="393"/>
    </w:p>
    <w:p w14:paraId="3299B89D">
      <w:pPr>
        <w:keepNext/>
        <w:keepLines/>
        <w:spacing w:before="100" w:after="100" w:line="360" w:lineRule="auto"/>
        <w:outlineLvl w:val="1"/>
        <w:rPr>
          <w:rFonts w:ascii="宋体" w:hAnsi="宋体"/>
          <w:b/>
          <w:sz w:val="32"/>
          <w:szCs w:val="32"/>
        </w:rPr>
      </w:pPr>
      <w:bookmarkStart w:id="394" w:name="_Toc13155"/>
      <w:r>
        <w:rPr>
          <w:rFonts w:hint="eastAsia" w:ascii="宋体" w:hAnsi="宋体"/>
          <w:b/>
          <w:sz w:val="32"/>
          <w:szCs w:val="32"/>
        </w:rPr>
        <w:t>评标办法前附表</w:t>
      </w:r>
      <w:bookmarkEnd w:id="394"/>
    </w:p>
    <w:p w14:paraId="276B9BC9">
      <w:pPr>
        <w:spacing w:line="400" w:lineRule="exact"/>
        <w:ind w:firstLine="427" w:firstLineChars="196"/>
        <w:rPr>
          <w:rFonts w:ascii="宋体" w:hAnsi="宋体"/>
          <w:spacing w:val="4"/>
          <w:kern w:val="0"/>
          <w:szCs w:val="21"/>
        </w:rPr>
      </w:pPr>
      <w:bookmarkStart w:id="395" w:name="_Toc13210726"/>
      <w:r>
        <w:rPr>
          <w:rFonts w:ascii="宋体" w:hAnsi="宋体"/>
          <w:spacing w:val="4"/>
          <w:kern w:val="0"/>
          <w:szCs w:val="21"/>
        </w:rPr>
        <w:t>评标办法中的评审内容必须和投标人须知中的对应内容一致，若投标人须知中未作要求的内容，不得列入评标办法作为评定依据。</w:t>
      </w:r>
      <w:bookmarkEnd w:id="395"/>
    </w:p>
    <w:tbl>
      <w:tblPr>
        <w:tblStyle w:val="4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14:paraId="62A14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14:paraId="1CCA54C9">
            <w:pPr>
              <w:spacing w:line="400" w:lineRule="exact"/>
              <w:jc w:val="center"/>
              <w:rPr>
                <w:rFonts w:ascii="宋体" w:hAnsi="宋体"/>
                <w:b/>
                <w:kern w:val="0"/>
              </w:rPr>
            </w:pPr>
            <w:r>
              <w:rPr>
                <w:rFonts w:ascii="宋体" w:hAnsi="宋体"/>
                <w:b/>
                <w:kern w:val="0"/>
              </w:rPr>
              <w:t>条款号</w:t>
            </w:r>
          </w:p>
        </w:tc>
        <w:tc>
          <w:tcPr>
            <w:tcW w:w="1560" w:type="dxa"/>
            <w:tcBorders>
              <w:left w:val="single" w:color="auto" w:sz="4" w:space="0"/>
            </w:tcBorders>
            <w:vAlign w:val="center"/>
          </w:tcPr>
          <w:p w14:paraId="752C6873">
            <w:pPr>
              <w:spacing w:line="400" w:lineRule="exact"/>
              <w:jc w:val="center"/>
              <w:rPr>
                <w:rFonts w:ascii="宋体" w:hAnsi="宋体"/>
                <w:b/>
                <w:kern w:val="0"/>
              </w:rPr>
            </w:pPr>
            <w:r>
              <w:rPr>
                <w:rFonts w:ascii="宋体" w:hAnsi="宋体"/>
                <w:b/>
                <w:kern w:val="0"/>
              </w:rPr>
              <w:t>评审因素</w:t>
            </w:r>
          </w:p>
        </w:tc>
        <w:tc>
          <w:tcPr>
            <w:tcW w:w="6882" w:type="dxa"/>
            <w:gridSpan w:val="2"/>
            <w:vAlign w:val="center"/>
          </w:tcPr>
          <w:p w14:paraId="3961A80C">
            <w:pPr>
              <w:spacing w:line="400" w:lineRule="exact"/>
              <w:jc w:val="center"/>
              <w:rPr>
                <w:rFonts w:ascii="宋体" w:hAnsi="宋体"/>
                <w:b/>
                <w:kern w:val="0"/>
              </w:rPr>
            </w:pPr>
            <w:r>
              <w:rPr>
                <w:rFonts w:ascii="宋体" w:hAnsi="宋体"/>
                <w:b/>
                <w:kern w:val="0"/>
              </w:rPr>
              <w:t>评审标准</w:t>
            </w:r>
          </w:p>
        </w:tc>
      </w:tr>
      <w:tr w14:paraId="71C68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14:paraId="055F69D4">
            <w:pPr>
              <w:pStyle w:val="106"/>
              <w:spacing w:line="400" w:lineRule="exact"/>
              <w:ind w:firstLine="420"/>
              <w:rPr>
                <w:sz w:val="21"/>
                <w:szCs w:val="21"/>
              </w:rPr>
            </w:pPr>
            <w:r>
              <w:rPr>
                <w:sz w:val="21"/>
                <w:szCs w:val="21"/>
              </w:rPr>
              <w:t>1</w:t>
            </w:r>
          </w:p>
        </w:tc>
        <w:tc>
          <w:tcPr>
            <w:tcW w:w="1560" w:type="dxa"/>
            <w:tcBorders>
              <w:left w:val="single" w:color="auto" w:sz="4" w:space="0"/>
            </w:tcBorders>
            <w:vAlign w:val="center"/>
          </w:tcPr>
          <w:p w14:paraId="04775747">
            <w:pPr>
              <w:pStyle w:val="106"/>
              <w:spacing w:line="400" w:lineRule="exact"/>
              <w:ind w:firstLine="0" w:firstLineChars="0"/>
              <w:jc w:val="center"/>
              <w:rPr>
                <w:sz w:val="21"/>
                <w:szCs w:val="21"/>
              </w:rPr>
            </w:pPr>
            <w:r>
              <w:rPr>
                <w:rFonts w:hint="eastAsia"/>
                <w:sz w:val="21"/>
                <w:szCs w:val="21"/>
              </w:rPr>
              <w:t>评标办法</w:t>
            </w:r>
          </w:p>
        </w:tc>
        <w:tc>
          <w:tcPr>
            <w:tcW w:w="6882" w:type="dxa"/>
            <w:gridSpan w:val="2"/>
            <w:vAlign w:val="center"/>
          </w:tcPr>
          <w:p w14:paraId="2696C8CF">
            <w:pPr>
              <w:spacing w:line="400" w:lineRule="exact"/>
              <w:ind w:firstLine="427" w:firstLineChars="196"/>
              <w:rPr>
                <w:rFonts w:ascii="宋体" w:hAnsi="宋体"/>
                <w:spacing w:val="4"/>
                <w:kern w:val="0"/>
                <w:szCs w:val="21"/>
              </w:rPr>
            </w:pPr>
            <w:r>
              <w:rPr>
                <w:rFonts w:hint="eastAsia" w:ascii="宋体" w:hAnsi="宋体"/>
                <w:spacing w:val="4"/>
                <w:kern w:val="0"/>
                <w:szCs w:val="21"/>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则以投标文件递交时间优先为准。</w:t>
            </w:r>
          </w:p>
        </w:tc>
      </w:tr>
      <w:tr w14:paraId="50ECA2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11C80FE5">
            <w:pPr>
              <w:spacing w:line="400" w:lineRule="exact"/>
              <w:jc w:val="center"/>
              <w:rPr>
                <w:rFonts w:ascii="宋体" w:hAnsi="宋体"/>
                <w:kern w:val="0"/>
              </w:rPr>
            </w:pPr>
            <w:r>
              <w:rPr>
                <w:rFonts w:hint="eastAsia" w:ascii="宋体" w:hAnsi="宋体"/>
                <w:kern w:val="0"/>
              </w:rPr>
              <w:t>2.1</w:t>
            </w:r>
          </w:p>
        </w:tc>
        <w:tc>
          <w:tcPr>
            <w:tcW w:w="1560" w:type="dxa"/>
            <w:tcBorders>
              <w:left w:val="single" w:color="auto" w:sz="4" w:space="0"/>
              <w:right w:val="single" w:color="auto" w:sz="4" w:space="0"/>
            </w:tcBorders>
            <w:vAlign w:val="center"/>
          </w:tcPr>
          <w:p w14:paraId="504F7E90">
            <w:pPr>
              <w:spacing w:line="400" w:lineRule="exact"/>
              <w:jc w:val="center"/>
              <w:rPr>
                <w:rFonts w:ascii="宋体" w:hAnsi="宋体"/>
                <w:kern w:val="0"/>
              </w:rPr>
            </w:pPr>
            <w:r>
              <w:rPr>
                <w:rFonts w:ascii="宋体" w:hAnsi="宋体"/>
                <w:kern w:val="0"/>
              </w:rPr>
              <w:t>报价</w:t>
            </w:r>
            <w:r>
              <w:rPr>
                <w:rFonts w:hint="eastAsia" w:ascii="宋体" w:hAnsi="宋体"/>
                <w:kern w:val="0"/>
              </w:rPr>
              <w:t>排序</w:t>
            </w:r>
          </w:p>
        </w:tc>
        <w:tc>
          <w:tcPr>
            <w:tcW w:w="6882" w:type="dxa"/>
            <w:gridSpan w:val="2"/>
            <w:tcBorders>
              <w:left w:val="single" w:color="auto" w:sz="4" w:space="0"/>
            </w:tcBorders>
            <w:vAlign w:val="center"/>
          </w:tcPr>
          <w:p w14:paraId="6E0928FD">
            <w:pPr>
              <w:spacing w:line="400" w:lineRule="exact"/>
              <w:ind w:firstLine="420" w:firstLineChars="200"/>
              <w:jc w:val="left"/>
              <w:rPr>
                <w:rFonts w:ascii="宋体" w:hAnsi="宋体"/>
                <w:kern w:val="0"/>
              </w:rPr>
            </w:pPr>
            <w:r>
              <w:rPr>
                <w:rFonts w:hint="eastAsia" w:ascii="宋体" w:hAnsi="宋体"/>
                <w:kern w:val="0"/>
              </w:rPr>
              <w:t>对报价不高于最高限价的所有投标人的投标文件，按照报价由低到高的顺序排序。</w:t>
            </w:r>
          </w:p>
        </w:tc>
      </w:tr>
      <w:tr w14:paraId="69A2F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14:paraId="7416ADB4">
            <w:pPr>
              <w:spacing w:line="400" w:lineRule="exact"/>
              <w:jc w:val="center"/>
              <w:rPr>
                <w:rFonts w:ascii="宋体" w:hAnsi="宋体"/>
                <w:kern w:val="0"/>
              </w:rPr>
            </w:pPr>
            <w:r>
              <w:rPr>
                <w:rFonts w:hint="eastAsia" w:ascii="宋体" w:hAnsi="宋体"/>
                <w:kern w:val="0"/>
              </w:rPr>
              <w:t>2.2</w:t>
            </w:r>
          </w:p>
        </w:tc>
        <w:tc>
          <w:tcPr>
            <w:tcW w:w="1560" w:type="dxa"/>
            <w:tcBorders>
              <w:left w:val="single" w:color="auto" w:sz="4" w:space="0"/>
              <w:right w:val="single" w:color="auto" w:sz="4" w:space="0"/>
            </w:tcBorders>
            <w:vAlign w:val="center"/>
          </w:tcPr>
          <w:p w14:paraId="120F4740">
            <w:pPr>
              <w:spacing w:line="400" w:lineRule="exact"/>
              <w:jc w:val="center"/>
              <w:rPr>
                <w:rFonts w:ascii="宋体" w:hAnsi="宋体"/>
                <w:kern w:val="0"/>
              </w:rPr>
            </w:pPr>
            <w:r>
              <w:rPr>
                <w:rFonts w:hint="eastAsia" w:ascii="宋体" w:hAnsi="宋体"/>
                <w:kern w:val="0"/>
              </w:rPr>
              <w:t>符合性审查</w:t>
            </w:r>
          </w:p>
        </w:tc>
        <w:tc>
          <w:tcPr>
            <w:tcW w:w="6882" w:type="dxa"/>
            <w:gridSpan w:val="2"/>
            <w:tcBorders>
              <w:left w:val="single" w:color="auto" w:sz="4" w:space="0"/>
            </w:tcBorders>
            <w:vAlign w:val="center"/>
          </w:tcPr>
          <w:p w14:paraId="7A66EBA6">
            <w:pPr>
              <w:spacing w:line="400" w:lineRule="exact"/>
              <w:ind w:firstLine="420" w:firstLineChars="200"/>
              <w:jc w:val="left"/>
              <w:rPr>
                <w:rFonts w:ascii="宋体" w:hAnsi="宋体"/>
                <w:kern w:val="0"/>
              </w:rPr>
            </w:pPr>
            <w:r>
              <w:rPr>
                <w:rFonts w:hint="eastAsia" w:ascii="宋体" w:hAnsi="宋体"/>
                <w:kern w:val="0"/>
              </w:rPr>
              <w:t>取报价排序前3名（若实际投标人数量小于勾选数量，</w:t>
            </w:r>
            <w:r>
              <w:rPr>
                <w:rFonts w:hint="eastAsia" w:ascii="宋体" w:hAnsi="宋体"/>
                <w:spacing w:val="4"/>
                <w:kern w:val="0"/>
                <w:szCs w:val="21"/>
              </w:rPr>
              <w:t>则全部纳入）进行符合性审查。符合性审查内容：资格评审、形式评审、响应性评审、投标函部分及经济部分评审。符合性审查</w:t>
            </w:r>
            <w:r>
              <w:rPr>
                <w:rFonts w:hint="eastAsia" w:ascii="宋体" w:hAnsi="宋体"/>
                <w:kern w:val="0"/>
              </w:rPr>
              <w:t>合格的投标人中，报价最低的成为第一中标候选人，报价次低的成为第二中标候选人，依次类推。</w:t>
            </w:r>
          </w:p>
        </w:tc>
      </w:tr>
      <w:tr w14:paraId="251ACA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14:paraId="76B1F806">
            <w:pPr>
              <w:spacing w:line="400" w:lineRule="exact"/>
              <w:jc w:val="center"/>
              <w:rPr>
                <w:rFonts w:ascii="宋体" w:hAnsi="宋体" w:cs="宋体"/>
                <w:szCs w:val="21"/>
              </w:rPr>
            </w:pPr>
            <w:r>
              <w:rPr>
                <w:rFonts w:hint="eastAsia" w:ascii="宋体" w:hAnsi="宋体" w:cs="宋体"/>
                <w:szCs w:val="21"/>
              </w:rPr>
              <w:t>2.2.</w:t>
            </w:r>
            <w:r>
              <w:rPr>
                <w:rFonts w:ascii="宋体" w:hAnsi="宋体" w:cs="宋体"/>
                <w:szCs w:val="21"/>
              </w:rPr>
              <w:t>1</w:t>
            </w:r>
          </w:p>
        </w:tc>
        <w:tc>
          <w:tcPr>
            <w:tcW w:w="1560" w:type="dxa"/>
            <w:vMerge w:val="restart"/>
            <w:tcBorders>
              <w:left w:val="single" w:color="auto" w:sz="4" w:space="0"/>
              <w:right w:val="single" w:color="auto" w:sz="4" w:space="0"/>
            </w:tcBorders>
            <w:vAlign w:val="center"/>
          </w:tcPr>
          <w:p w14:paraId="6B9F611E">
            <w:pPr>
              <w:spacing w:line="400" w:lineRule="exact"/>
              <w:jc w:val="center"/>
              <w:rPr>
                <w:rFonts w:ascii="宋体" w:hAnsi="宋体"/>
                <w:kern w:val="0"/>
              </w:rPr>
            </w:pPr>
            <w:r>
              <w:rPr>
                <w:rFonts w:hint="eastAsia" w:ascii="宋体" w:hAnsi="宋体"/>
                <w:kern w:val="0"/>
              </w:rPr>
              <w:t>资格评审标准</w:t>
            </w:r>
          </w:p>
        </w:tc>
        <w:tc>
          <w:tcPr>
            <w:tcW w:w="2267" w:type="dxa"/>
            <w:tcBorders>
              <w:top w:val="single" w:color="auto" w:sz="4" w:space="0"/>
              <w:left w:val="single" w:color="auto" w:sz="4" w:space="0"/>
              <w:right w:val="single" w:color="auto" w:sz="4" w:space="0"/>
            </w:tcBorders>
            <w:vAlign w:val="center"/>
          </w:tcPr>
          <w:p w14:paraId="4D5622EA">
            <w:pPr>
              <w:snapToGrid w:val="0"/>
              <w:spacing w:line="400" w:lineRule="exact"/>
              <w:jc w:val="left"/>
              <w:rPr>
                <w:rFonts w:ascii="宋体" w:hAnsi="宋体" w:cs="宋体"/>
                <w:kern w:val="0"/>
              </w:rPr>
            </w:pPr>
            <w:r>
              <w:rPr>
                <w:rFonts w:hint="eastAsia" w:ascii="宋体" w:hAnsi="宋体" w:cs="宋体"/>
                <w:kern w:val="0"/>
              </w:rPr>
              <w:t>资质条件</w:t>
            </w:r>
          </w:p>
        </w:tc>
        <w:tc>
          <w:tcPr>
            <w:tcW w:w="4615" w:type="dxa"/>
            <w:tcBorders>
              <w:top w:val="single" w:color="auto" w:sz="4" w:space="0"/>
              <w:left w:val="single" w:color="auto" w:sz="4" w:space="0"/>
            </w:tcBorders>
            <w:vAlign w:val="center"/>
          </w:tcPr>
          <w:p w14:paraId="263D3F8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4A6CCB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19F19217">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B7C1694">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1E8A945A">
            <w:pPr>
              <w:snapToGrid w:val="0"/>
              <w:spacing w:line="400" w:lineRule="exact"/>
              <w:jc w:val="left"/>
              <w:rPr>
                <w:rFonts w:ascii="宋体" w:hAnsi="宋体" w:cs="宋体"/>
                <w:kern w:val="0"/>
              </w:rPr>
            </w:pPr>
            <w:r>
              <w:rPr>
                <w:rFonts w:hint="eastAsia" w:ascii="宋体" w:hAnsi="宋体" w:cs="宋体"/>
                <w:kern w:val="0"/>
              </w:rPr>
              <w:t>营业执照</w:t>
            </w:r>
          </w:p>
        </w:tc>
        <w:tc>
          <w:tcPr>
            <w:tcW w:w="4615" w:type="dxa"/>
            <w:tcBorders>
              <w:top w:val="single" w:color="auto" w:sz="4" w:space="0"/>
              <w:left w:val="single" w:color="auto" w:sz="4" w:space="0"/>
            </w:tcBorders>
            <w:vAlign w:val="center"/>
          </w:tcPr>
          <w:p w14:paraId="6E641E10">
            <w:pPr>
              <w:snapToGrid w:val="0"/>
              <w:spacing w:after="78" w:afterLines="25"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CA75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090EECCB">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3A891D06">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E2EC92F">
            <w:pPr>
              <w:snapToGrid w:val="0"/>
              <w:spacing w:line="400" w:lineRule="exact"/>
              <w:jc w:val="left"/>
              <w:rPr>
                <w:rFonts w:ascii="宋体" w:hAnsi="宋体" w:cs="宋体"/>
                <w:kern w:val="0"/>
              </w:rPr>
            </w:pPr>
            <w:r>
              <w:rPr>
                <w:rFonts w:hint="eastAsia" w:ascii="宋体" w:hAnsi="宋体" w:cs="宋体"/>
                <w:kern w:val="0"/>
              </w:rPr>
              <w:t>安全生产条件</w:t>
            </w:r>
          </w:p>
        </w:tc>
        <w:tc>
          <w:tcPr>
            <w:tcW w:w="4615" w:type="dxa"/>
            <w:tcBorders>
              <w:top w:val="single" w:color="auto" w:sz="4" w:space="0"/>
              <w:left w:val="single" w:color="auto" w:sz="4" w:space="0"/>
            </w:tcBorders>
            <w:vAlign w:val="center"/>
          </w:tcPr>
          <w:p w14:paraId="7770BABD">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44563C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8426541">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1E468307">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4DFD0F78">
            <w:pPr>
              <w:snapToGrid w:val="0"/>
              <w:spacing w:line="400" w:lineRule="exact"/>
              <w:jc w:val="left"/>
              <w:rPr>
                <w:rFonts w:ascii="宋体" w:hAnsi="宋体" w:cs="宋体"/>
                <w:kern w:val="0"/>
              </w:rPr>
            </w:pPr>
            <w:r>
              <w:rPr>
                <w:rFonts w:hint="eastAsia" w:ascii="宋体" w:hAnsi="宋体" w:cs="宋体"/>
                <w:kern w:val="0"/>
              </w:rPr>
              <w:t>□财务要求</w:t>
            </w:r>
          </w:p>
        </w:tc>
        <w:tc>
          <w:tcPr>
            <w:tcW w:w="4615" w:type="dxa"/>
            <w:tcBorders>
              <w:top w:val="single" w:color="auto" w:sz="4" w:space="0"/>
              <w:left w:val="single" w:color="auto" w:sz="4" w:space="0"/>
            </w:tcBorders>
            <w:vAlign w:val="center"/>
          </w:tcPr>
          <w:p w14:paraId="2B48837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3FFA70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0714413">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2F490A93">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336B5912">
            <w:pPr>
              <w:snapToGrid w:val="0"/>
              <w:spacing w:after="78" w:afterLines="25" w:line="400" w:lineRule="exact"/>
              <w:jc w:val="left"/>
              <w:rPr>
                <w:rFonts w:ascii="宋体" w:hAnsi="宋体" w:cs="宋体"/>
                <w:kern w:val="0"/>
              </w:rPr>
            </w:pPr>
            <w:r>
              <w:rPr>
                <w:rFonts w:hint="eastAsia" w:ascii="宋体" w:hAnsi="宋体" w:cs="宋体"/>
                <w:kern w:val="0"/>
              </w:rPr>
              <w:t>□业绩要求</w:t>
            </w:r>
          </w:p>
        </w:tc>
        <w:tc>
          <w:tcPr>
            <w:tcW w:w="4615" w:type="dxa"/>
            <w:tcBorders>
              <w:top w:val="single" w:color="auto" w:sz="4" w:space="0"/>
              <w:left w:val="single" w:color="auto" w:sz="4" w:space="0"/>
            </w:tcBorders>
            <w:vAlign w:val="center"/>
          </w:tcPr>
          <w:p w14:paraId="1EE809EE">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6B3CC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1D9FC43">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233FF384">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1BB570AB">
            <w:pPr>
              <w:snapToGrid w:val="0"/>
              <w:spacing w:after="78" w:afterLines="25" w:line="400" w:lineRule="exact"/>
              <w:jc w:val="left"/>
              <w:rPr>
                <w:rFonts w:ascii="宋体" w:hAnsi="宋体" w:cs="宋体"/>
                <w:kern w:val="0"/>
              </w:rPr>
            </w:pPr>
            <w:r>
              <w:rPr>
                <w:rFonts w:hint="eastAsia" w:ascii="宋体" w:hAnsi="宋体" w:cs="宋体"/>
                <w:szCs w:val="21"/>
              </w:rPr>
              <w:t>投标截止日投标资格情况</w:t>
            </w:r>
          </w:p>
        </w:tc>
        <w:tc>
          <w:tcPr>
            <w:tcW w:w="4615" w:type="dxa"/>
            <w:tcBorders>
              <w:top w:val="single" w:color="auto" w:sz="4" w:space="0"/>
              <w:left w:val="single" w:color="auto" w:sz="4" w:space="0"/>
            </w:tcBorders>
            <w:vAlign w:val="center"/>
          </w:tcPr>
          <w:p w14:paraId="2A7AB2FF">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425CA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25D13952">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435B9545">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039121AB">
            <w:pPr>
              <w:snapToGrid w:val="0"/>
              <w:spacing w:line="400" w:lineRule="exact"/>
              <w:jc w:val="left"/>
              <w:rPr>
                <w:rFonts w:ascii="宋体" w:hAnsi="宋体" w:cs="宋体"/>
                <w:kern w:val="0"/>
              </w:rPr>
            </w:pPr>
            <w:r>
              <w:rPr>
                <w:rFonts w:hint="eastAsia" w:ascii="宋体" w:hAnsi="宋体" w:cs="宋体"/>
                <w:kern w:val="0"/>
              </w:rPr>
              <w:t>项目经理资格要求</w:t>
            </w:r>
          </w:p>
        </w:tc>
        <w:tc>
          <w:tcPr>
            <w:tcW w:w="4615" w:type="dxa"/>
            <w:tcBorders>
              <w:top w:val="single" w:color="auto" w:sz="4" w:space="0"/>
              <w:left w:val="single" w:color="auto" w:sz="4" w:space="0"/>
            </w:tcBorders>
            <w:vAlign w:val="center"/>
          </w:tcPr>
          <w:p w14:paraId="3EA938EB">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符合第二章“投标人须知”第1.4.1项规定</w:t>
            </w:r>
          </w:p>
        </w:tc>
      </w:tr>
      <w:tr w14:paraId="222D6B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5D47D6F5">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2D1A39B2">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50B9879F">
            <w:pPr>
              <w:snapToGrid w:val="0"/>
              <w:spacing w:line="400" w:lineRule="exact"/>
              <w:jc w:val="left"/>
              <w:rPr>
                <w:rFonts w:ascii="宋体" w:hAnsi="宋体" w:cs="宋体"/>
                <w:kern w:val="0"/>
              </w:rPr>
            </w:pPr>
            <w:r>
              <w:rPr>
                <w:rFonts w:hint="eastAsia" w:ascii="宋体" w:hAnsi="宋体" w:cs="宋体"/>
                <w:kern w:val="0"/>
              </w:rPr>
              <w:t>其他要求</w:t>
            </w:r>
          </w:p>
        </w:tc>
        <w:tc>
          <w:tcPr>
            <w:tcW w:w="4615" w:type="dxa"/>
            <w:tcBorders>
              <w:top w:val="single" w:color="auto" w:sz="4" w:space="0"/>
              <w:left w:val="single" w:color="auto" w:sz="4" w:space="0"/>
            </w:tcBorders>
            <w:vAlign w:val="center"/>
          </w:tcPr>
          <w:p w14:paraId="5899D22D">
            <w:pPr>
              <w:snapToGrid w:val="0"/>
              <w:spacing w:line="400" w:lineRule="exact"/>
              <w:ind w:firstLine="420" w:firstLineChars="200"/>
              <w:rPr>
                <w:rFonts w:ascii="宋体" w:hAnsi="宋体" w:cs="宋体"/>
                <w:kern w:val="0"/>
                <w:u w:val="single"/>
              </w:rPr>
            </w:pPr>
            <w:r>
              <w:rPr>
                <w:rFonts w:hint="eastAsia" w:ascii="宋体" w:hAnsi="宋体" w:cs="宋体"/>
                <w:kern w:val="0"/>
              </w:rPr>
              <w:t>符合第二章“投标人须知”第1.4.1项规定</w:t>
            </w:r>
          </w:p>
        </w:tc>
      </w:tr>
      <w:tr w14:paraId="2D1E3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14:paraId="319CCCFF">
            <w:pPr>
              <w:spacing w:line="400" w:lineRule="exact"/>
              <w:jc w:val="center"/>
              <w:rPr>
                <w:rFonts w:ascii="宋体" w:hAnsi="宋体" w:cs="宋体"/>
                <w:szCs w:val="21"/>
              </w:rPr>
            </w:pPr>
          </w:p>
        </w:tc>
        <w:tc>
          <w:tcPr>
            <w:tcW w:w="1560" w:type="dxa"/>
            <w:vMerge w:val="continue"/>
            <w:tcBorders>
              <w:left w:val="single" w:color="auto" w:sz="4" w:space="0"/>
              <w:right w:val="single" w:color="auto" w:sz="4" w:space="0"/>
            </w:tcBorders>
            <w:vAlign w:val="center"/>
          </w:tcPr>
          <w:p w14:paraId="17460356">
            <w:pPr>
              <w:spacing w:line="400" w:lineRule="exact"/>
              <w:jc w:val="center"/>
              <w:rPr>
                <w:rFonts w:ascii="宋体" w:hAnsi="宋体"/>
                <w:kern w:val="0"/>
              </w:rPr>
            </w:pPr>
          </w:p>
        </w:tc>
        <w:tc>
          <w:tcPr>
            <w:tcW w:w="2267" w:type="dxa"/>
            <w:tcBorders>
              <w:top w:val="single" w:color="auto" w:sz="4" w:space="0"/>
              <w:left w:val="single" w:color="auto" w:sz="4" w:space="0"/>
              <w:right w:val="single" w:color="auto" w:sz="4" w:space="0"/>
            </w:tcBorders>
            <w:vAlign w:val="center"/>
          </w:tcPr>
          <w:p w14:paraId="74B1B487">
            <w:pPr>
              <w:snapToGrid w:val="0"/>
              <w:spacing w:line="400" w:lineRule="exact"/>
              <w:jc w:val="left"/>
              <w:rPr>
                <w:rFonts w:ascii="宋体" w:hAnsi="宋体" w:cs="宋体"/>
                <w:kern w:val="0"/>
              </w:rPr>
            </w:pPr>
            <w:r>
              <w:rPr>
                <w:rFonts w:hint="eastAsia" w:ascii="宋体" w:hAnsi="宋体" w:cs="宋体"/>
                <w:kern w:val="0"/>
              </w:rPr>
              <w:t>□联合体投标人</w:t>
            </w:r>
          </w:p>
        </w:tc>
        <w:tc>
          <w:tcPr>
            <w:tcW w:w="4615" w:type="dxa"/>
            <w:tcBorders>
              <w:top w:val="single" w:color="auto" w:sz="4" w:space="0"/>
              <w:left w:val="single" w:color="auto" w:sz="4" w:space="0"/>
            </w:tcBorders>
            <w:vAlign w:val="center"/>
          </w:tcPr>
          <w:p w14:paraId="2413F569">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符合第二章“投标人须知”第1.4.2项规定</w:t>
            </w:r>
          </w:p>
        </w:tc>
      </w:tr>
      <w:tr w14:paraId="73307E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14:paraId="438BE87D">
            <w:pPr>
              <w:spacing w:line="400" w:lineRule="exact"/>
              <w:jc w:val="center"/>
              <w:rPr>
                <w:rFonts w:ascii="宋体" w:hAnsi="宋体"/>
                <w:kern w:val="0"/>
              </w:rPr>
            </w:pPr>
            <w:r>
              <w:rPr>
                <w:rFonts w:ascii="宋体" w:hAnsi="宋体"/>
                <w:kern w:val="0"/>
              </w:rPr>
              <w:t>2.</w:t>
            </w:r>
            <w:r>
              <w:rPr>
                <w:rFonts w:hint="eastAsia" w:ascii="宋体" w:hAnsi="宋体"/>
                <w:kern w:val="0"/>
              </w:rPr>
              <w:t>2</w:t>
            </w:r>
            <w:r>
              <w:rPr>
                <w:rFonts w:ascii="宋体" w:hAnsi="宋体"/>
                <w:kern w:val="0"/>
              </w:rPr>
              <w:t>.2</w:t>
            </w:r>
          </w:p>
        </w:tc>
        <w:tc>
          <w:tcPr>
            <w:tcW w:w="1560" w:type="dxa"/>
            <w:vMerge w:val="restart"/>
            <w:tcBorders>
              <w:left w:val="single" w:color="auto" w:sz="4" w:space="0"/>
            </w:tcBorders>
            <w:vAlign w:val="center"/>
          </w:tcPr>
          <w:p w14:paraId="4E87620D">
            <w:pPr>
              <w:spacing w:line="400" w:lineRule="exact"/>
              <w:jc w:val="center"/>
              <w:rPr>
                <w:rFonts w:ascii="宋体" w:hAnsi="宋体"/>
                <w:kern w:val="0"/>
              </w:rPr>
            </w:pPr>
            <w:r>
              <w:rPr>
                <w:rFonts w:hint="eastAsia" w:ascii="宋体" w:hAnsi="宋体"/>
                <w:kern w:val="0"/>
              </w:rPr>
              <w:t>形式评审标准</w:t>
            </w:r>
          </w:p>
        </w:tc>
        <w:tc>
          <w:tcPr>
            <w:tcW w:w="2267" w:type="dxa"/>
            <w:tcBorders>
              <w:right w:val="single" w:color="auto" w:sz="4" w:space="0"/>
            </w:tcBorders>
            <w:vAlign w:val="center"/>
          </w:tcPr>
          <w:p w14:paraId="2410AEA8">
            <w:pPr>
              <w:spacing w:line="400" w:lineRule="exact"/>
              <w:jc w:val="left"/>
              <w:rPr>
                <w:rFonts w:ascii="宋体" w:hAnsi="宋体" w:cs="宋体"/>
                <w:kern w:val="0"/>
              </w:rPr>
            </w:pPr>
            <w:r>
              <w:rPr>
                <w:rFonts w:hint="eastAsia" w:ascii="宋体" w:hAnsi="宋体" w:cs="宋体"/>
                <w:kern w:val="0"/>
              </w:rPr>
              <w:t>投标人名称</w:t>
            </w:r>
          </w:p>
        </w:tc>
        <w:tc>
          <w:tcPr>
            <w:tcW w:w="4615" w:type="dxa"/>
            <w:tcBorders>
              <w:left w:val="single" w:color="auto" w:sz="4" w:space="0"/>
            </w:tcBorders>
            <w:vAlign w:val="center"/>
          </w:tcPr>
          <w:p w14:paraId="611C2041">
            <w:pPr>
              <w:snapToGrid w:val="0"/>
              <w:spacing w:line="400" w:lineRule="exact"/>
              <w:ind w:firstLine="420" w:firstLineChars="200"/>
              <w:rPr>
                <w:rFonts w:ascii="宋体" w:hAnsi="宋体" w:cs="宋体"/>
                <w:kern w:val="0"/>
              </w:rPr>
            </w:pPr>
            <w:r>
              <w:rPr>
                <w:rFonts w:hint="eastAsia" w:ascii="宋体" w:hAnsi="宋体" w:cs="宋体"/>
                <w:kern w:val="0"/>
              </w:rPr>
              <w:t>与营业执照、资质证书、安全生产许可证一致，依法变更名称的应提交相应证明材料。</w:t>
            </w:r>
          </w:p>
        </w:tc>
      </w:tr>
      <w:tr w14:paraId="08C42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2B0981F">
            <w:pPr>
              <w:spacing w:line="400" w:lineRule="exact"/>
              <w:jc w:val="center"/>
              <w:rPr>
                <w:rFonts w:ascii="宋体" w:hAnsi="宋体"/>
                <w:b/>
                <w:kern w:val="0"/>
              </w:rPr>
            </w:pPr>
          </w:p>
        </w:tc>
        <w:tc>
          <w:tcPr>
            <w:tcW w:w="1560" w:type="dxa"/>
            <w:vMerge w:val="continue"/>
            <w:tcBorders>
              <w:left w:val="single" w:color="auto" w:sz="4" w:space="0"/>
            </w:tcBorders>
            <w:vAlign w:val="center"/>
          </w:tcPr>
          <w:p w14:paraId="4001BA0F">
            <w:pPr>
              <w:spacing w:line="400" w:lineRule="exact"/>
              <w:jc w:val="center"/>
              <w:rPr>
                <w:rFonts w:ascii="宋体" w:hAnsi="宋体"/>
                <w:b/>
                <w:kern w:val="0"/>
              </w:rPr>
            </w:pPr>
          </w:p>
        </w:tc>
        <w:tc>
          <w:tcPr>
            <w:tcW w:w="2267" w:type="dxa"/>
            <w:tcBorders>
              <w:right w:val="single" w:color="auto" w:sz="4" w:space="0"/>
            </w:tcBorders>
            <w:vAlign w:val="center"/>
          </w:tcPr>
          <w:p w14:paraId="66A8C5A6">
            <w:pPr>
              <w:spacing w:line="400" w:lineRule="exact"/>
              <w:jc w:val="left"/>
              <w:rPr>
                <w:rFonts w:ascii="宋体" w:hAnsi="宋体" w:cs="宋体"/>
                <w:kern w:val="0"/>
              </w:rPr>
            </w:pPr>
            <w:r>
              <w:rPr>
                <w:rFonts w:hint="eastAsia" w:ascii="宋体" w:hAnsi="宋体" w:cs="宋体"/>
                <w:kern w:val="0"/>
              </w:rPr>
              <w:t>投标文件格式</w:t>
            </w:r>
          </w:p>
        </w:tc>
        <w:tc>
          <w:tcPr>
            <w:tcW w:w="4615" w:type="dxa"/>
            <w:tcBorders>
              <w:left w:val="single" w:color="auto" w:sz="4" w:space="0"/>
            </w:tcBorders>
            <w:vAlign w:val="center"/>
          </w:tcPr>
          <w:p w14:paraId="03AF65EE">
            <w:pPr>
              <w:snapToGrid w:val="0"/>
              <w:spacing w:line="400" w:lineRule="exact"/>
              <w:ind w:firstLine="380" w:firstLineChars="181"/>
              <w:rPr>
                <w:rFonts w:ascii="宋体" w:hAnsi="宋体" w:cs="宋体"/>
                <w:kern w:val="0"/>
              </w:rPr>
            </w:pPr>
            <w:r>
              <w:rPr>
                <w:rFonts w:hint="eastAsia" w:ascii="宋体" w:hAnsi="宋体" w:cs="宋体"/>
                <w:kern w:val="0"/>
              </w:rPr>
              <w:t>符合第二章“投标人须知”第3.7款的要求（不含投标函部分）。</w:t>
            </w:r>
          </w:p>
        </w:tc>
      </w:tr>
      <w:tr w14:paraId="4CC19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10" w:hRule="atLeast"/>
        </w:trPr>
        <w:tc>
          <w:tcPr>
            <w:tcW w:w="1243" w:type="dxa"/>
            <w:vMerge w:val="continue"/>
            <w:tcBorders>
              <w:right w:val="single" w:color="auto" w:sz="4" w:space="0"/>
            </w:tcBorders>
            <w:vAlign w:val="center"/>
          </w:tcPr>
          <w:p w14:paraId="4838DFE1">
            <w:pPr>
              <w:spacing w:line="400" w:lineRule="exact"/>
              <w:jc w:val="center"/>
              <w:rPr>
                <w:rFonts w:ascii="宋体" w:hAnsi="宋体"/>
                <w:b/>
                <w:kern w:val="0"/>
              </w:rPr>
            </w:pPr>
          </w:p>
        </w:tc>
        <w:tc>
          <w:tcPr>
            <w:tcW w:w="1560" w:type="dxa"/>
            <w:vMerge w:val="continue"/>
            <w:tcBorders>
              <w:left w:val="single" w:color="auto" w:sz="4" w:space="0"/>
            </w:tcBorders>
            <w:vAlign w:val="center"/>
          </w:tcPr>
          <w:p w14:paraId="45893F0D">
            <w:pPr>
              <w:spacing w:line="400" w:lineRule="exact"/>
              <w:jc w:val="center"/>
              <w:rPr>
                <w:rFonts w:ascii="宋体" w:hAnsi="宋体"/>
                <w:b/>
                <w:kern w:val="0"/>
              </w:rPr>
            </w:pPr>
          </w:p>
        </w:tc>
        <w:tc>
          <w:tcPr>
            <w:tcW w:w="2267" w:type="dxa"/>
            <w:tcBorders>
              <w:right w:val="single" w:color="auto" w:sz="4" w:space="0"/>
            </w:tcBorders>
            <w:vAlign w:val="center"/>
          </w:tcPr>
          <w:p w14:paraId="47EA8074">
            <w:pPr>
              <w:spacing w:line="400" w:lineRule="exact"/>
              <w:jc w:val="left"/>
              <w:rPr>
                <w:rFonts w:ascii="宋体" w:hAnsi="宋体" w:cs="宋体"/>
                <w:kern w:val="0"/>
              </w:rPr>
            </w:pPr>
            <w:r>
              <w:rPr>
                <w:rFonts w:hint="eastAsia" w:ascii="宋体" w:hAnsi="宋体" w:cs="宋体"/>
                <w:kern w:val="0"/>
              </w:rPr>
              <w:t>投标文件的签署</w:t>
            </w:r>
          </w:p>
        </w:tc>
        <w:tc>
          <w:tcPr>
            <w:tcW w:w="4615" w:type="dxa"/>
            <w:tcBorders>
              <w:left w:val="single" w:color="auto" w:sz="4" w:space="0"/>
            </w:tcBorders>
            <w:vAlign w:val="center"/>
          </w:tcPr>
          <w:p w14:paraId="6BE47C40">
            <w:pPr>
              <w:autoSpaceDE w:val="0"/>
              <w:autoSpaceDN w:val="0"/>
              <w:adjustRightInd w:val="0"/>
              <w:snapToGrid w:val="0"/>
              <w:spacing w:line="400" w:lineRule="exact"/>
              <w:ind w:firstLine="420" w:firstLineChars="200"/>
              <w:rPr>
                <w:rFonts w:ascii="宋体" w:hAnsi="宋体" w:cs="宋体"/>
                <w:kern w:val="0"/>
              </w:rPr>
            </w:pPr>
            <w:r>
              <w:rPr>
                <w:rFonts w:hint="eastAsia" w:ascii="宋体" w:hAnsi="宋体" w:cs="宋体"/>
                <w:kern w:val="0"/>
              </w:rPr>
              <w:t>第八章 投标文件格式（不含投标函部分）要求法定代表人或其委托代理人签字（或盖章）的须齐全。</w:t>
            </w:r>
          </w:p>
        </w:tc>
      </w:tr>
      <w:tr w14:paraId="13DF57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21724CA">
            <w:pPr>
              <w:spacing w:line="400" w:lineRule="exact"/>
              <w:jc w:val="center"/>
              <w:rPr>
                <w:rFonts w:ascii="宋体" w:hAnsi="宋体"/>
                <w:b/>
                <w:kern w:val="0"/>
              </w:rPr>
            </w:pPr>
          </w:p>
        </w:tc>
        <w:tc>
          <w:tcPr>
            <w:tcW w:w="1560" w:type="dxa"/>
            <w:vMerge w:val="continue"/>
            <w:tcBorders>
              <w:left w:val="single" w:color="auto" w:sz="4" w:space="0"/>
            </w:tcBorders>
            <w:vAlign w:val="center"/>
          </w:tcPr>
          <w:p w14:paraId="163FAC87">
            <w:pPr>
              <w:spacing w:line="400" w:lineRule="exact"/>
              <w:jc w:val="center"/>
              <w:rPr>
                <w:rFonts w:ascii="宋体" w:hAnsi="宋体"/>
                <w:b/>
                <w:kern w:val="0"/>
              </w:rPr>
            </w:pPr>
          </w:p>
        </w:tc>
        <w:tc>
          <w:tcPr>
            <w:tcW w:w="2267" w:type="dxa"/>
            <w:tcBorders>
              <w:right w:val="single" w:color="auto" w:sz="4" w:space="0"/>
            </w:tcBorders>
            <w:vAlign w:val="center"/>
          </w:tcPr>
          <w:p w14:paraId="7FD377FD">
            <w:pPr>
              <w:spacing w:line="400" w:lineRule="exact"/>
              <w:jc w:val="left"/>
              <w:rPr>
                <w:rFonts w:ascii="宋体" w:hAnsi="宋体" w:cs="宋体"/>
                <w:kern w:val="0"/>
              </w:rPr>
            </w:pPr>
            <w:r>
              <w:rPr>
                <w:rFonts w:hint="eastAsia" w:ascii="宋体" w:hAnsi="宋体" w:cs="宋体"/>
                <w:kern w:val="0"/>
              </w:rPr>
              <w:t>委托代理人</w:t>
            </w:r>
          </w:p>
        </w:tc>
        <w:tc>
          <w:tcPr>
            <w:tcW w:w="4615" w:type="dxa"/>
            <w:tcBorders>
              <w:left w:val="single" w:color="auto" w:sz="4" w:space="0"/>
            </w:tcBorders>
            <w:vAlign w:val="center"/>
          </w:tcPr>
          <w:p w14:paraId="32A592B1">
            <w:pPr>
              <w:snapToGrid w:val="0"/>
              <w:spacing w:after="78" w:afterLines="25" w:line="400" w:lineRule="exact"/>
              <w:ind w:firstLine="420" w:firstLineChars="200"/>
              <w:rPr>
                <w:rFonts w:ascii="宋体" w:hAnsi="宋体" w:cs="宋体"/>
                <w:kern w:val="0"/>
              </w:rPr>
            </w:pPr>
            <w:r>
              <w:rPr>
                <w:rFonts w:hint="eastAsia" w:ascii="宋体" w:hAnsi="宋体" w:cs="宋体"/>
                <w:kern w:val="0"/>
              </w:rPr>
              <w:t>投标人法定代表人的委托代理人有法定代表人签署的授权委托书和投标人为其缴纳的养老保险。</w:t>
            </w:r>
          </w:p>
        </w:tc>
      </w:tr>
      <w:tr w14:paraId="7820A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7DAA2F1A">
            <w:pPr>
              <w:spacing w:line="400" w:lineRule="exact"/>
              <w:jc w:val="center"/>
              <w:rPr>
                <w:rFonts w:ascii="宋体" w:hAnsi="宋体"/>
                <w:kern w:val="0"/>
              </w:rPr>
            </w:pPr>
            <w:r>
              <w:rPr>
                <w:rFonts w:hint="eastAsia" w:ascii="宋体" w:hAnsi="宋体"/>
                <w:kern w:val="0"/>
              </w:rPr>
              <w:t>2.2.4</w:t>
            </w:r>
          </w:p>
        </w:tc>
        <w:tc>
          <w:tcPr>
            <w:tcW w:w="1560" w:type="dxa"/>
            <w:vMerge w:val="restart"/>
            <w:tcBorders>
              <w:top w:val="single" w:color="auto" w:sz="4" w:space="0"/>
              <w:left w:val="single" w:color="auto" w:sz="4" w:space="0"/>
            </w:tcBorders>
            <w:vAlign w:val="center"/>
          </w:tcPr>
          <w:p w14:paraId="46BCD108">
            <w:pPr>
              <w:spacing w:line="400" w:lineRule="exact"/>
              <w:jc w:val="center"/>
              <w:rPr>
                <w:rFonts w:ascii="宋体" w:hAnsi="宋体"/>
                <w:kern w:val="0"/>
              </w:rPr>
            </w:pPr>
            <w:r>
              <w:rPr>
                <w:rFonts w:ascii="宋体" w:hAnsi="宋体"/>
                <w:kern w:val="0"/>
              </w:rPr>
              <w:t>响应性评审标准</w:t>
            </w:r>
          </w:p>
        </w:tc>
        <w:tc>
          <w:tcPr>
            <w:tcW w:w="2267" w:type="dxa"/>
            <w:tcBorders>
              <w:right w:val="single" w:color="auto" w:sz="4" w:space="0"/>
            </w:tcBorders>
            <w:vAlign w:val="center"/>
          </w:tcPr>
          <w:p w14:paraId="03E0B93E">
            <w:pPr>
              <w:snapToGrid w:val="0"/>
              <w:spacing w:line="400" w:lineRule="exact"/>
              <w:jc w:val="left"/>
              <w:rPr>
                <w:rFonts w:ascii="宋体" w:hAnsi="宋体" w:cs="宋体"/>
                <w:kern w:val="0"/>
              </w:rPr>
            </w:pPr>
            <w:r>
              <w:rPr>
                <w:rFonts w:hint="eastAsia" w:ascii="宋体" w:hAnsi="宋体" w:cs="宋体"/>
                <w:kern w:val="0"/>
              </w:rPr>
              <w:t>投标内容</w:t>
            </w:r>
          </w:p>
        </w:tc>
        <w:tc>
          <w:tcPr>
            <w:tcW w:w="4615" w:type="dxa"/>
            <w:tcBorders>
              <w:left w:val="single" w:color="auto" w:sz="4" w:space="0"/>
            </w:tcBorders>
            <w:vAlign w:val="center"/>
          </w:tcPr>
          <w:p w14:paraId="07B3A350">
            <w:pPr>
              <w:snapToGrid w:val="0"/>
              <w:spacing w:line="400" w:lineRule="exact"/>
              <w:ind w:firstLine="420" w:firstLineChars="200"/>
              <w:rPr>
                <w:rFonts w:ascii="宋体" w:hAnsi="宋体" w:cs="宋体"/>
                <w:kern w:val="0"/>
              </w:rPr>
            </w:pPr>
            <w:r>
              <w:rPr>
                <w:rFonts w:hint="eastAsia" w:ascii="宋体" w:hAnsi="宋体" w:cs="宋体"/>
                <w:kern w:val="0"/>
              </w:rPr>
              <w:t>符合第二章“投标人须知”第1.3.1项规定</w:t>
            </w:r>
          </w:p>
        </w:tc>
      </w:tr>
      <w:tr w14:paraId="565F3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1B360A2">
            <w:pPr>
              <w:spacing w:line="400" w:lineRule="exact"/>
              <w:jc w:val="center"/>
              <w:rPr>
                <w:rFonts w:ascii="宋体" w:hAnsi="宋体"/>
                <w:kern w:val="0"/>
              </w:rPr>
            </w:pPr>
          </w:p>
        </w:tc>
        <w:tc>
          <w:tcPr>
            <w:tcW w:w="1560" w:type="dxa"/>
            <w:vMerge w:val="continue"/>
            <w:tcBorders>
              <w:left w:val="single" w:color="auto" w:sz="4" w:space="0"/>
            </w:tcBorders>
            <w:vAlign w:val="center"/>
          </w:tcPr>
          <w:p w14:paraId="511929E3">
            <w:pPr>
              <w:spacing w:line="400" w:lineRule="exact"/>
              <w:jc w:val="center"/>
              <w:rPr>
                <w:rFonts w:ascii="宋体" w:hAnsi="宋体"/>
                <w:kern w:val="0"/>
              </w:rPr>
            </w:pPr>
          </w:p>
        </w:tc>
        <w:tc>
          <w:tcPr>
            <w:tcW w:w="2267" w:type="dxa"/>
            <w:tcBorders>
              <w:right w:val="single" w:color="auto" w:sz="4" w:space="0"/>
            </w:tcBorders>
            <w:vAlign w:val="center"/>
          </w:tcPr>
          <w:p w14:paraId="38382AA5">
            <w:pPr>
              <w:spacing w:line="400" w:lineRule="exact"/>
              <w:jc w:val="left"/>
              <w:rPr>
                <w:rFonts w:ascii="宋体" w:hAnsi="宋体" w:cs="宋体"/>
                <w:kern w:val="0"/>
              </w:rPr>
            </w:pPr>
            <w:r>
              <w:rPr>
                <w:rFonts w:hint="eastAsia" w:ascii="宋体" w:hAnsi="宋体" w:cs="宋体"/>
                <w:kern w:val="0"/>
              </w:rPr>
              <w:t>投标保证金</w:t>
            </w:r>
          </w:p>
        </w:tc>
        <w:tc>
          <w:tcPr>
            <w:tcW w:w="4615" w:type="dxa"/>
            <w:tcBorders>
              <w:left w:val="single" w:color="auto" w:sz="4" w:space="0"/>
            </w:tcBorders>
            <w:vAlign w:val="center"/>
          </w:tcPr>
          <w:p w14:paraId="6936B757">
            <w:pPr>
              <w:tabs>
                <w:tab w:val="left" w:pos="611"/>
                <w:tab w:val="left" w:pos="669"/>
              </w:tabs>
              <w:snapToGrid w:val="0"/>
              <w:spacing w:line="400" w:lineRule="exact"/>
              <w:ind w:firstLine="420" w:firstLineChars="200"/>
              <w:rPr>
                <w:rFonts w:ascii="宋体" w:hAnsi="宋体" w:cs="宋体"/>
                <w:kern w:val="0"/>
              </w:rPr>
            </w:pPr>
            <w:r>
              <w:rPr>
                <w:rFonts w:hint="eastAsia" w:ascii="宋体" w:hAnsi="宋体" w:cs="宋体"/>
                <w:kern w:val="0"/>
              </w:rPr>
              <w:t>符合第二章“投标人须知前附表”第3.4款规定。</w:t>
            </w:r>
          </w:p>
        </w:tc>
      </w:tr>
      <w:tr w14:paraId="3D153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E88405F">
            <w:pPr>
              <w:spacing w:line="400" w:lineRule="exact"/>
              <w:jc w:val="center"/>
              <w:rPr>
                <w:rFonts w:ascii="宋体" w:hAnsi="宋体"/>
                <w:kern w:val="0"/>
              </w:rPr>
            </w:pPr>
          </w:p>
        </w:tc>
        <w:tc>
          <w:tcPr>
            <w:tcW w:w="1560" w:type="dxa"/>
            <w:vMerge w:val="continue"/>
            <w:tcBorders>
              <w:left w:val="single" w:color="auto" w:sz="4" w:space="0"/>
            </w:tcBorders>
            <w:vAlign w:val="center"/>
          </w:tcPr>
          <w:p w14:paraId="55333AFD">
            <w:pPr>
              <w:spacing w:line="400" w:lineRule="exact"/>
              <w:jc w:val="center"/>
              <w:rPr>
                <w:rFonts w:ascii="宋体" w:hAnsi="宋体"/>
                <w:kern w:val="0"/>
              </w:rPr>
            </w:pPr>
          </w:p>
        </w:tc>
        <w:tc>
          <w:tcPr>
            <w:tcW w:w="2267" w:type="dxa"/>
            <w:tcBorders>
              <w:right w:val="single" w:color="auto" w:sz="4" w:space="0"/>
            </w:tcBorders>
            <w:vAlign w:val="center"/>
          </w:tcPr>
          <w:p w14:paraId="424FF8CD">
            <w:pPr>
              <w:snapToGrid w:val="0"/>
              <w:spacing w:line="400" w:lineRule="exact"/>
              <w:jc w:val="left"/>
              <w:rPr>
                <w:rFonts w:ascii="宋体" w:hAnsi="宋体" w:cs="宋体"/>
                <w:kern w:val="0"/>
              </w:rPr>
            </w:pPr>
            <w:r>
              <w:rPr>
                <w:rFonts w:hint="eastAsia" w:ascii="宋体" w:hAnsi="宋体" w:cs="宋体"/>
                <w:kern w:val="0"/>
              </w:rPr>
              <w:t>权利义务</w:t>
            </w:r>
          </w:p>
        </w:tc>
        <w:tc>
          <w:tcPr>
            <w:tcW w:w="4615" w:type="dxa"/>
            <w:tcBorders>
              <w:left w:val="single" w:color="auto" w:sz="4" w:space="0"/>
            </w:tcBorders>
            <w:vAlign w:val="center"/>
          </w:tcPr>
          <w:p w14:paraId="4AF64B60">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符合第四章“合同条款及格式”规定，投标文件不应附有采购人不能接受的条件。</w:t>
            </w:r>
          </w:p>
        </w:tc>
      </w:tr>
      <w:tr w14:paraId="27572C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7E10EFD5">
            <w:pPr>
              <w:spacing w:line="400" w:lineRule="exact"/>
              <w:jc w:val="center"/>
              <w:rPr>
                <w:rFonts w:ascii="宋体" w:hAnsi="宋体"/>
                <w:kern w:val="0"/>
              </w:rPr>
            </w:pPr>
          </w:p>
        </w:tc>
        <w:tc>
          <w:tcPr>
            <w:tcW w:w="1560" w:type="dxa"/>
            <w:vMerge w:val="continue"/>
            <w:tcBorders>
              <w:left w:val="single" w:color="auto" w:sz="4" w:space="0"/>
            </w:tcBorders>
            <w:vAlign w:val="center"/>
          </w:tcPr>
          <w:p w14:paraId="361E415A">
            <w:pPr>
              <w:spacing w:line="400" w:lineRule="exact"/>
              <w:jc w:val="center"/>
              <w:rPr>
                <w:rFonts w:ascii="宋体" w:hAnsi="宋体"/>
                <w:kern w:val="0"/>
              </w:rPr>
            </w:pPr>
          </w:p>
        </w:tc>
        <w:tc>
          <w:tcPr>
            <w:tcW w:w="2267" w:type="dxa"/>
            <w:tcBorders>
              <w:right w:val="single" w:color="auto" w:sz="4" w:space="0"/>
            </w:tcBorders>
            <w:vAlign w:val="center"/>
          </w:tcPr>
          <w:p w14:paraId="1F8102F9">
            <w:pPr>
              <w:snapToGrid w:val="0"/>
              <w:spacing w:line="400" w:lineRule="exact"/>
              <w:jc w:val="left"/>
              <w:rPr>
                <w:rFonts w:ascii="宋体" w:hAnsi="宋体" w:cs="宋体"/>
                <w:kern w:val="0"/>
              </w:rPr>
            </w:pPr>
            <w:r>
              <w:rPr>
                <w:rFonts w:hint="eastAsia" w:ascii="宋体" w:hAnsi="宋体" w:cs="宋体"/>
                <w:kern w:val="0"/>
              </w:rPr>
              <w:t>技术标准和要求</w:t>
            </w:r>
          </w:p>
        </w:tc>
        <w:tc>
          <w:tcPr>
            <w:tcW w:w="4615" w:type="dxa"/>
            <w:tcBorders>
              <w:left w:val="single" w:color="auto" w:sz="4" w:space="0"/>
            </w:tcBorders>
            <w:vAlign w:val="center"/>
          </w:tcPr>
          <w:p w14:paraId="4D909759">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符合第七章“技术标准和要求”规定。（由投标人承诺，承诺书格式详见第八章投标文件格式。）</w:t>
            </w:r>
          </w:p>
        </w:tc>
      </w:tr>
      <w:tr w14:paraId="21EF6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14:paraId="36B639DB">
            <w:pPr>
              <w:spacing w:line="400" w:lineRule="exact"/>
              <w:jc w:val="center"/>
              <w:rPr>
                <w:rFonts w:ascii="宋体" w:hAnsi="宋体"/>
                <w:kern w:val="0"/>
              </w:rPr>
            </w:pPr>
          </w:p>
        </w:tc>
        <w:tc>
          <w:tcPr>
            <w:tcW w:w="1560" w:type="dxa"/>
            <w:vMerge w:val="continue"/>
            <w:tcBorders>
              <w:left w:val="single" w:color="auto" w:sz="4" w:space="0"/>
              <w:bottom w:val="single" w:color="auto" w:sz="4" w:space="0"/>
            </w:tcBorders>
            <w:vAlign w:val="center"/>
          </w:tcPr>
          <w:p w14:paraId="798D8635">
            <w:pPr>
              <w:spacing w:line="400" w:lineRule="exact"/>
              <w:jc w:val="center"/>
              <w:rPr>
                <w:rFonts w:ascii="宋体" w:hAnsi="宋体"/>
                <w:kern w:val="0"/>
              </w:rPr>
            </w:pPr>
          </w:p>
        </w:tc>
        <w:tc>
          <w:tcPr>
            <w:tcW w:w="2267" w:type="dxa"/>
            <w:tcBorders>
              <w:right w:val="single" w:color="auto" w:sz="4" w:space="0"/>
            </w:tcBorders>
            <w:vAlign w:val="center"/>
          </w:tcPr>
          <w:p w14:paraId="33DD599E">
            <w:pPr>
              <w:snapToGrid w:val="0"/>
              <w:spacing w:line="400" w:lineRule="exact"/>
              <w:jc w:val="left"/>
              <w:rPr>
                <w:rFonts w:ascii="宋体" w:hAnsi="宋体" w:cs="宋体"/>
                <w:kern w:val="0"/>
              </w:rPr>
            </w:pPr>
            <w:r>
              <w:rPr>
                <w:rFonts w:hint="eastAsia" w:ascii="宋体" w:hAnsi="宋体" w:cs="宋体"/>
                <w:kern w:val="0"/>
              </w:rPr>
              <w:t>实质性要求</w:t>
            </w:r>
          </w:p>
        </w:tc>
        <w:tc>
          <w:tcPr>
            <w:tcW w:w="4615" w:type="dxa"/>
            <w:tcBorders>
              <w:left w:val="single" w:color="auto" w:sz="4" w:space="0"/>
            </w:tcBorders>
            <w:vAlign w:val="center"/>
          </w:tcPr>
          <w:p w14:paraId="1434314F">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符合第二章“投标人须知”第1.4.3项规定。</w:t>
            </w:r>
          </w:p>
          <w:p w14:paraId="7D3A6E7A">
            <w:pPr>
              <w:snapToGrid w:val="0"/>
              <w:spacing w:after="31" w:afterLines="10" w:line="400" w:lineRule="exact"/>
              <w:ind w:firstLine="420" w:firstLineChars="200"/>
              <w:rPr>
                <w:rFonts w:ascii="宋体" w:hAnsi="宋体" w:cs="宋体"/>
                <w:kern w:val="0"/>
              </w:rPr>
            </w:pPr>
            <w:r>
              <w:rPr>
                <w:rFonts w:hint="eastAsia" w:ascii="宋体" w:hAnsi="宋体" w:cs="宋体"/>
                <w:kern w:val="0"/>
              </w:rPr>
              <w:t>本次投标不得有串通投标、弄虚作假等其他违反招投标相关法律、法规行为。</w:t>
            </w:r>
          </w:p>
          <w:p w14:paraId="3C540B8D">
            <w:pPr>
              <w:snapToGrid w:val="0"/>
              <w:spacing w:after="31" w:afterLines="10" w:line="400" w:lineRule="exact"/>
              <w:ind w:firstLine="420" w:firstLineChars="200"/>
              <w:rPr>
                <w:rFonts w:ascii="宋体" w:hAnsi="宋体" w:cs="宋体"/>
                <w:kern w:val="0"/>
              </w:rPr>
            </w:pPr>
            <w:r>
              <w:rPr>
                <w:rFonts w:hint="eastAsia" w:ascii="宋体" w:hAnsi="宋体" w:cs="宋体"/>
                <w:kern w:val="0"/>
              </w:rPr>
              <w:t>按评标委员会要求澄清、说明或补正。</w:t>
            </w:r>
          </w:p>
        </w:tc>
      </w:tr>
      <w:tr w14:paraId="78C6AB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14:paraId="3DDAEFBB">
            <w:pPr>
              <w:spacing w:line="400" w:lineRule="exact"/>
              <w:jc w:val="center"/>
              <w:rPr>
                <w:rFonts w:ascii="宋体" w:hAnsi="宋体"/>
                <w:kern w:val="0"/>
              </w:rPr>
            </w:pPr>
            <w:r>
              <w:rPr>
                <w:rFonts w:hint="eastAsia" w:ascii="宋体" w:hAnsi="宋体"/>
                <w:kern w:val="0"/>
              </w:rPr>
              <w:t>2.2.5</w:t>
            </w:r>
          </w:p>
        </w:tc>
        <w:tc>
          <w:tcPr>
            <w:tcW w:w="1560" w:type="dxa"/>
            <w:vMerge w:val="restart"/>
            <w:tcBorders>
              <w:top w:val="single" w:color="auto" w:sz="4" w:space="0"/>
              <w:left w:val="single" w:color="auto" w:sz="4" w:space="0"/>
            </w:tcBorders>
            <w:vAlign w:val="center"/>
          </w:tcPr>
          <w:p w14:paraId="6C7AB336">
            <w:pPr>
              <w:spacing w:line="400" w:lineRule="exact"/>
              <w:jc w:val="center"/>
              <w:rPr>
                <w:rFonts w:ascii="宋体" w:hAnsi="宋体"/>
                <w:kern w:val="0"/>
              </w:rPr>
            </w:pPr>
            <w:r>
              <w:rPr>
                <w:rFonts w:hint="eastAsia" w:ascii="宋体" w:hAnsi="宋体"/>
                <w:kern w:val="0"/>
              </w:rPr>
              <w:t>投标函部分及经济部分评审标准</w:t>
            </w:r>
          </w:p>
        </w:tc>
        <w:tc>
          <w:tcPr>
            <w:tcW w:w="2267" w:type="dxa"/>
            <w:tcBorders>
              <w:right w:val="single" w:color="auto" w:sz="4" w:space="0"/>
            </w:tcBorders>
            <w:vAlign w:val="center"/>
          </w:tcPr>
          <w:p w14:paraId="48ABE45F">
            <w:pPr>
              <w:snapToGrid w:val="0"/>
              <w:spacing w:line="400" w:lineRule="exact"/>
              <w:jc w:val="left"/>
              <w:rPr>
                <w:rFonts w:ascii="宋体" w:hAnsi="宋体" w:cs="宋体"/>
                <w:kern w:val="0"/>
              </w:rPr>
            </w:pPr>
            <w:r>
              <w:rPr>
                <w:rFonts w:hint="eastAsia" w:ascii="宋体" w:hAnsi="宋体" w:cs="宋体"/>
                <w:kern w:val="0"/>
              </w:rPr>
              <w:t>投标函部分的格式</w:t>
            </w:r>
          </w:p>
        </w:tc>
        <w:tc>
          <w:tcPr>
            <w:tcW w:w="4615" w:type="dxa"/>
            <w:tcBorders>
              <w:left w:val="single" w:color="auto" w:sz="4" w:space="0"/>
            </w:tcBorders>
            <w:vAlign w:val="center"/>
          </w:tcPr>
          <w:p w14:paraId="656DC746">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符合第二章“投标人须知”第3.7款的要求。</w:t>
            </w:r>
          </w:p>
        </w:tc>
      </w:tr>
      <w:tr w14:paraId="72764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48F03A6">
            <w:pPr>
              <w:spacing w:line="400" w:lineRule="exact"/>
              <w:jc w:val="center"/>
              <w:rPr>
                <w:rFonts w:ascii="宋体" w:hAnsi="宋体"/>
                <w:kern w:val="0"/>
              </w:rPr>
            </w:pPr>
          </w:p>
        </w:tc>
        <w:tc>
          <w:tcPr>
            <w:tcW w:w="1560" w:type="dxa"/>
            <w:vMerge w:val="continue"/>
            <w:tcBorders>
              <w:left w:val="single" w:color="auto" w:sz="4" w:space="0"/>
            </w:tcBorders>
            <w:vAlign w:val="center"/>
          </w:tcPr>
          <w:p w14:paraId="5FF63B97">
            <w:pPr>
              <w:spacing w:line="400" w:lineRule="exact"/>
              <w:jc w:val="center"/>
              <w:rPr>
                <w:rFonts w:ascii="宋体" w:hAnsi="宋体"/>
                <w:kern w:val="0"/>
              </w:rPr>
            </w:pPr>
          </w:p>
        </w:tc>
        <w:tc>
          <w:tcPr>
            <w:tcW w:w="2267" w:type="dxa"/>
            <w:tcBorders>
              <w:right w:val="single" w:color="auto" w:sz="4" w:space="0"/>
            </w:tcBorders>
            <w:vAlign w:val="center"/>
          </w:tcPr>
          <w:p w14:paraId="5857E067">
            <w:pPr>
              <w:snapToGrid w:val="0"/>
              <w:spacing w:line="400" w:lineRule="exact"/>
              <w:jc w:val="left"/>
              <w:rPr>
                <w:rFonts w:ascii="宋体" w:hAnsi="宋体" w:cs="宋体"/>
                <w:kern w:val="0"/>
              </w:rPr>
            </w:pPr>
            <w:r>
              <w:rPr>
                <w:rFonts w:hint="eastAsia" w:ascii="宋体" w:hAnsi="宋体" w:cs="宋体"/>
                <w:kern w:val="0"/>
              </w:rPr>
              <w:t>投标函部分的签字盖章</w:t>
            </w:r>
          </w:p>
        </w:tc>
        <w:tc>
          <w:tcPr>
            <w:tcW w:w="4615" w:type="dxa"/>
            <w:tcBorders>
              <w:left w:val="single" w:color="auto" w:sz="4" w:space="0"/>
            </w:tcBorders>
            <w:vAlign w:val="center"/>
          </w:tcPr>
          <w:p w14:paraId="0EA2FA49">
            <w:pPr>
              <w:snapToGrid w:val="0"/>
              <w:spacing w:after="31" w:afterLines="10" w:line="400" w:lineRule="exact"/>
              <w:ind w:firstLine="420" w:firstLineChars="200"/>
              <w:rPr>
                <w:rFonts w:ascii="宋体" w:hAnsi="宋体" w:cs="宋体"/>
                <w:kern w:val="0"/>
              </w:rPr>
            </w:pPr>
            <w:r>
              <w:rPr>
                <w:rFonts w:hint="eastAsia" w:ascii="宋体" w:hAnsi="宋体" w:cs="宋体"/>
                <w:kern w:val="0"/>
              </w:rPr>
              <w:t>投标函部分的格式要求法定代表人或其委托代理人签字（或盖章）的须齐全。</w:t>
            </w:r>
          </w:p>
        </w:tc>
      </w:tr>
      <w:tr w14:paraId="55F9FD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0B75E668">
            <w:pPr>
              <w:spacing w:line="400" w:lineRule="exact"/>
              <w:jc w:val="center"/>
              <w:rPr>
                <w:rFonts w:ascii="宋体" w:hAnsi="宋体"/>
                <w:kern w:val="0"/>
              </w:rPr>
            </w:pPr>
          </w:p>
        </w:tc>
        <w:tc>
          <w:tcPr>
            <w:tcW w:w="1560" w:type="dxa"/>
            <w:vMerge w:val="continue"/>
            <w:tcBorders>
              <w:left w:val="single" w:color="auto" w:sz="4" w:space="0"/>
            </w:tcBorders>
            <w:vAlign w:val="center"/>
          </w:tcPr>
          <w:p w14:paraId="636C9197">
            <w:pPr>
              <w:spacing w:line="400" w:lineRule="exact"/>
              <w:jc w:val="center"/>
              <w:rPr>
                <w:rFonts w:ascii="宋体" w:hAnsi="宋体"/>
                <w:kern w:val="0"/>
              </w:rPr>
            </w:pPr>
          </w:p>
        </w:tc>
        <w:tc>
          <w:tcPr>
            <w:tcW w:w="2267" w:type="dxa"/>
            <w:tcBorders>
              <w:right w:val="single" w:color="auto" w:sz="4" w:space="0"/>
            </w:tcBorders>
            <w:vAlign w:val="center"/>
          </w:tcPr>
          <w:p w14:paraId="68EC347B">
            <w:pPr>
              <w:snapToGrid w:val="0"/>
              <w:spacing w:line="400" w:lineRule="exact"/>
              <w:jc w:val="left"/>
              <w:rPr>
                <w:rFonts w:ascii="宋体" w:hAnsi="宋体" w:cs="宋体"/>
                <w:kern w:val="0"/>
              </w:rPr>
            </w:pPr>
            <w:r>
              <w:rPr>
                <w:rFonts w:hint="eastAsia" w:ascii="宋体" w:hAnsi="宋体" w:cs="宋体"/>
                <w:kern w:val="0"/>
              </w:rPr>
              <w:t>工期</w:t>
            </w:r>
          </w:p>
        </w:tc>
        <w:tc>
          <w:tcPr>
            <w:tcW w:w="4615" w:type="dxa"/>
            <w:tcBorders>
              <w:left w:val="single" w:color="auto" w:sz="4" w:space="0"/>
            </w:tcBorders>
            <w:vAlign w:val="center"/>
          </w:tcPr>
          <w:p w14:paraId="0FF21774">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符合第二章“投标人须知”第1.3.2项规定</w:t>
            </w:r>
          </w:p>
        </w:tc>
      </w:tr>
      <w:tr w14:paraId="75B8E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1CE2D7DC">
            <w:pPr>
              <w:spacing w:line="400" w:lineRule="exact"/>
              <w:jc w:val="center"/>
              <w:rPr>
                <w:rFonts w:ascii="宋体" w:hAnsi="宋体"/>
                <w:kern w:val="0"/>
              </w:rPr>
            </w:pPr>
          </w:p>
        </w:tc>
        <w:tc>
          <w:tcPr>
            <w:tcW w:w="1560" w:type="dxa"/>
            <w:vMerge w:val="continue"/>
            <w:tcBorders>
              <w:left w:val="single" w:color="auto" w:sz="4" w:space="0"/>
            </w:tcBorders>
            <w:vAlign w:val="center"/>
          </w:tcPr>
          <w:p w14:paraId="58789306">
            <w:pPr>
              <w:spacing w:line="400" w:lineRule="exact"/>
              <w:jc w:val="center"/>
              <w:rPr>
                <w:rFonts w:ascii="宋体" w:hAnsi="宋体"/>
                <w:kern w:val="0"/>
              </w:rPr>
            </w:pPr>
          </w:p>
        </w:tc>
        <w:tc>
          <w:tcPr>
            <w:tcW w:w="2267" w:type="dxa"/>
            <w:tcBorders>
              <w:right w:val="single" w:color="auto" w:sz="4" w:space="0"/>
            </w:tcBorders>
            <w:vAlign w:val="center"/>
          </w:tcPr>
          <w:p w14:paraId="4D244149">
            <w:pPr>
              <w:snapToGrid w:val="0"/>
              <w:spacing w:line="400" w:lineRule="exact"/>
              <w:jc w:val="left"/>
              <w:rPr>
                <w:rFonts w:ascii="宋体" w:hAnsi="宋体" w:cs="宋体"/>
                <w:kern w:val="0"/>
              </w:rPr>
            </w:pPr>
            <w:r>
              <w:rPr>
                <w:rFonts w:hint="eastAsia" w:ascii="宋体" w:hAnsi="宋体" w:cs="宋体"/>
                <w:kern w:val="0"/>
              </w:rPr>
              <w:t>工程质量</w:t>
            </w:r>
          </w:p>
        </w:tc>
        <w:tc>
          <w:tcPr>
            <w:tcW w:w="4615" w:type="dxa"/>
            <w:tcBorders>
              <w:left w:val="single" w:color="auto" w:sz="4" w:space="0"/>
            </w:tcBorders>
            <w:vAlign w:val="center"/>
          </w:tcPr>
          <w:p w14:paraId="16EA2029">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符合第二章“投标人须知”第1.3.3项规定</w:t>
            </w:r>
          </w:p>
        </w:tc>
      </w:tr>
      <w:tr w14:paraId="11395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5B3BA5F">
            <w:pPr>
              <w:spacing w:line="400" w:lineRule="exact"/>
              <w:jc w:val="center"/>
              <w:rPr>
                <w:rFonts w:ascii="宋体" w:hAnsi="宋体"/>
                <w:kern w:val="0"/>
              </w:rPr>
            </w:pPr>
          </w:p>
        </w:tc>
        <w:tc>
          <w:tcPr>
            <w:tcW w:w="1560" w:type="dxa"/>
            <w:vMerge w:val="continue"/>
            <w:tcBorders>
              <w:left w:val="single" w:color="auto" w:sz="4" w:space="0"/>
            </w:tcBorders>
            <w:vAlign w:val="center"/>
          </w:tcPr>
          <w:p w14:paraId="28C4BD70">
            <w:pPr>
              <w:spacing w:line="400" w:lineRule="exact"/>
              <w:jc w:val="center"/>
              <w:rPr>
                <w:rFonts w:ascii="宋体" w:hAnsi="宋体"/>
                <w:kern w:val="0"/>
              </w:rPr>
            </w:pPr>
          </w:p>
        </w:tc>
        <w:tc>
          <w:tcPr>
            <w:tcW w:w="2267" w:type="dxa"/>
            <w:tcBorders>
              <w:right w:val="single" w:color="auto" w:sz="4" w:space="0"/>
            </w:tcBorders>
            <w:vAlign w:val="center"/>
          </w:tcPr>
          <w:p w14:paraId="4683E41C">
            <w:pPr>
              <w:snapToGrid w:val="0"/>
              <w:spacing w:line="400" w:lineRule="exact"/>
              <w:jc w:val="left"/>
              <w:rPr>
                <w:rFonts w:ascii="宋体" w:hAnsi="宋体" w:cs="宋体"/>
                <w:kern w:val="0"/>
              </w:rPr>
            </w:pPr>
            <w:r>
              <w:rPr>
                <w:rFonts w:hint="eastAsia" w:ascii="宋体" w:hAnsi="宋体" w:cs="宋体"/>
                <w:kern w:val="0"/>
              </w:rPr>
              <w:t>投标有效期</w:t>
            </w:r>
          </w:p>
        </w:tc>
        <w:tc>
          <w:tcPr>
            <w:tcW w:w="4615" w:type="dxa"/>
            <w:tcBorders>
              <w:left w:val="single" w:color="auto" w:sz="4" w:space="0"/>
            </w:tcBorders>
            <w:vAlign w:val="center"/>
          </w:tcPr>
          <w:p w14:paraId="3242706C">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符合第二章“投标人须知”第3.3.1项规定</w:t>
            </w:r>
          </w:p>
        </w:tc>
      </w:tr>
      <w:tr w14:paraId="605ED3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DDBD08A">
            <w:pPr>
              <w:spacing w:line="400" w:lineRule="exact"/>
              <w:jc w:val="center"/>
              <w:rPr>
                <w:rFonts w:ascii="宋体" w:hAnsi="宋体"/>
                <w:kern w:val="0"/>
              </w:rPr>
            </w:pPr>
          </w:p>
        </w:tc>
        <w:tc>
          <w:tcPr>
            <w:tcW w:w="1560" w:type="dxa"/>
            <w:vMerge w:val="continue"/>
            <w:tcBorders>
              <w:left w:val="single" w:color="auto" w:sz="4" w:space="0"/>
            </w:tcBorders>
            <w:vAlign w:val="center"/>
          </w:tcPr>
          <w:p w14:paraId="5F73D743">
            <w:pPr>
              <w:spacing w:line="400" w:lineRule="exact"/>
              <w:jc w:val="center"/>
              <w:rPr>
                <w:rFonts w:ascii="宋体" w:hAnsi="宋体"/>
                <w:kern w:val="0"/>
              </w:rPr>
            </w:pPr>
          </w:p>
        </w:tc>
        <w:tc>
          <w:tcPr>
            <w:tcW w:w="2267" w:type="dxa"/>
            <w:tcBorders>
              <w:right w:val="single" w:color="auto" w:sz="4" w:space="0"/>
            </w:tcBorders>
            <w:vAlign w:val="center"/>
          </w:tcPr>
          <w:p w14:paraId="710890F6">
            <w:pPr>
              <w:snapToGrid w:val="0"/>
              <w:spacing w:line="400" w:lineRule="exact"/>
              <w:jc w:val="left"/>
              <w:rPr>
                <w:rFonts w:ascii="宋体" w:hAnsi="宋体" w:cs="宋体"/>
                <w:kern w:val="0"/>
              </w:rPr>
            </w:pPr>
            <w:r>
              <w:rPr>
                <w:rFonts w:hint="eastAsia" w:ascii="宋体" w:hAnsi="宋体" w:cs="宋体"/>
                <w:kern w:val="0"/>
              </w:rPr>
              <w:t>投标总报价</w:t>
            </w:r>
          </w:p>
        </w:tc>
        <w:tc>
          <w:tcPr>
            <w:tcW w:w="4615" w:type="dxa"/>
            <w:tcBorders>
              <w:left w:val="single" w:color="auto" w:sz="4" w:space="0"/>
            </w:tcBorders>
            <w:vAlign w:val="center"/>
          </w:tcPr>
          <w:p w14:paraId="0B3A242A">
            <w:pPr>
              <w:snapToGrid w:val="0"/>
              <w:spacing w:after="31" w:afterLines="10" w:line="400" w:lineRule="exact"/>
              <w:ind w:firstLine="420" w:firstLineChars="200"/>
              <w:rPr>
                <w:rFonts w:ascii="宋体" w:hAnsi="宋体" w:cs="宋体"/>
                <w:kern w:val="0"/>
              </w:rPr>
            </w:pPr>
            <w:r>
              <w:rPr>
                <w:rFonts w:hint="eastAsia" w:ascii="宋体" w:hAnsi="宋体" w:cs="宋体"/>
                <w:kern w:val="0"/>
              </w:rPr>
              <w:t>1.投标总报价必须与已标价工程量清单总报价一致,且工程量清单总报价与依据单价、工程数量、分部分项工程合价计算出的结果应一致。</w:t>
            </w:r>
          </w:p>
          <w:p w14:paraId="2D1FE147">
            <w:pPr>
              <w:snapToGrid w:val="0"/>
              <w:spacing w:after="31" w:afterLines="10" w:line="400" w:lineRule="exact"/>
              <w:ind w:firstLine="420" w:firstLineChars="200"/>
              <w:rPr>
                <w:rFonts w:ascii="宋体" w:hAnsi="宋体" w:cs="宋体"/>
                <w:kern w:val="0"/>
              </w:rPr>
            </w:pPr>
            <w:r>
              <w:rPr>
                <w:rFonts w:hint="eastAsia" w:ascii="宋体" w:hAnsi="宋体" w:cs="宋体"/>
                <w:kern w:val="0"/>
              </w:rPr>
              <w:t>2.投标总报价不得高于采购人公布的投标总报价最高限价。</w:t>
            </w:r>
          </w:p>
          <w:p w14:paraId="2A70911D">
            <w:pPr>
              <w:snapToGrid w:val="0"/>
              <w:spacing w:after="31" w:afterLines="10" w:line="400" w:lineRule="exact"/>
              <w:ind w:firstLine="420" w:firstLineChars="200"/>
              <w:rPr>
                <w:rFonts w:ascii="宋体" w:hAnsi="宋体" w:cs="宋体"/>
                <w:kern w:val="0"/>
              </w:rPr>
            </w:pPr>
            <w:r>
              <w:rPr>
                <w:rFonts w:hint="eastAsia" w:ascii="宋体" w:hAnsi="宋体" w:cs="宋体"/>
                <w:kern w:val="0"/>
              </w:rPr>
              <w:t>3.投标总报价低于最高限价85%的，投标人应在编制投标文件时，在投标函部分中递交低价风险担保缴纳承诺书。承诺书格式详见第八章投标文件格式。</w:t>
            </w:r>
          </w:p>
        </w:tc>
      </w:tr>
      <w:tr w14:paraId="082DB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630F585C">
            <w:pPr>
              <w:spacing w:line="400" w:lineRule="exact"/>
              <w:jc w:val="center"/>
              <w:rPr>
                <w:rFonts w:ascii="宋体" w:hAnsi="宋体"/>
                <w:kern w:val="0"/>
              </w:rPr>
            </w:pPr>
          </w:p>
        </w:tc>
        <w:tc>
          <w:tcPr>
            <w:tcW w:w="1560" w:type="dxa"/>
            <w:vMerge w:val="continue"/>
            <w:tcBorders>
              <w:left w:val="single" w:color="auto" w:sz="4" w:space="0"/>
            </w:tcBorders>
            <w:vAlign w:val="center"/>
          </w:tcPr>
          <w:p w14:paraId="1A387973">
            <w:pPr>
              <w:spacing w:line="400" w:lineRule="exact"/>
              <w:jc w:val="center"/>
              <w:rPr>
                <w:rFonts w:ascii="宋体" w:hAnsi="宋体"/>
                <w:kern w:val="0"/>
              </w:rPr>
            </w:pPr>
          </w:p>
        </w:tc>
        <w:tc>
          <w:tcPr>
            <w:tcW w:w="2267" w:type="dxa"/>
            <w:tcBorders>
              <w:right w:val="single" w:color="auto" w:sz="4" w:space="0"/>
            </w:tcBorders>
            <w:vAlign w:val="center"/>
          </w:tcPr>
          <w:p w14:paraId="75A149A4">
            <w:pPr>
              <w:snapToGrid w:val="0"/>
              <w:spacing w:line="400" w:lineRule="exact"/>
              <w:jc w:val="left"/>
              <w:rPr>
                <w:rFonts w:ascii="宋体" w:hAnsi="宋体" w:cs="宋体"/>
                <w:kern w:val="0"/>
              </w:rPr>
            </w:pPr>
            <w:r>
              <w:rPr>
                <w:rFonts w:hint="eastAsia" w:ascii="宋体" w:hAnsi="宋体" w:cs="宋体"/>
                <w:kern w:val="0"/>
              </w:rPr>
              <w:t>暂定金额</w:t>
            </w:r>
          </w:p>
        </w:tc>
        <w:tc>
          <w:tcPr>
            <w:tcW w:w="4615" w:type="dxa"/>
            <w:tcBorders>
              <w:left w:val="single" w:color="auto" w:sz="4" w:space="0"/>
            </w:tcBorders>
            <w:vAlign w:val="center"/>
          </w:tcPr>
          <w:p w14:paraId="2BF2427A">
            <w:pPr>
              <w:snapToGrid w:val="0"/>
              <w:spacing w:after="31" w:afterLines="10" w:line="400" w:lineRule="exact"/>
              <w:ind w:firstLine="420" w:firstLineChars="200"/>
              <w:rPr>
                <w:rFonts w:ascii="宋体" w:hAnsi="宋体" w:cs="宋体"/>
                <w:kern w:val="0"/>
              </w:rPr>
            </w:pPr>
            <w:r>
              <w:rPr>
                <w:rFonts w:hint="eastAsia" w:ascii="宋体" w:hAnsi="宋体" w:cs="宋体"/>
                <w:kern w:val="0"/>
              </w:rPr>
              <w:t>暂列金额、暂估价、安全文明施工费等暂定金额必须按照采购文件给定的金额填报。</w:t>
            </w:r>
          </w:p>
        </w:tc>
      </w:tr>
      <w:tr w14:paraId="7587E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E8E5FA1">
            <w:pPr>
              <w:spacing w:line="400" w:lineRule="exact"/>
              <w:jc w:val="center"/>
              <w:rPr>
                <w:rFonts w:ascii="宋体" w:hAnsi="宋体"/>
                <w:kern w:val="0"/>
              </w:rPr>
            </w:pPr>
          </w:p>
        </w:tc>
        <w:tc>
          <w:tcPr>
            <w:tcW w:w="1560" w:type="dxa"/>
            <w:vMerge w:val="continue"/>
            <w:tcBorders>
              <w:left w:val="single" w:color="auto" w:sz="4" w:space="0"/>
            </w:tcBorders>
            <w:vAlign w:val="center"/>
          </w:tcPr>
          <w:p w14:paraId="70927CFC">
            <w:pPr>
              <w:spacing w:line="400" w:lineRule="exact"/>
              <w:jc w:val="center"/>
              <w:rPr>
                <w:rFonts w:ascii="宋体" w:hAnsi="宋体"/>
                <w:kern w:val="0"/>
              </w:rPr>
            </w:pPr>
          </w:p>
        </w:tc>
        <w:tc>
          <w:tcPr>
            <w:tcW w:w="2267" w:type="dxa"/>
            <w:tcBorders>
              <w:right w:val="single" w:color="auto" w:sz="4" w:space="0"/>
            </w:tcBorders>
            <w:vAlign w:val="center"/>
          </w:tcPr>
          <w:p w14:paraId="7785D8EF">
            <w:pPr>
              <w:snapToGrid w:val="0"/>
              <w:spacing w:line="400" w:lineRule="exact"/>
              <w:jc w:val="left"/>
              <w:rPr>
                <w:rFonts w:ascii="宋体" w:hAnsi="宋体" w:cs="宋体"/>
                <w:kern w:val="0"/>
              </w:rPr>
            </w:pPr>
            <w:r>
              <w:rPr>
                <w:rFonts w:hint="eastAsia" w:ascii="宋体" w:hAnsi="宋体" w:cs="宋体"/>
                <w:kern w:val="0"/>
              </w:rPr>
              <w:t>报价唯一</w:t>
            </w:r>
          </w:p>
        </w:tc>
        <w:tc>
          <w:tcPr>
            <w:tcW w:w="4615" w:type="dxa"/>
            <w:tcBorders>
              <w:left w:val="single" w:color="auto" w:sz="4" w:space="0"/>
            </w:tcBorders>
            <w:vAlign w:val="center"/>
          </w:tcPr>
          <w:p w14:paraId="201FBE88">
            <w:pPr>
              <w:snapToGrid w:val="0"/>
              <w:spacing w:after="31" w:afterLines="10" w:line="400" w:lineRule="exact"/>
              <w:ind w:firstLine="420" w:firstLineChars="200"/>
              <w:rPr>
                <w:rFonts w:ascii="宋体" w:hAnsi="宋体" w:cs="宋体"/>
                <w:kern w:val="0"/>
              </w:rPr>
            </w:pPr>
            <w:r>
              <w:rPr>
                <w:rFonts w:hint="eastAsia" w:ascii="宋体" w:hAnsi="宋体" w:cs="宋体"/>
                <w:kern w:val="0"/>
              </w:rPr>
              <w:t>只能有一个有效报价。在采购文件没有规定的情况下，不得提交选择性报价。</w:t>
            </w:r>
          </w:p>
        </w:tc>
      </w:tr>
      <w:tr w14:paraId="011D07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27D5DFDA">
            <w:pPr>
              <w:spacing w:line="400" w:lineRule="exact"/>
              <w:jc w:val="center"/>
              <w:rPr>
                <w:rFonts w:ascii="宋体" w:hAnsi="宋体"/>
                <w:kern w:val="0"/>
              </w:rPr>
            </w:pPr>
          </w:p>
        </w:tc>
        <w:tc>
          <w:tcPr>
            <w:tcW w:w="1560" w:type="dxa"/>
            <w:vMerge w:val="continue"/>
            <w:tcBorders>
              <w:left w:val="single" w:color="auto" w:sz="4" w:space="0"/>
            </w:tcBorders>
            <w:vAlign w:val="center"/>
          </w:tcPr>
          <w:p w14:paraId="4FDB25C8">
            <w:pPr>
              <w:spacing w:line="400" w:lineRule="exact"/>
              <w:jc w:val="center"/>
              <w:rPr>
                <w:rFonts w:ascii="宋体" w:hAnsi="宋体"/>
                <w:kern w:val="0"/>
              </w:rPr>
            </w:pPr>
          </w:p>
        </w:tc>
        <w:tc>
          <w:tcPr>
            <w:tcW w:w="2267" w:type="dxa"/>
            <w:tcBorders>
              <w:right w:val="single" w:color="auto" w:sz="4" w:space="0"/>
            </w:tcBorders>
            <w:vAlign w:val="center"/>
          </w:tcPr>
          <w:p w14:paraId="5FEBECE9">
            <w:pPr>
              <w:snapToGrid w:val="0"/>
              <w:spacing w:line="400" w:lineRule="exact"/>
              <w:jc w:val="left"/>
              <w:rPr>
                <w:rFonts w:ascii="宋体" w:hAnsi="宋体" w:cs="宋体"/>
                <w:kern w:val="0"/>
              </w:rPr>
            </w:pPr>
            <w:r>
              <w:rPr>
                <w:rFonts w:hint="eastAsia" w:ascii="宋体" w:hAnsi="宋体" w:cs="宋体"/>
                <w:kern w:val="0"/>
              </w:rPr>
              <w:t>已标价工程量清单</w:t>
            </w:r>
          </w:p>
        </w:tc>
        <w:tc>
          <w:tcPr>
            <w:tcW w:w="4615" w:type="dxa"/>
            <w:tcBorders>
              <w:left w:val="single" w:color="auto" w:sz="4" w:space="0"/>
            </w:tcBorders>
            <w:vAlign w:val="center"/>
          </w:tcPr>
          <w:p w14:paraId="58EECF2C">
            <w:pPr>
              <w:spacing w:after="62" w:afterLines="20" w:line="400" w:lineRule="exact"/>
              <w:ind w:firstLine="420" w:firstLineChars="200"/>
              <w:rPr>
                <w:rFonts w:ascii="宋体" w:hAnsi="宋体" w:cs="宋体"/>
                <w:kern w:val="0"/>
              </w:rPr>
            </w:pPr>
            <w:r>
              <w:rPr>
                <w:rFonts w:hint="eastAsia" w:ascii="宋体" w:hAnsi="宋体" w:cs="宋体"/>
                <w:kern w:val="0"/>
              </w:rPr>
              <w:t>1.符合第五章“工程量清单”给出的范围及数量。</w:t>
            </w:r>
          </w:p>
          <w:p w14:paraId="287A86DB">
            <w:pPr>
              <w:snapToGrid w:val="0"/>
              <w:spacing w:after="31" w:afterLines="10" w:line="400" w:lineRule="exact"/>
              <w:ind w:firstLine="420" w:firstLineChars="200"/>
              <w:rPr>
                <w:rFonts w:ascii="宋体" w:hAnsi="宋体" w:cs="宋体"/>
                <w:kern w:val="0"/>
              </w:rPr>
            </w:pPr>
            <w:r>
              <w:rPr>
                <w:rFonts w:hint="eastAsia" w:ascii="宋体" w:hAnsi="宋体" w:cs="宋体"/>
                <w:kern w:val="0"/>
              </w:rPr>
              <w:t>2.采购文件中规定工程量清单不允许修改的内容不得修改。</w:t>
            </w:r>
          </w:p>
          <w:p w14:paraId="085BA12C">
            <w:pPr>
              <w:snapToGrid w:val="0"/>
              <w:spacing w:after="31" w:afterLines="10" w:line="400" w:lineRule="exact"/>
              <w:ind w:firstLine="420" w:firstLineChars="200"/>
              <w:rPr>
                <w:rFonts w:ascii="宋体" w:hAnsi="宋体" w:cs="宋体"/>
                <w:kern w:val="0"/>
              </w:rPr>
            </w:pPr>
            <w:r>
              <w:rPr>
                <w:rFonts w:hint="eastAsia" w:ascii="宋体" w:hAnsi="宋体" w:cs="宋体"/>
                <w:kern w:val="0"/>
              </w:rPr>
              <w:t>3.每项清单综合单价报价不得高于每项清单综合单价最高限价。</w:t>
            </w:r>
          </w:p>
        </w:tc>
      </w:tr>
      <w:tr w14:paraId="04FCB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14:paraId="357670B0">
            <w:pPr>
              <w:spacing w:line="400" w:lineRule="exact"/>
              <w:jc w:val="center"/>
              <w:rPr>
                <w:rFonts w:ascii="宋体" w:hAnsi="宋体"/>
                <w:kern w:val="0"/>
              </w:rPr>
            </w:pPr>
          </w:p>
        </w:tc>
        <w:tc>
          <w:tcPr>
            <w:tcW w:w="1560" w:type="dxa"/>
            <w:vMerge w:val="continue"/>
            <w:tcBorders>
              <w:left w:val="single" w:color="auto" w:sz="4" w:space="0"/>
            </w:tcBorders>
            <w:vAlign w:val="center"/>
          </w:tcPr>
          <w:p w14:paraId="7DDEAD2D">
            <w:pPr>
              <w:spacing w:line="400" w:lineRule="exact"/>
              <w:jc w:val="center"/>
              <w:rPr>
                <w:rFonts w:ascii="宋体" w:hAnsi="宋体"/>
                <w:kern w:val="0"/>
              </w:rPr>
            </w:pPr>
          </w:p>
        </w:tc>
        <w:tc>
          <w:tcPr>
            <w:tcW w:w="2267" w:type="dxa"/>
            <w:tcBorders>
              <w:right w:val="single" w:color="auto" w:sz="4" w:space="0"/>
            </w:tcBorders>
            <w:vAlign w:val="center"/>
          </w:tcPr>
          <w:p w14:paraId="7EA2C98A">
            <w:pPr>
              <w:snapToGrid w:val="0"/>
              <w:spacing w:line="400" w:lineRule="exact"/>
              <w:jc w:val="left"/>
              <w:rPr>
                <w:rFonts w:ascii="宋体" w:hAnsi="宋体" w:cs="宋体"/>
                <w:kern w:val="0"/>
              </w:rPr>
            </w:pPr>
            <w:r>
              <w:rPr>
                <w:rFonts w:hint="eastAsia" w:ascii="宋体" w:hAnsi="宋体" w:cs="宋体"/>
                <w:kern w:val="0"/>
              </w:rPr>
              <w:t>投标报价算术错误修正</w:t>
            </w:r>
          </w:p>
        </w:tc>
        <w:tc>
          <w:tcPr>
            <w:tcW w:w="4615" w:type="dxa"/>
            <w:tcBorders>
              <w:left w:val="single" w:color="auto" w:sz="4" w:space="0"/>
            </w:tcBorders>
            <w:vAlign w:val="center"/>
          </w:tcPr>
          <w:p w14:paraId="78F52FD8">
            <w:pPr>
              <w:snapToGrid w:val="0"/>
              <w:spacing w:after="31" w:afterLines="10" w:line="400" w:lineRule="exact"/>
              <w:ind w:firstLine="420" w:firstLineChars="200"/>
              <w:rPr>
                <w:rFonts w:ascii="宋体" w:hAnsi="宋体" w:cs="宋体"/>
                <w:kern w:val="0"/>
              </w:rPr>
            </w:pPr>
            <w:r>
              <w:rPr>
                <w:rFonts w:hint="eastAsia" w:ascii="宋体" w:hAnsi="宋体" w:cs="宋体"/>
                <w:kern w:val="0"/>
              </w:rPr>
              <w:t>符合第三章“评标办法”第3.2.3项规定。</w:t>
            </w:r>
          </w:p>
        </w:tc>
      </w:tr>
      <w:tr w14:paraId="7E8E2F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11B4DB29">
            <w:pPr>
              <w:spacing w:line="400" w:lineRule="exact"/>
              <w:jc w:val="center"/>
              <w:rPr>
                <w:rFonts w:ascii="宋体" w:hAnsi="宋体"/>
              </w:rPr>
            </w:pPr>
            <w:r>
              <w:rPr>
                <w:rFonts w:ascii="宋体" w:hAnsi="宋体"/>
              </w:rPr>
              <w:t>3</w:t>
            </w:r>
          </w:p>
        </w:tc>
        <w:tc>
          <w:tcPr>
            <w:tcW w:w="1560" w:type="dxa"/>
            <w:tcBorders>
              <w:left w:val="single" w:color="auto" w:sz="4" w:space="0"/>
              <w:right w:val="single" w:color="auto" w:sz="4" w:space="0"/>
            </w:tcBorders>
            <w:vAlign w:val="center"/>
          </w:tcPr>
          <w:p w14:paraId="559087B3">
            <w:pPr>
              <w:spacing w:line="400" w:lineRule="exact"/>
              <w:jc w:val="center"/>
              <w:rPr>
                <w:rFonts w:ascii="宋体" w:hAnsi="宋体"/>
              </w:rPr>
            </w:pPr>
            <w:r>
              <w:rPr>
                <w:rFonts w:hint="eastAsia" w:ascii="宋体" w:hAnsi="宋体"/>
              </w:rPr>
              <w:t>评标程序</w:t>
            </w:r>
          </w:p>
        </w:tc>
        <w:tc>
          <w:tcPr>
            <w:tcW w:w="6882" w:type="dxa"/>
            <w:gridSpan w:val="2"/>
            <w:tcBorders>
              <w:left w:val="single" w:color="auto" w:sz="4" w:space="0"/>
            </w:tcBorders>
            <w:vAlign w:val="center"/>
          </w:tcPr>
          <w:p w14:paraId="5B2133D7">
            <w:pPr>
              <w:spacing w:after="31" w:afterLines="10" w:line="400" w:lineRule="exact"/>
              <w:ind w:firstLine="420" w:firstLineChars="200"/>
              <w:jc w:val="left"/>
              <w:rPr>
                <w:rFonts w:ascii="宋体" w:hAnsi="宋体"/>
                <w:kern w:val="0"/>
                <w:szCs w:val="21"/>
              </w:rPr>
            </w:pPr>
            <w:r>
              <w:rPr>
                <w:rFonts w:hint="eastAsia" w:ascii="宋体" w:hAnsi="宋体"/>
                <w:kern w:val="0"/>
                <w:szCs w:val="21"/>
              </w:rPr>
              <w:t>1.对报价不高于最高限价的所有投标人的投标文件，按照报价由低到高的顺序排序。需技术方案评审的，由评审小组对技术方案进行自动随机编号。</w:t>
            </w:r>
          </w:p>
          <w:p w14:paraId="7265E51B">
            <w:pPr>
              <w:spacing w:after="31" w:afterLines="10" w:line="400" w:lineRule="exact"/>
              <w:ind w:firstLine="420" w:firstLineChars="200"/>
              <w:jc w:val="left"/>
              <w:rPr>
                <w:rFonts w:ascii="宋体" w:hAnsi="宋体"/>
                <w:kern w:val="0"/>
                <w:szCs w:val="21"/>
              </w:rPr>
            </w:pPr>
            <w:r>
              <w:rPr>
                <w:rFonts w:hint="eastAsia" w:ascii="宋体" w:hAnsi="宋体"/>
                <w:kern w:val="0"/>
                <w:szCs w:val="21"/>
              </w:rPr>
              <w:t>2.根据本章第2.2款约定进行符合性审查</w:t>
            </w:r>
            <w:r>
              <w:rPr>
                <w:rFonts w:hint="eastAsia" w:ascii="宋体" w:hAnsi="宋体"/>
                <w:spacing w:val="4"/>
                <w:kern w:val="0"/>
                <w:szCs w:val="21"/>
              </w:rPr>
              <w:t>。符合性审查</w:t>
            </w:r>
            <w:r>
              <w:rPr>
                <w:rFonts w:hint="eastAsia" w:ascii="宋体" w:hAnsi="宋体"/>
                <w:kern w:val="0"/>
                <w:szCs w:val="21"/>
              </w:rPr>
              <w:t>合格的投标人中，报价最低的成为第一中标候选人，报价次低的成为第二中标候选人，依次类推。</w:t>
            </w:r>
          </w:p>
          <w:p w14:paraId="71590FAA">
            <w:pPr>
              <w:spacing w:after="31" w:afterLines="10" w:line="400" w:lineRule="exact"/>
              <w:ind w:firstLine="420" w:firstLineChars="200"/>
              <w:jc w:val="left"/>
              <w:rPr>
                <w:rFonts w:ascii="宋体" w:hAnsi="宋体"/>
                <w:kern w:val="0"/>
                <w:szCs w:val="21"/>
              </w:rPr>
            </w:pPr>
            <w:r>
              <w:rPr>
                <w:rFonts w:hint="eastAsia" w:ascii="宋体" w:hAnsi="宋体"/>
                <w:kern w:val="0"/>
                <w:szCs w:val="21"/>
              </w:rPr>
              <w:t>3.</w:t>
            </w:r>
            <w:r>
              <w:rPr>
                <w:rFonts w:hint="eastAsia" w:ascii="宋体" w:hAnsi="宋体"/>
                <w:spacing w:val="4"/>
                <w:kern w:val="0"/>
                <w:szCs w:val="21"/>
              </w:rPr>
              <w:t>若上述程序未能评出三名中标候选人</w:t>
            </w:r>
            <w:r>
              <w:rPr>
                <w:rFonts w:hint="eastAsia" w:ascii="宋体" w:hAnsi="宋体"/>
                <w:kern w:val="0"/>
                <w:szCs w:val="21"/>
              </w:rPr>
              <w:t>，则评标委员会对剩余投标文件继续按上述第2条进行评审，直至评出三名中标候选人，或者评审完所有投标文件。</w:t>
            </w:r>
          </w:p>
          <w:p w14:paraId="25727713">
            <w:pPr>
              <w:spacing w:after="31" w:afterLines="10" w:line="400" w:lineRule="exact"/>
              <w:ind w:firstLine="420" w:firstLineChars="200"/>
              <w:jc w:val="left"/>
              <w:rPr>
                <w:rFonts w:ascii="宋体" w:hAnsi="宋体"/>
                <w:kern w:val="0"/>
                <w:szCs w:val="21"/>
              </w:rPr>
            </w:pPr>
            <w:r>
              <w:rPr>
                <w:rFonts w:hint="eastAsia" w:ascii="宋体" w:hAnsi="宋体"/>
                <w:kern w:val="0"/>
                <w:szCs w:val="21"/>
              </w:rPr>
              <w:t>4.</w:t>
            </w:r>
            <w:r>
              <w:rPr>
                <w:rFonts w:hint="eastAsia"/>
              </w:rPr>
              <w:t xml:space="preserve"> </w:t>
            </w:r>
            <w:r>
              <w:rPr>
                <w:rFonts w:hint="eastAsia" w:ascii="宋体" w:hAnsi="宋体"/>
                <w:kern w:val="0"/>
                <w:szCs w:val="21"/>
              </w:rPr>
              <w:t>因评标委员会作否决投标处理，导致有效投标人不足三个的，评标委员会应当否决所有投标。但是有效投标人的经济、技术等指标仍然具有市场竞争力，并满足采购文件要求的，评标委员会可以继续评标并确定中标候选人。</w:t>
            </w:r>
          </w:p>
        </w:tc>
      </w:tr>
      <w:tr w14:paraId="320CA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14:paraId="31103066">
            <w:pPr>
              <w:spacing w:line="400" w:lineRule="exact"/>
              <w:jc w:val="center"/>
              <w:rPr>
                <w:rFonts w:ascii="宋体" w:hAnsi="宋体"/>
              </w:rPr>
            </w:pPr>
            <w:r>
              <w:rPr>
                <w:rFonts w:hint="eastAsia" w:ascii="宋体" w:hAnsi="宋体"/>
              </w:rPr>
              <w:t>3.4</w:t>
            </w:r>
          </w:p>
        </w:tc>
        <w:tc>
          <w:tcPr>
            <w:tcW w:w="1560" w:type="dxa"/>
            <w:tcBorders>
              <w:left w:val="single" w:color="auto" w:sz="4" w:space="0"/>
              <w:right w:val="single" w:color="auto" w:sz="4" w:space="0"/>
            </w:tcBorders>
            <w:vAlign w:val="center"/>
          </w:tcPr>
          <w:p w14:paraId="203B7463">
            <w:pPr>
              <w:spacing w:line="400" w:lineRule="exact"/>
              <w:jc w:val="center"/>
              <w:rPr>
                <w:rFonts w:ascii="宋体" w:hAnsi="宋体"/>
              </w:rPr>
            </w:pPr>
            <w:r>
              <w:rPr>
                <w:rFonts w:ascii="宋体" w:hAnsi="宋体"/>
              </w:rPr>
              <w:t>评标结果</w:t>
            </w:r>
          </w:p>
        </w:tc>
        <w:tc>
          <w:tcPr>
            <w:tcW w:w="6882" w:type="dxa"/>
            <w:gridSpan w:val="2"/>
            <w:tcBorders>
              <w:left w:val="single" w:color="auto" w:sz="4" w:space="0"/>
            </w:tcBorders>
            <w:vAlign w:val="center"/>
          </w:tcPr>
          <w:p w14:paraId="726EBB23">
            <w:pPr>
              <w:autoSpaceDE w:val="0"/>
              <w:autoSpaceDN w:val="0"/>
              <w:adjustRightInd w:val="0"/>
              <w:snapToGrid w:val="0"/>
              <w:spacing w:line="400" w:lineRule="exact"/>
              <w:ind w:firstLine="420"/>
              <w:jc w:val="left"/>
              <w:rPr>
                <w:rFonts w:ascii="宋体" w:hAnsi="宋体"/>
                <w:kern w:val="0"/>
                <w:szCs w:val="21"/>
              </w:rPr>
            </w:pPr>
            <w:r>
              <w:rPr>
                <w:rFonts w:ascii="宋体" w:hAnsi="宋体"/>
                <w:kern w:val="0"/>
                <w:szCs w:val="21"/>
              </w:rPr>
              <w:t>除第二章“投标</w:t>
            </w:r>
            <w:r>
              <w:rPr>
                <w:rFonts w:ascii="宋体" w:hAnsi="宋体"/>
                <w:spacing w:val="1"/>
                <w:kern w:val="0"/>
                <w:szCs w:val="21"/>
              </w:rPr>
              <w:t>人</w:t>
            </w:r>
            <w:r>
              <w:rPr>
                <w:rFonts w:ascii="宋体" w:hAnsi="宋体"/>
                <w:kern w:val="0"/>
                <w:szCs w:val="21"/>
              </w:rPr>
              <w:t>须知”前</w:t>
            </w:r>
            <w:r>
              <w:rPr>
                <w:rFonts w:ascii="宋体" w:hAnsi="宋体"/>
                <w:spacing w:val="1"/>
                <w:kern w:val="0"/>
                <w:szCs w:val="21"/>
              </w:rPr>
              <w:t>附</w:t>
            </w:r>
            <w:r>
              <w:rPr>
                <w:rFonts w:ascii="宋体" w:hAnsi="宋体"/>
                <w:kern w:val="0"/>
                <w:szCs w:val="21"/>
              </w:rPr>
              <w:t>表授权直</w:t>
            </w:r>
            <w:r>
              <w:rPr>
                <w:rFonts w:ascii="宋体" w:hAnsi="宋体"/>
                <w:spacing w:val="1"/>
                <w:kern w:val="0"/>
                <w:szCs w:val="21"/>
              </w:rPr>
              <w:t>接</w:t>
            </w:r>
            <w:r>
              <w:rPr>
                <w:rFonts w:ascii="宋体" w:hAnsi="宋体"/>
                <w:kern w:val="0"/>
                <w:szCs w:val="21"/>
              </w:rPr>
              <w:t>确定中标</w:t>
            </w:r>
            <w:r>
              <w:rPr>
                <w:rFonts w:ascii="宋体" w:hAnsi="宋体"/>
                <w:spacing w:val="1"/>
                <w:kern w:val="0"/>
                <w:szCs w:val="21"/>
              </w:rPr>
              <w:t>人</w:t>
            </w:r>
            <w:r>
              <w:rPr>
                <w:rFonts w:ascii="宋体" w:hAnsi="宋体"/>
                <w:kern w:val="0"/>
                <w:szCs w:val="21"/>
              </w:rPr>
              <w:t>外，评标</w:t>
            </w:r>
            <w:r>
              <w:rPr>
                <w:rFonts w:ascii="宋体" w:hAnsi="宋体"/>
                <w:spacing w:val="1"/>
                <w:kern w:val="0"/>
                <w:szCs w:val="21"/>
              </w:rPr>
              <w:t>委</w:t>
            </w:r>
            <w:r>
              <w:rPr>
                <w:rFonts w:ascii="宋体" w:hAnsi="宋体"/>
                <w:kern w:val="0"/>
                <w:szCs w:val="21"/>
              </w:rPr>
              <w:t>员会</w:t>
            </w:r>
            <w:r>
              <w:rPr>
                <w:rFonts w:hint="eastAsia" w:ascii="宋体" w:hAnsi="宋体"/>
                <w:kern w:val="0"/>
                <w:szCs w:val="21"/>
              </w:rPr>
              <w:t>按经评审的最低投标价法</w:t>
            </w:r>
            <w:r>
              <w:rPr>
                <w:rFonts w:ascii="宋体" w:hAnsi="宋体"/>
                <w:kern w:val="0"/>
                <w:szCs w:val="21"/>
              </w:rPr>
              <w:t>推荐中标候选人。</w:t>
            </w:r>
          </w:p>
        </w:tc>
      </w:tr>
    </w:tbl>
    <w:p w14:paraId="591044E8">
      <w:pPr>
        <w:pStyle w:val="4"/>
        <w:spacing w:before="0" w:after="0" w:line="360" w:lineRule="auto"/>
        <w:rPr>
          <w:rFonts w:ascii="宋体" w:hAnsi="宋体"/>
          <w:bCs w:val="0"/>
          <w:snapToGrid w:val="0"/>
        </w:rPr>
      </w:pPr>
      <w:r>
        <w:rPr>
          <w:rFonts w:ascii="宋体" w:hAnsi="宋体"/>
          <w:bCs w:val="0"/>
          <w:snapToGrid w:val="0"/>
        </w:rPr>
        <w:br w:type="page"/>
      </w:r>
      <w:bookmarkStart w:id="396" w:name="_Toc25122"/>
      <w:r>
        <w:rPr>
          <w:rFonts w:ascii="宋体" w:hAnsi="宋体"/>
          <w:b w:val="0"/>
          <w:snapToGrid w:val="0"/>
        </w:rPr>
        <w:t>1.  评标方法</w:t>
      </w:r>
      <w:bookmarkEnd w:id="396"/>
    </w:p>
    <w:p w14:paraId="312E96A0">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w:t>
      </w:r>
    </w:p>
    <w:p w14:paraId="5059C509">
      <w:pPr>
        <w:pStyle w:val="4"/>
        <w:spacing w:before="0" w:after="0" w:line="360" w:lineRule="auto"/>
        <w:rPr>
          <w:rFonts w:ascii="宋体" w:hAnsi="宋体"/>
          <w:b w:val="0"/>
          <w:snapToGrid w:val="0"/>
        </w:rPr>
      </w:pPr>
      <w:bookmarkStart w:id="397" w:name="_Toc13149"/>
      <w:r>
        <w:rPr>
          <w:rFonts w:ascii="宋体" w:hAnsi="宋体"/>
          <w:b w:val="0"/>
          <w:snapToGrid w:val="0"/>
        </w:rPr>
        <w:t>2.  评审标准</w:t>
      </w:r>
      <w:bookmarkEnd w:id="397"/>
    </w:p>
    <w:p w14:paraId="035DE045">
      <w:pPr>
        <w:pStyle w:val="5"/>
        <w:spacing w:before="0" w:after="0" w:line="360" w:lineRule="auto"/>
        <w:rPr>
          <w:rFonts w:ascii="宋体" w:hAnsi="宋体" w:cs="宋体"/>
          <w:sz w:val="21"/>
          <w:szCs w:val="21"/>
        </w:rPr>
      </w:pPr>
      <w:bookmarkStart w:id="398" w:name="_Toc21239"/>
      <w:r>
        <w:rPr>
          <w:rFonts w:ascii="宋体" w:hAnsi="宋体" w:cs="宋体"/>
          <w:sz w:val="21"/>
          <w:szCs w:val="21"/>
        </w:rPr>
        <w:t>2.1</w:t>
      </w:r>
      <w:r>
        <w:rPr>
          <w:rFonts w:hint="eastAsia" w:ascii="宋体" w:hAnsi="宋体" w:cs="宋体"/>
          <w:sz w:val="21"/>
          <w:szCs w:val="21"/>
        </w:rPr>
        <w:t>报价</w:t>
      </w:r>
      <w:r>
        <w:rPr>
          <w:rFonts w:ascii="宋体" w:hAnsi="宋体" w:cs="宋体"/>
          <w:sz w:val="21"/>
          <w:szCs w:val="21"/>
        </w:rPr>
        <w:t>排序</w:t>
      </w:r>
      <w:r>
        <w:rPr>
          <w:rFonts w:hint="eastAsia" w:ascii="宋体" w:hAnsi="宋体" w:cs="宋体"/>
          <w:sz w:val="21"/>
          <w:szCs w:val="21"/>
        </w:rPr>
        <w:t>标准</w:t>
      </w:r>
      <w:bookmarkEnd w:id="398"/>
    </w:p>
    <w:p w14:paraId="07EB1D69">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14:paraId="3FA8F319">
      <w:pPr>
        <w:pStyle w:val="5"/>
        <w:spacing w:before="0" w:after="0" w:line="360" w:lineRule="auto"/>
        <w:rPr>
          <w:rFonts w:ascii="宋体" w:hAnsi="宋体" w:cs="宋体"/>
          <w:sz w:val="21"/>
          <w:szCs w:val="21"/>
        </w:rPr>
      </w:pPr>
      <w:bookmarkStart w:id="399" w:name="_Toc30522"/>
      <w:r>
        <w:rPr>
          <w:rFonts w:ascii="宋体" w:hAnsi="宋体" w:cs="宋体"/>
          <w:sz w:val="21"/>
          <w:szCs w:val="21"/>
        </w:rPr>
        <w:t>2.</w:t>
      </w:r>
      <w:r>
        <w:rPr>
          <w:rFonts w:hint="eastAsia" w:ascii="宋体" w:hAnsi="宋体" w:cs="宋体"/>
          <w:sz w:val="21"/>
          <w:szCs w:val="21"/>
        </w:rPr>
        <w:t>2符合性审查标准</w:t>
      </w:r>
      <w:bookmarkEnd w:id="399"/>
    </w:p>
    <w:p w14:paraId="289155F0">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。符合性审查内容：技术方案评审（如有）、资格评审、形式评审、响应性、投标函部分及经济部分评审</w:t>
      </w:r>
      <w:r>
        <w:rPr>
          <w:rFonts w:hint="eastAsia" w:ascii="宋体" w:hAnsi="宋体" w:cs="宋体"/>
          <w:szCs w:val="21"/>
        </w:rPr>
        <w:t>。</w:t>
      </w:r>
    </w:p>
    <w:p w14:paraId="722D53D2">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14:paraId="41266849">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  资格评审标准：见评标办法前附表（适用于未进行资格预审的）。</w:t>
      </w:r>
    </w:p>
    <w:p w14:paraId="362E70F9">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14:paraId="6AF46837">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14:paraId="39629E71">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14:paraId="28595DD9">
      <w:pPr>
        <w:pStyle w:val="4"/>
        <w:spacing w:before="0" w:after="0" w:line="360" w:lineRule="auto"/>
        <w:rPr>
          <w:rFonts w:ascii="宋体" w:hAnsi="宋体"/>
          <w:b w:val="0"/>
          <w:snapToGrid w:val="0"/>
        </w:rPr>
      </w:pPr>
      <w:bookmarkStart w:id="400" w:name="_Toc2669"/>
      <w:r>
        <w:rPr>
          <w:rFonts w:ascii="宋体" w:hAnsi="宋体"/>
          <w:b w:val="0"/>
          <w:snapToGrid w:val="0"/>
        </w:rPr>
        <w:t>3.  评标程序</w:t>
      </w:r>
      <w:bookmarkEnd w:id="400"/>
    </w:p>
    <w:p w14:paraId="4E790167">
      <w:pPr>
        <w:pStyle w:val="5"/>
        <w:spacing w:before="0" w:after="0" w:line="360" w:lineRule="auto"/>
        <w:rPr>
          <w:rFonts w:ascii="宋体" w:hAnsi="宋体" w:cs="宋体"/>
          <w:sz w:val="21"/>
          <w:szCs w:val="21"/>
        </w:rPr>
      </w:pPr>
      <w:bookmarkStart w:id="401" w:name="_Toc30026"/>
      <w:r>
        <w:rPr>
          <w:rFonts w:ascii="宋体" w:hAnsi="宋体" w:cs="宋体"/>
          <w:sz w:val="21"/>
          <w:szCs w:val="21"/>
        </w:rPr>
        <w:t>3.1</w:t>
      </w:r>
      <w:r>
        <w:rPr>
          <w:rFonts w:hint="eastAsia" w:ascii="宋体" w:hAnsi="宋体" w:cs="宋体"/>
          <w:sz w:val="21"/>
          <w:szCs w:val="21"/>
        </w:rPr>
        <w:t>报价排序</w:t>
      </w:r>
      <w:bookmarkEnd w:id="401"/>
    </w:p>
    <w:p w14:paraId="6AA1E42B">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14:paraId="68B18497">
      <w:pPr>
        <w:pStyle w:val="5"/>
        <w:spacing w:before="0" w:after="0" w:line="360" w:lineRule="auto"/>
        <w:rPr>
          <w:rFonts w:ascii="宋体" w:hAnsi="宋体" w:cs="宋体"/>
          <w:sz w:val="21"/>
          <w:szCs w:val="21"/>
        </w:rPr>
      </w:pPr>
      <w:bookmarkStart w:id="402" w:name="_Toc6662"/>
      <w:r>
        <w:rPr>
          <w:rFonts w:ascii="宋体" w:hAnsi="宋体" w:cs="宋体"/>
          <w:sz w:val="21"/>
          <w:szCs w:val="21"/>
        </w:rPr>
        <w:t>3.</w:t>
      </w:r>
      <w:r>
        <w:rPr>
          <w:rFonts w:hint="eastAsia" w:ascii="宋体" w:hAnsi="宋体" w:cs="宋体"/>
          <w:sz w:val="21"/>
          <w:szCs w:val="21"/>
        </w:rPr>
        <w:t>2符合性审查</w:t>
      </w:r>
      <w:bookmarkEnd w:id="402"/>
    </w:p>
    <w:p w14:paraId="1706CC4C">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款规定的标准对投标文件进行符合性审查。符合性审查顺序：资格评审、形式评审、响应性、投标函部分及经济部分评审。</w:t>
      </w:r>
    </w:p>
    <w:p w14:paraId="2278A818">
      <w:pPr>
        <w:spacing w:line="360" w:lineRule="auto"/>
        <w:ind w:firstLine="413" w:firstLineChars="197"/>
        <w:rPr>
          <w:rFonts w:ascii="宋体" w:hAnsi="宋体" w:cs="宋体"/>
          <w:szCs w:val="21"/>
        </w:rPr>
      </w:pPr>
      <w:r>
        <w:rPr>
          <w:rFonts w:hint="eastAsia" w:ascii="宋体" w:hAnsi="宋体" w:cs="宋体"/>
          <w:szCs w:val="21"/>
        </w:rPr>
        <w:t>勾选技术方案评审的，按照资格、形式、响应性、投标函部分及经济部分的顺序进行评审。有一项不符合评审标准的，作否决投标处理。</w:t>
      </w:r>
    </w:p>
    <w:p w14:paraId="7F23CEA3">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14:paraId="6B957E06">
      <w:pPr>
        <w:spacing w:line="360" w:lineRule="auto"/>
        <w:ind w:firstLine="405" w:firstLineChars="193"/>
        <w:rPr>
          <w:rFonts w:ascii="宋体" w:hAnsi="宋体" w:cs="宋体"/>
          <w:szCs w:val="21"/>
        </w:rPr>
      </w:pPr>
      <w:r>
        <w:rPr>
          <w:rFonts w:hint="eastAsia" w:ascii="宋体" w:hAnsi="宋体" w:cs="宋体"/>
          <w:szCs w:val="21"/>
        </w:rPr>
        <w:t>（1</w:t>
      </w:r>
      <w:r>
        <w:rPr>
          <w:rFonts w:ascii="宋体" w:hAnsi="宋体" w:cs="宋体"/>
          <w:szCs w:val="21"/>
        </w:rPr>
        <w:t xml:space="preserve">）第二章“投标人须知”第1.4.3 </w:t>
      </w:r>
      <w:r>
        <w:rPr>
          <w:rFonts w:hint="eastAsia" w:ascii="宋体" w:hAnsi="宋体" w:cs="宋体"/>
          <w:szCs w:val="21"/>
        </w:rPr>
        <w:t>项</w:t>
      </w:r>
      <w:r>
        <w:rPr>
          <w:rFonts w:ascii="宋体" w:hAnsi="宋体" w:cs="宋体"/>
          <w:szCs w:val="21"/>
        </w:rPr>
        <w:t>规定的任何一种情形的；</w:t>
      </w:r>
    </w:p>
    <w:p w14:paraId="35613723">
      <w:pPr>
        <w:spacing w:line="360" w:lineRule="auto"/>
        <w:ind w:firstLine="420" w:firstLineChars="20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本次投标有串通投标、弄虚作假等其他违反招投标相关法律、法规行为的；</w:t>
      </w:r>
    </w:p>
    <w:p w14:paraId="4AC1BCFF">
      <w:pPr>
        <w:spacing w:line="360" w:lineRule="auto"/>
        <w:ind w:firstLine="420" w:firstLineChars="200"/>
        <w:rPr>
          <w:rFonts w:ascii="宋体" w:hAnsi="宋体" w:cs="宋体"/>
          <w:szCs w:val="21"/>
        </w:rPr>
      </w:pPr>
      <w:r>
        <w:rPr>
          <w:rFonts w:hint="eastAsia" w:ascii="宋体" w:hAnsi="宋体" w:cs="宋体"/>
          <w:szCs w:val="21"/>
        </w:rPr>
        <w:t>（3）拒绝按评标委员会要求澄清、说明或补正的。</w:t>
      </w:r>
    </w:p>
    <w:p w14:paraId="57075E50">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14:paraId="2983416C">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14:paraId="0C3E3875">
      <w:pPr>
        <w:spacing w:line="360" w:lineRule="auto"/>
        <w:ind w:firstLine="420" w:firstLineChars="200"/>
        <w:rPr>
          <w:rFonts w:ascii="宋体" w:hAnsi="宋体" w:cs="宋体"/>
          <w:szCs w:val="21"/>
        </w:rPr>
      </w:pPr>
      <w:r>
        <w:rPr>
          <w:rFonts w:hint="eastAsia" w:ascii="宋体" w:hAnsi="宋体" w:cs="宋体"/>
          <w:szCs w:val="21"/>
        </w:rPr>
        <w:t>（2）投标函中的总报价与已标价工程量清单总报价不一致，且工程量清单总报价与依据单价、工程数量、分部分项工程合价计算出的结果不一致的，由评标委员会作否决投标处理。</w:t>
      </w:r>
    </w:p>
    <w:p w14:paraId="690A30F0">
      <w:pPr>
        <w:pStyle w:val="5"/>
        <w:spacing w:before="0" w:after="0" w:line="360" w:lineRule="auto"/>
        <w:rPr>
          <w:rFonts w:ascii="宋体" w:hAnsi="宋体" w:cs="宋体"/>
          <w:sz w:val="21"/>
          <w:szCs w:val="21"/>
        </w:rPr>
      </w:pPr>
      <w:bookmarkStart w:id="403" w:name="_Toc484465184"/>
      <w:bookmarkStart w:id="404" w:name="_Toc26291"/>
      <w:bookmarkStart w:id="405" w:name="_Toc479262406"/>
      <w:r>
        <w:rPr>
          <w:rFonts w:ascii="宋体" w:hAnsi="宋体" w:cs="宋体"/>
          <w:sz w:val="21"/>
          <w:szCs w:val="21"/>
        </w:rPr>
        <w:t xml:space="preserve">3.2 </w:t>
      </w:r>
      <w:r>
        <w:rPr>
          <w:rFonts w:hint="eastAsia" w:ascii="宋体" w:hAnsi="宋体" w:cs="宋体"/>
          <w:sz w:val="21"/>
          <w:szCs w:val="21"/>
        </w:rPr>
        <w:t>评标结果</w:t>
      </w:r>
      <w:bookmarkEnd w:id="403"/>
      <w:bookmarkEnd w:id="404"/>
      <w:bookmarkEnd w:id="405"/>
    </w:p>
    <w:p w14:paraId="38A8185F">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14:paraId="599FDFAD">
      <w:pPr>
        <w:pStyle w:val="33"/>
        <w:spacing w:line="360" w:lineRule="auto"/>
        <w:rPr>
          <w:rFonts w:ascii="宋体" w:hAnsi="宋体"/>
          <w:b/>
          <w:sz w:val="28"/>
          <w:szCs w:val="28"/>
          <w:u w:val="none"/>
          <w:lang w:eastAsia="zh-CN"/>
        </w:rPr>
      </w:pPr>
      <w:r>
        <w:rPr>
          <w:rFonts w:ascii="宋体" w:hAnsi="宋体" w:cs="宋体"/>
          <w:szCs w:val="21"/>
          <w:lang w:eastAsia="zh-CN"/>
        </w:rPr>
        <w:br w:type="page"/>
      </w:r>
      <w:r>
        <w:rPr>
          <w:rFonts w:ascii="宋体" w:hAnsi="宋体"/>
          <w:b/>
          <w:sz w:val="28"/>
          <w:szCs w:val="28"/>
          <w:u w:val="none"/>
          <w:lang w:eastAsia="zh-CN"/>
        </w:rPr>
        <w:t>附件A：</w:t>
      </w:r>
      <w:r>
        <w:rPr>
          <w:rFonts w:hint="eastAsia" w:ascii="宋体" w:hAnsi="宋体"/>
          <w:b/>
          <w:sz w:val="28"/>
          <w:szCs w:val="28"/>
          <w:u w:val="none"/>
          <w:lang w:eastAsia="zh-CN"/>
        </w:rPr>
        <w:t>经评审的最低投标价法</w:t>
      </w:r>
      <w:r>
        <w:rPr>
          <w:rFonts w:ascii="宋体" w:hAnsi="宋体"/>
          <w:b/>
          <w:sz w:val="28"/>
          <w:szCs w:val="28"/>
          <w:u w:val="none"/>
          <w:lang w:eastAsia="zh-CN"/>
        </w:rPr>
        <w:t>否决投标情况一览表</w:t>
      </w:r>
    </w:p>
    <w:p w14:paraId="7D2E7E79">
      <w:pPr>
        <w:pStyle w:val="33"/>
        <w:spacing w:line="360" w:lineRule="auto"/>
        <w:ind w:firstLine="420" w:firstLineChars="200"/>
        <w:jc w:val="both"/>
        <w:rPr>
          <w:rFonts w:ascii="宋体" w:hAnsi="宋体"/>
          <w:sz w:val="21"/>
          <w:szCs w:val="21"/>
          <w:u w:val="none"/>
          <w:lang w:eastAsia="zh-CN"/>
        </w:rPr>
      </w:pPr>
      <w:r>
        <w:rPr>
          <w:rFonts w:hint="eastAsia" w:ascii="宋体" w:hAnsi="宋体"/>
          <w:sz w:val="21"/>
          <w:szCs w:val="21"/>
          <w:u w:val="none"/>
          <w:lang w:eastAsia="zh-CN"/>
        </w:rPr>
        <w:t>投标文件存在本一览表下列情形之一的，投标文件视为重大偏差并作否决投标处理，否则，评标委员会不得视为重大偏差而否决投标人的投标文件</w:t>
      </w:r>
      <w:r>
        <w:rPr>
          <w:rFonts w:ascii="宋体" w:hAnsi="宋体"/>
          <w:sz w:val="21"/>
          <w:szCs w:val="21"/>
          <w:u w:val="none"/>
          <w:lang w:eastAsia="zh-CN"/>
        </w:rPr>
        <w:t>。</w:t>
      </w:r>
    </w:p>
    <w:tbl>
      <w:tblPr>
        <w:tblStyle w:val="45"/>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14:paraId="72657E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65FE35E5">
            <w:pPr>
              <w:spacing w:line="400" w:lineRule="exact"/>
              <w:jc w:val="center"/>
              <w:rPr>
                <w:rFonts w:ascii="宋体" w:hAnsi="宋体"/>
                <w:b/>
                <w:szCs w:val="21"/>
              </w:rPr>
            </w:pPr>
            <w:r>
              <w:rPr>
                <w:rFonts w:ascii="宋体" w:hAnsi="宋体"/>
                <w:b/>
                <w:szCs w:val="21"/>
              </w:rPr>
              <w:t>章节号</w:t>
            </w:r>
          </w:p>
        </w:tc>
        <w:tc>
          <w:tcPr>
            <w:tcW w:w="1515" w:type="dxa"/>
            <w:vAlign w:val="center"/>
          </w:tcPr>
          <w:p w14:paraId="2E319D98">
            <w:pPr>
              <w:spacing w:line="400" w:lineRule="exact"/>
              <w:jc w:val="center"/>
              <w:rPr>
                <w:rFonts w:ascii="宋体" w:hAnsi="宋体"/>
                <w:b/>
                <w:szCs w:val="21"/>
              </w:rPr>
            </w:pPr>
            <w:r>
              <w:rPr>
                <w:rFonts w:ascii="宋体" w:hAnsi="宋体"/>
                <w:b/>
                <w:szCs w:val="21"/>
              </w:rPr>
              <w:t>条款名称</w:t>
            </w:r>
          </w:p>
        </w:tc>
        <w:tc>
          <w:tcPr>
            <w:tcW w:w="6333" w:type="dxa"/>
            <w:vAlign w:val="center"/>
          </w:tcPr>
          <w:p w14:paraId="7B0F4824">
            <w:pPr>
              <w:spacing w:line="400" w:lineRule="exact"/>
              <w:jc w:val="center"/>
              <w:rPr>
                <w:rFonts w:ascii="宋体" w:hAnsi="宋体"/>
                <w:b/>
                <w:szCs w:val="21"/>
              </w:rPr>
            </w:pPr>
            <w:r>
              <w:rPr>
                <w:rFonts w:ascii="宋体" w:hAnsi="宋体"/>
                <w:b/>
                <w:szCs w:val="21"/>
              </w:rPr>
              <w:t>否决投标条件</w:t>
            </w:r>
          </w:p>
        </w:tc>
      </w:tr>
      <w:tr w14:paraId="43E272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vAlign w:val="center"/>
          </w:tcPr>
          <w:p w14:paraId="655A7ECD">
            <w:pPr>
              <w:spacing w:line="400" w:lineRule="exact"/>
              <w:jc w:val="center"/>
              <w:rPr>
                <w:rFonts w:ascii="宋体" w:hAnsi="宋体"/>
                <w:szCs w:val="21"/>
              </w:rPr>
            </w:pPr>
            <w:r>
              <w:rPr>
                <w:rFonts w:hint="eastAsia" w:ascii="宋体" w:hAnsi="宋体"/>
                <w:szCs w:val="21"/>
              </w:rPr>
              <w:t>第三章</w:t>
            </w:r>
          </w:p>
        </w:tc>
        <w:tc>
          <w:tcPr>
            <w:tcW w:w="1515" w:type="dxa"/>
            <w:tcBorders>
              <w:bottom w:val="single" w:color="auto" w:sz="4" w:space="0"/>
            </w:tcBorders>
            <w:vAlign w:val="center"/>
          </w:tcPr>
          <w:p w14:paraId="59618511">
            <w:pPr>
              <w:spacing w:line="400" w:lineRule="exact"/>
              <w:jc w:val="center"/>
              <w:rPr>
                <w:rFonts w:ascii="宋体" w:hAnsi="宋体"/>
                <w:szCs w:val="21"/>
              </w:rPr>
            </w:pPr>
            <w:r>
              <w:rPr>
                <w:rFonts w:hint="eastAsia" w:ascii="宋体" w:hAnsi="宋体"/>
                <w:szCs w:val="21"/>
              </w:rPr>
              <w:t>技术方案评审</w:t>
            </w:r>
          </w:p>
          <w:p w14:paraId="603ACADB">
            <w:pPr>
              <w:spacing w:line="400" w:lineRule="exact"/>
              <w:jc w:val="center"/>
              <w:rPr>
                <w:rFonts w:ascii="宋体" w:hAnsi="宋体"/>
                <w:szCs w:val="21"/>
              </w:rPr>
            </w:pPr>
            <w:r>
              <w:rPr>
                <w:rFonts w:hint="eastAsia" w:ascii="宋体" w:hAnsi="宋体"/>
                <w:szCs w:val="21"/>
              </w:rPr>
              <w:t>（如有）</w:t>
            </w:r>
          </w:p>
        </w:tc>
        <w:tc>
          <w:tcPr>
            <w:tcW w:w="6333" w:type="dxa"/>
            <w:vAlign w:val="center"/>
          </w:tcPr>
          <w:p w14:paraId="0BD2EE39">
            <w:pPr>
              <w:spacing w:line="400" w:lineRule="exact"/>
              <w:ind w:firstLine="420" w:firstLineChars="200"/>
              <w:rPr>
                <w:rFonts w:ascii="宋体" w:hAnsi="宋体"/>
                <w:szCs w:val="21"/>
              </w:rPr>
            </w:pPr>
            <w:r>
              <w:rPr>
                <w:rFonts w:hint="eastAsia" w:ascii="宋体" w:hAnsi="宋体"/>
                <w:szCs w:val="21"/>
              </w:rPr>
              <w:t>A-1投标人的技术方案</w:t>
            </w:r>
            <w:r>
              <w:rPr>
                <w:rFonts w:ascii="宋体" w:hAnsi="宋体"/>
                <w:szCs w:val="21"/>
              </w:rPr>
              <w:t>有任何一项不满足评标办法前附表第2.2.1项评审标准要求的，技术方案</w:t>
            </w:r>
            <w:r>
              <w:rPr>
                <w:rFonts w:hint="eastAsia" w:ascii="宋体" w:hAnsi="宋体"/>
                <w:szCs w:val="21"/>
              </w:rPr>
              <w:t>评审不合格，由评标委员会作否决投标处理。</w:t>
            </w:r>
          </w:p>
        </w:tc>
      </w:tr>
      <w:tr w14:paraId="39F77A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2255C1">
            <w:pPr>
              <w:spacing w:line="400" w:lineRule="exact"/>
              <w:jc w:val="center"/>
              <w:rPr>
                <w:rFonts w:ascii="宋体" w:hAnsi="宋体"/>
                <w:szCs w:val="21"/>
              </w:rPr>
            </w:pPr>
          </w:p>
        </w:tc>
        <w:tc>
          <w:tcPr>
            <w:tcW w:w="1515" w:type="dxa"/>
            <w:vMerge w:val="restart"/>
            <w:tcBorders>
              <w:top w:val="single" w:color="auto" w:sz="4" w:space="0"/>
            </w:tcBorders>
            <w:vAlign w:val="center"/>
          </w:tcPr>
          <w:p w14:paraId="14CD59F9">
            <w:pPr>
              <w:spacing w:line="400" w:lineRule="exact"/>
              <w:jc w:val="center"/>
              <w:rPr>
                <w:rFonts w:ascii="宋体" w:hAnsi="宋体"/>
                <w:szCs w:val="21"/>
              </w:rPr>
            </w:pPr>
            <w:r>
              <w:rPr>
                <w:rFonts w:hint="eastAsia" w:ascii="宋体" w:hAnsi="宋体"/>
                <w:szCs w:val="21"/>
              </w:rPr>
              <w:t>资格评审</w:t>
            </w:r>
          </w:p>
        </w:tc>
        <w:tc>
          <w:tcPr>
            <w:tcW w:w="6333" w:type="dxa"/>
            <w:vAlign w:val="center"/>
          </w:tcPr>
          <w:p w14:paraId="4D3FC91A">
            <w:pPr>
              <w:spacing w:line="400" w:lineRule="exact"/>
              <w:ind w:firstLine="420" w:firstLineChars="200"/>
              <w:rPr>
                <w:rFonts w:ascii="宋体" w:hAnsi="宋体"/>
                <w:szCs w:val="21"/>
              </w:rPr>
            </w:pPr>
            <w:r>
              <w:rPr>
                <w:rFonts w:hint="eastAsia" w:ascii="宋体" w:hAnsi="宋体"/>
                <w:szCs w:val="21"/>
              </w:rPr>
              <w:t>A-2投标人的资质条件、营业执照及安全生产条件须满足投标人须知前附表第1.4.1项第1条的要求，否则由评标委员会作否决投标处理。</w:t>
            </w:r>
          </w:p>
        </w:tc>
      </w:tr>
      <w:tr w14:paraId="544FAD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C2F55E6">
            <w:pPr>
              <w:spacing w:line="400" w:lineRule="exact"/>
              <w:jc w:val="center"/>
              <w:rPr>
                <w:rFonts w:ascii="宋体" w:hAnsi="宋体"/>
                <w:szCs w:val="21"/>
              </w:rPr>
            </w:pPr>
          </w:p>
        </w:tc>
        <w:tc>
          <w:tcPr>
            <w:tcW w:w="1515" w:type="dxa"/>
            <w:vMerge w:val="continue"/>
            <w:vAlign w:val="center"/>
          </w:tcPr>
          <w:p w14:paraId="2EC7A1E8">
            <w:pPr>
              <w:spacing w:line="400" w:lineRule="exact"/>
              <w:jc w:val="center"/>
              <w:rPr>
                <w:rFonts w:ascii="宋体" w:hAnsi="宋体"/>
                <w:szCs w:val="21"/>
              </w:rPr>
            </w:pPr>
          </w:p>
        </w:tc>
        <w:tc>
          <w:tcPr>
            <w:tcW w:w="6333" w:type="dxa"/>
            <w:vAlign w:val="center"/>
          </w:tcPr>
          <w:p w14:paraId="1692B266">
            <w:pPr>
              <w:spacing w:line="400" w:lineRule="exact"/>
              <w:ind w:firstLine="420" w:firstLineChars="200"/>
              <w:rPr>
                <w:rFonts w:ascii="宋体" w:hAnsi="宋体"/>
                <w:szCs w:val="21"/>
              </w:rPr>
            </w:pPr>
            <w:r>
              <w:rPr>
                <w:rFonts w:hint="eastAsia" w:ascii="宋体" w:hAnsi="宋体"/>
                <w:szCs w:val="21"/>
              </w:rPr>
              <w:t>A-3投标人的财务须满足投标人须知前附表第1.4.1项第2条的要求，否则由评标委员会作否决投标处理（如有）。</w:t>
            </w:r>
          </w:p>
        </w:tc>
      </w:tr>
      <w:tr w14:paraId="5BB566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561079BE">
            <w:pPr>
              <w:spacing w:line="400" w:lineRule="exact"/>
              <w:jc w:val="center"/>
              <w:rPr>
                <w:rFonts w:ascii="宋体" w:hAnsi="宋体"/>
                <w:szCs w:val="21"/>
              </w:rPr>
            </w:pPr>
          </w:p>
        </w:tc>
        <w:tc>
          <w:tcPr>
            <w:tcW w:w="1515" w:type="dxa"/>
            <w:vMerge w:val="continue"/>
            <w:vAlign w:val="center"/>
          </w:tcPr>
          <w:p w14:paraId="31E1F09A">
            <w:pPr>
              <w:spacing w:line="400" w:lineRule="exact"/>
              <w:jc w:val="center"/>
              <w:rPr>
                <w:rFonts w:ascii="宋体" w:hAnsi="宋体"/>
                <w:szCs w:val="21"/>
              </w:rPr>
            </w:pPr>
          </w:p>
        </w:tc>
        <w:tc>
          <w:tcPr>
            <w:tcW w:w="6333" w:type="dxa"/>
            <w:vAlign w:val="center"/>
          </w:tcPr>
          <w:p w14:paraId="6C1F2110">
            <w:pPr>
              <w:spacing w:line="400" w:lineRule="exact"/>
              <w:ind w:firstLine="420" w:firstLineChars="200"/>
              <w:rPr>
                <w:rFonts w:ascii="宋体" w:hAnsi="宋体"/>
                <w:szCs w:val="21"/>
              </w:rPr>
            </w:pPr>
            <w:r>
              <w:rPr>
                <w:rFonts w:hint="eastAsia" w:ascii="宋体" w:hAnsi="宋体"/>
                <w:szCs w:val="21"/>
              </w:rPr>
              <w:t>A-4投标人的业绩须满足投标人须知前附表第1.4.1项第3条的要求，否则由评标委员会作否决投标处理（如有）。</w:t>
            </w:r>
          </w:p>
        </w:tc>
      </w:tr>
      <w:tr w14:paraId="6A0C486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0674AE25">
            <w:pPr>
              <w:spacing w:line="400" w:lineRule="exact"/>
              <w:jc w:val="center"/>
              <w:rPr>
                <w:rFonts w:ascii="宋体" w:hAnsi="宋体"/>
                <w:szCs w:val="21"/>
              </w:rPr>
            </w:pPr>
          </w:p>
        </w:tc>
        <w:tc>
          <w:tcPr>
            <w:tcW w:w="1515" w:type="dxa"/>
            <w:vMerge w:val="continue"/>
            <w:vAlign w:val="center"/>
          </w:tcPr>
          <w:p w14:paraId="4401802D">
            <w:pPr>
              <w:spacing w:line="400" w:lineRule="exact"/>
              <w:jc w:val="center"/>
              <w:rPr>
                <w:rFonts w:ascii="宋体" w:hAnsi="宋体"/>
                <w:szCs w:val="21"/>
              </w:rPr>
            </w:pPr>
          </w:p>
        </w:tc>
        <w:tc>
          <w:tcPr>
            <w:tcW w:w="6333" w:type="dxa"/>
            <w:vAlign w:val="center"/>
          </w:tcPr>
          <w:p w14:paraId="71E1A196">
            <w:pPr>
              <w:spacing w:line="400" w:lineRule="exact"/>
              <w:ind w:firstLine="420" w:firstLineChars="200"/>
              <w:rPr>
                <w:rFonts w:ascii="宋体" w:hAnsi="宋体"/>
                <w:szCs w:val="21"/>
              </w:rPr>
            </w:pPr>
            <w:r>
              <w:rPr>
                <w:rFonts w:hint="eastAsia" w:ascii="宋体" w:hAnsi="宋体"/>
                <w:szCs w:val="21"/>
              </w:rPr>
              <w:t>A-5投标人的投标截止日投标资格情况须满足投标人须知前附表第1.4.1项第4条的要求，否则由评标委员会作否决投标处理。</w:t>
            </w:r>
          </w:p>
        </w:tc>
      </w:tr>
      <w:tr w14:paraId="27ACFE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654B1704">
            <w:pPr>
              <w:spacing w:line="400" w:lineRule="exact"/>
              <w:jc w:val="center"/>
              <w:rPr>
                <w:rFonts w:ascii="宋体" w:hAnsi="宋体"/>
                <w:szCs w:val="21"/>
              </w:rPr>
            </w:pPr>
          </w:p>
        </w:tc>
        <w:tc>
          <w:tcPr>
            <w:tcW w:w="1515" w:type="dxa"/>
            <w:vMerge w:val="continue"/>
            <w:vAlign w:val="center"/>
          </w:tcPr>
          <w:p w14:paraId="3C7D71A5">
            <w:pPr>
              <w:spacing w:line="400" w:lineRule="exact"/>
              <w:jc w:val="center"/>
              <w:rPr>
                <w:rFonts w:ascii="宋体" w:hAnsi="宋体"/>
                <w:szCs w:val="21"/>
              </w:rPr>
            </w:pPr>
          </w:p>
        </w:tc>
        <w:tc>
          <w:tcPr>
            <w:tcW w:w="6333" w:type="dxa"/>
            <w:vAlign w:val="center"/>
          </w:tcPr>
          <w:p w14:paraId="7D9D982D">
            <w:pPr>
              <w:spacing w:line="400" w:lineRule="exact"/>
              <w:ind w:firstLine="420" w:firstLineChars="200"/>
              <w:rPr>
                <w:rFonts w:ascii="宋体" w:hAnsi="宋体"/>
                <w:szCs w:val="21"/>
              </w:rPr>
            </w:pPr>
            <w:r>
              <w:rPr>
                <w:rFonts w:hint="eastAsia" w:ascii="宋体" w:hAnsi="宋体"/>
                <w:szCs w:val="21"/>
              </w:rPr>
              <w:t>A-6投标人的项目经理资格须满足投标人须知前附表第1.4.1项第5条的要求，否则由评标委员会作否决投标处理。</w:t>
            </w:r>
          </w:p>
        </w:tc>
      </w:tr>
      <w:tr w14:paraId="18BD6D0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799A4C1F">
            <w:pPr>
              <w:spacing w:line="400" w:lineRule="exact"/>
              <w:jc w:val="center"/>
              <w:rPr>
                <w:rFonts w:ascii="宋体" w:hAnsi="宋体"/>
                <w:szCs w:val="21"/>
              </w:rPr>
            </w:pPr>
          </w:p>
        </w:tc>
        <w:tc>
          <w:tcPr>
            <w:tcW w:w="1515" w:type="dxa"/>
            <w:vMerge w:val="continue"/>
            <w:vAlign w:val="center"/>
          </w:tcPr>
          <w:p w14:paraId="40D333A2">
            <w:pPr>
              <w:spacing w:line="400" w:lineRule="exact"/>
              <w:jc w:val="center"/>
              <w:rPr>
                <w:rFonts w:ascii="宋体" w:hAnsi="宋体"/>
                <w:szCs w:val="21"/>
              </w:rPr>
            </w:pPr>
          </w:p>
        </w:tc>
        <w:tc>
          <w:tcPr>
            <w:tcW w:w="6333" w:type="dxa"/>
            <w:vAlign w:val="center"/>
          </w:tcPr>
          <w:p w14:paraId="789103C6">
            <w:pPr>
              <w:spacing w:line="400" w:lineRule="exact"/>
              <w:ind w:firstLine="420" w:firstLineChars="200"/>
              <w:rPr>
                <w:rFonts w:ascii="宋体" w:hAnsi="宋体"/>
                <w:szCs w:val="21"/>
              </w:rPr>
            </w:pPr>
            <w:r>
              <w:rPr>
                <w:rFonts w:hint="eastAsia" w:ascii="宋体" w:hAnsi="宋体"/>
                <w:szCs w:val="21"/>
              </w:rPr>
              <w:t>A-7投标人的其他要求须满足投标人须知前附表第1.4.1项第6条的要求，否则由评标委员会作否决投标处理。</w:t>
            </w:r>
          </w:p>
        </w:tc>
      </w:tr>
      <w:tr w14:paraId="6A3AF9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vAlign w:val="center"/>
          </w:tcPr>
          <w:p w14:paraId="27B4814B">
            <w:pPr>
              <w:spacing w:line="400" w:lineRule="exact"/>
              <w:jc w:val="center"/>
              <w:rPr>
                <w:rFonts w:ascii="宋体" w:hAnsi="宋体"/>
                <w:szCs w:val="21"/>
              </w:rPr>
            </w:pPr>
          </w:p>
        </w:tc>
        <w:tc>
          <w:tcPr>
            <w:tcW w:w="1515" w:type="dxa"/>
            <w:vMerge w:val="continue"/>
            <w:vAlign w:val="center"/>
          </w:tcPr>
          <w:p w14:paraId="040DE02B">
            <w:pPr>
              <w:spacing w:line="400" w:lineRule="exact"/>
              <w:jc w:val="center"/>
              <w:rPr>
                <w:rFonts w:ascii="宋体" w:hAnsi="宋体"/>
                <w:szCs w:val="21"/>
              </w:rPr>
            </w:pPr>
          </w:p>
        </w:tc>
        <w:tc>
          <w:tcPr>
            <w:tcW w:w="6333" w:type="dxa"/>
            <w:vAlign w:val="center"/>
          </w:tcPr>
          <w:p w14:paraId="31A7A6B5">
            <w:pPr>
              <w:spacing w:line="400" w:lineRule="exact"/>
              <w:ind w:firstLine="420" w:firstLineChars="200"/>
              <w:rPr>
                <w:rFonts w:ascii="宋体" w:hAnsi="宋体"/>
                <w:szCs w:val="21"/>
              </w:rPr>
            </w:pPr>
            <w:r>
              <w:rPr>
                <w:rFonts w:hint="eastAsia" w:ascii="宋体" w:hAnsi="宋体"/>
                <w:szCs w:val="21"/>
              </w:rPr>
              <w:t>A-8若有联合体投标人，则：</w:t>
            </w:r>
          </w:p>
          <w:p w14:paraId="7F57E75E">
            <w:pPr>
              <w:spacing w:line="400" w:lineRule="exact"/>
              <w:ind w:firstLine="420" w:firstLineChars="200"/>
              <w:rPr>
                <w:rFonts w:ascii="宋体" w:hAnsi="宋体"/>
                <w:szCs w:val="21"/>
              </w:rPr>
            </w:pPr>
            <w:r>
              <w:rPr>
                <w:rFonts w:hint="eastAsia" w:ascii="宋体" w:hAnsi="宋体"/>
                <w:szCs w:val="21"/>
              </w:rPr>
              <w:t>（1）联合体各方应按照采购文件提供的格式签订联合体协议书，明确联合体牵头人和各方权利义务；</w:t>
            </w:r>
          </w:p>
          <w:p w14:paraId="0039B028">
            <w:pPr>
              <w:spacing w:line="400" w:lineRule="exact"/>
              <w:ind w:firstLine="420" w:firstLineChars="200"/>
              <w:rPr>
                <w:rFonts w:ascii="宋体" w:hAnsi="宋体"/>
                <w:szCs w:val="21"/>
              </w:rPr>
            </w:pPr>
            <w:r>
              <w:rPr>
                <w:rFonts w:hint="eastAsia" w:ascii="宋体" w:hAnsi="宋体"/>
                <w:szCs w:val="21"/>
              </w:rPr>
              <w:t>（2）联合体各方均应当具备承担采购项目的相应能力，联合体协议约定同一专业分工由两个及以上单位共同承担的，按照资质等级较低的单位确定资质等级；</w:t>
            </w:r>
          </w:p>
          <w:p w14:paraId="47E5ED45">
            <w:pPr>
              <w:spacing w:line="400" w:lineRule="exact"/>
              <w:ind w:firstLine="420" w:firstLineChars="200"/>
              <w:rPr>
                <w:rFonts w:ascii="宋体" w:hAnsi="宋体"/>
                <w:szCs w:val="21"/>
              </w:rPr>
            </w:pPr>
            <w:r>
              <w:rPr>
                <w:rFonts w:hint="eastAsia" w:ascii="宋体" w:hAnsi="宋体"/>
                <w:szCs w:val="21"/>
              </w:rPr>
              <w:t>（3）联合体各方不得再以自己名义单独或参加其他联合体在同一标段中投标。</w:t>
            </w:r>
          </w:p>
          <w:p w14:paraId="6879EB6A">
            <w:pPr>
              <w:spacing w:line="400" w:lineRule="exact"/>
              <w:ind w:firstLine="420" w:firstLineChars="200"/>
              <w:rPr>
                <w:rFonts w:ascii="宋体" w:hAnsi="宋体"/>
                <w:szCs w:val="21"/>
              </w:rPr>
            </w:pPr>
            <w:r>
              <w:rPr>
                <w:rFonts w:hint="eastAsia" w:ascii="宋体" w:hAnsi="宋体"/>
                <w:szCs w:val="21"/>
              </w:rPr>
              <w:t>否则由评标委员会作否决投标处理。</w:t>
            </w:r>
          </w:p>
        </w:tc>
      </w:tr>
      <w:tr w14:paraId="039D46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FB07A72">
            <w:pPr>
              <w:spacing w:line="400" w:lineRule="exact"/>
              <w:jc w:val="center"/>
              <w:rPr>
                <w:rFonts w:ascii="宋体" w:hAnsi="宋体"/>
                <w:szCs w:val="21"/>
              </w:rPr>
            </w:pPr>
          </w:p>
        </w:tc>
        <w:tc>
          <w:tcPr>
            <w:tcW w:w="1515" w:type="dxa"/>
            <w:vMerge w:val="restart"/>
            <w:vAlign w:val="center"/>
          </w:tcPr>
          <w:p w14:paraId="67D2C141">
            <w:pPr>
              <w:spacing w:line="400" w:lineRule="exact"/>
              <w:jc w:val="center"/>
              <w:rPr>
                <w:rFonts w:ascii="宋体" w:hAnsi="宋体"/>
                <w:szCs w:val="21"/>
              </w:rPr>
            </w:pPr>
            <w:r>
              <w:rPr>
                <w:rFonts w:hint="eastAsia" w:ascii="宋体" w:hAnsi="宋体"/>
                <w:szCs w:val="21"/>
              </w:rPr>
              <w:t>形式评审</w:t>
            </w:r>
          </w:p>
        </w:tc>
        <w:tc>
          <w:tcPr>
            <w:tcW w:w="6333" w:type="dxa"/>
          </w:tcPr>
          <w:p w14:paraId="104A6013">
            <w:pPr>
              <w:spacing w:line="400" w:lineRule="exact"/>
              <w:ind w:firstLine="420" w:firstLineChars="200"/>
              <w:rPr>
                <w:rFonts w:ascii="宋体" w:hAnsi="宋体"/>
                <w:szCs w:val="21"/>
              </w:rPr>
            </w:pPr>
            <w:r>
              <w:rPr>
                <w:rFonts w:hint="eastAsia" w:ascii="宋体" w:hAnsi="宋体"/>
                <w:szCs w:val="21"/>
              </w:rPr>
              <w:t>A-9投标人名称必须与营业执照、资质证书、安全生产许可证一致，依法变更名称的应提交相应证明材料，</w:t>
            </w:r>
            <w:r>
              <w:rPr>
                <w:rFonts w:ascii="宋体" w:hAnsi="宋体"/>
                <w:szCs w:val="21"/>
              </w:rPr>
              <w:t>否则</w:t>
            </w:r>
            <w:r>
              <w:rPr>
                <w:rFonts w:hint="eastAsia" w:ascii="宋体" w:hAnsi="宋体"/>
                <w:szCs w:val="21"/>
              </w:rPr>
              <w:t>由评标委员会</w:t>
            </w:r>
            <w:r>
              <w:rPr>
                <w:rFonts w:ascii="宋体" w:hAnsi="宋体"/>
                <w:szCs w:val="21"/>
              </w:rPr>
              <w:t>作否决投标处理。</w:t>
            </w:r>
          </w:p>
        </w:tc>
      </w:tr>
      <w:tr w14:paraId="6B15DA9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352D152">
            <w:pPr>
              <w:spacing w:line="400" w:lineRule="exact"/>
              <w:jc w:val="center"/>
              <w:rPr>
                <w:rFonts w:ascii="宋体" w:hAnsi="宋体"/>
                <w:szCs w:val="21"/>
              </w:rPr>
            </w:pPr>
          </w:p>
        </w:tc>
        <w:tc>
          <w:tcPr>
            <w:tcW w:w="1515" w:type="dxa"/>
            <w:vMerge w:val="continue"/>
            <w:vAlign w:val="center"/>
          </w:tcPr>
          <w:p w14:paraId="58084DF8">
            <w:pPr>
              <w:spacing w:line="400" w:lineRule="exact"/>
              <w:jc w:val="center"/>
              <w:rPr>
                <w:rFonts w:ascii="宋体" w:hAnsi="宋体"/>
                <w:szCs w:val="21"/>
              </w:rPr>
            </w:pPr>
          </w:p>
        </w:tc>
        <w:tc>
          <w:tcPr>
            <w:tcW w:w="6333" w:type="dxa"/>
          </w:tcPr>
          <w:p w14:paraId="612700E9">
            <w:pPr>
              <w:spacing w:line="400" w:lineRule="exact"/>
              <w:ind w:firstLine="420" w:firstLineChars="200"/>
              <w:rPr>
                <w:rFonts w:ascii="宋体" w:hAnsi="宋体"/>
                <w:szCs w:val="21"/>
              </w:rPr>
            </w:pPr>
            <w:r>
              <w:rPr>
                <w:rFonts w:hint="eastAsia" w:ascii="宋体" w:hAnsi="宋体"/>
                <w:szCs w:val="21"/>
              </w:rPr>
              <w:t>A-10投标文件格式（不含投标函部分）符合第二章“投标人须知”第3.7款的要求，否则由评标委员会作否决投标处理。</w:t>
            </w:r>
          </w:p>
          <w:p w14:paraId="01F4A70D">
            <w:pPr>
              <w:spacing w:line="400" w:lineRule="exact"/>
              <w:ind w:firstLine="420" w:firstLineChars="200"/>
              <w:rPr>
                <w:rFonts w:ascii="宋体" w:hAnsi="宋体"/>
                <w:szCs w:val="21"/>
              </w:rPr>
            </w:pPr>
            <w:r>
              <w:rPr>
                <w:rFonts w:hint="eastAsia" w:ascii="宋体" w:hAnsi="宋体"/>
                <w:kern w:val="0"/>
                <w:szCs w:val="21"/>
              </w:rPr>
              <w:t>编制投标文件时不得对第八章“投标文件格式”的相应要素作实质性修改，否则</w:t>
            </w:r>
            <w:r>
              <w:rPr>
                <w:rFonts w:hint="eastAsia" w:ascii="宋体" w:hAnsi="宋体"/>
                <w:szCs w:val="21"/>
              </w:rPr>
              <w:t>视为重大偏差，</w:t>
            </w:r>
            <w:r>
              <w:rPr>
                <w:rFonts w:hint="eastAsia" w:ascii="宋体" w:hAnsi="宋体"/>
                <w:kern w:val="0"/>
                <w:szCs w:val="21"/>
              </w:rPr>
              <w:t>由评标委员会作否决投标处理。</w:t>
            </w:r>
          </w:p>
        </w:tc>
      </w:tr>
      <w:tr w14:paraId="350CC5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B5D13AE">
            <w:pPr>
              <w:spacing w:line="400" w:lineRule="exact"/>
              <w:jc w:val="center"/>
              <w:rPr>
                <w:rFonts w:ascii="宋体" w:hAnsi="宋体"/>
                <w:szCs w:val="21"/>
              </w:rPr>
            </w:pPr>
          </w:p>
        </w:tc>
        <w:tc>
          <w:tcPr>
            <w:tcW w:w="1515" w:type="dxa"/>
            <w:vMerge w:val="continue"/>
            <w:vAlign w:val="center"/>
          </w:tcPr>
          <w:p w14:paraId="67BB066E">
            <w:pPr>
              <w:spacing w:line="400" w:lineRule="exact"/>
              <w:jc w:val="center"/>
              <w:rPr>
                <w:rFonts w:ascii="宋体" w:hAnsi="宋体"/>
                <w:szCs w:val="21"/>
              </w:rPr>
            </w:pPr>
          </w:p>
        </w:tc>
        <w:tc>
          <w:tcPr>
            <w:tcW w:w="6333" w:type="dxa"/>
          </w:tcPr>
          <w:p w14:paraId="4E6739FF">
            <w:pPr>
              <w:spacing w:line="400" w:lineRule="exact"/>
              <w:ind w:firstLine="420" w:firstLineChars="200"/>
              <w:rPr>
                <w:rFonts w:ascii="宋体" w:hAnsi="宋体"/>
                <w:szCs w:val="21"/>
              </w:rPr>
            </w:pPr>
            <w:r>
              <w:rPr>
                <w:rFonts w:hint="eastAsia" w:ascii="宋体" w:hAnsi="宋体"/>
                <w:szCs w:val="21"/>
              </w:rPr>
              <w:t>A-11联合体参与投标的应提交联合体协议书，并明确联合体牵头人。在联合体协议中须明确由联合体牵头人委派委托代理人，否则由评标委员会作否决投标处理。</w:t>
            </w:r>
          </w:p>
        </w:tc>
      </w:tr>
      <w:tr w14:paraId="538737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23718E0">
            <w:pPr>
              <w:spacing w:line="400" w:lineRule="exact"/>
              <w:jc w:val="center"/>
              <w:rPr>
                <w:rFonts w:ascii="宋体" w:hAnsi="宋体"/>
                <w:szCs w:val="21"/>
              </w:rPr>
            </w:pPr>
          </w:p>
        </w:tc>
        <w:tc>
          <w:tcPr>
            <w:tcW w:w="1515" w:type="dxa"/>
            <w:vMerge w:val="continue"/>
            <w:vAlign w:val="center"/>
          </w:tcPr>
          <w:p w14:paraId="74CD2941">
            <w:pPr>
              <w:spacing w:line="400" w:lineRule="exact"/>
              <w:jc w:val="center"/>
              <w:rPr>
                <w:rFonts w:ascii="宋体" w:hAnsi="宋体"/>
                <w:szCs w:val="21"/>
              </w:rPr>
            </w:pPr>
          </w:p>
        </w:tc>
        <w:tc>
          <w:tcPr>
            <w:tcW w:w="6333" w:type="dxa"/>
          </w:tcPr>
          <w:p w14:paraId="1C4348CA">
            <w:pPr>
              <w:spacing w:line="400" w:lineRule="exact"/>
              <w:ind w:firstLine="420" w:firstLineChars="200"/>
              <w:rPr>
                <w:rFonts w:ascii="宋体" w:hAnsi="宋体"/>
                <w:szCs w:val="21"/>
              </w:rPr>
            </w:pPr>
            <w:r>
              <w:rPr>
                <w:rFonts w:hint="eastAsia" w:ascii="宋体" w:hAnsi="宋体"/>
                <w:szCs w:val="21"/>
              </w:rPr>
              <w:t>A-12第八章 投标文件格式（不含投标函部分）要求法定代表人或其委托代理人签字（或盖章）的须齐全，否则由评标委员会作否决投标处理。</w:t>
            </w:r>
          </w:p>
          <w:p w14:paraId="4FE8A574">
            <w:pPr>
              <w:spacing w:line="400" w:lineRule="exact"/>
              <w:ind w:firstLine="420" w:firstLineChars="200"/>
              <w:rPr>
                <w:rFonts w:ascii="宋体" w:hAnsi="宋体"/>
                <w:szCs w:val="21"/>
              </w:rPr>
            </w:pPr>
            <w:r>
              <w:rPr>
                <w:rFonts w:hint="eastAsia" w:ascii="宋体" w:hAnsi="宋体"/>
                <w:szCs w:val="21"/>
              </w:rPr>
              <w:t>若投标单位为联合体，则联合体协议书中各联合体成员单位签字（或盖章）须齐全，联合体协议书以外的投标文件格式中，要求法定代表人或其委托代理人签字（或盖章）的均由联合体牵头人法定代表人或其委托代理人签字（或盖章），否则由评标委员会作否决投标处理。</w:t>
            </w:r>
          </w:p>
        </w:tc>
      </w:tr>
      <w:tr w14:paraId="15854A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E51CC05">
            <w:pPr>
              <w:spacing w:line="400" w:lineRule="exact"/>
              <w:jc w:val="center"/>
              <w:rPr>
                <w:rFonts w:ascii="宋体" w:hAnsi="宋体"/>
                <w:szCs w:val="21"/>
              </w:rPr>
            </w:pPr>
          </w:p>
        </w:tc>
        <w:tc>
          <w:tcPr>
            <w:tcW w:w="1515" w:type="dxa"/>
            <w:vMerge w:val="continue"/>
            <w:vAlign w:val="center"/>
          </w:tcPr>
          <w:p w14:paraId="07C7016F">
            <w:pPr>
              <w:spacing w:line="400" w:lineRule="exact"/>
              <w:jc w:val="center"/>
              <w:rPr>
                <w:rFonts w:ascii="宋体" w:hAnsi="宋体"/>
                <w:szCs w:val="21"/>
              </w:rPr>
            </w:pPr>
          </w:p>
        </w:tc>
        <w:tc>
          <w:tcPr>
            <w:tcW w:w="6333" w:type="dxa"/>
          </w:tcPr>
          <w:p w14:paraId="44E82226">
            <w:pPr>
              <w:spacing w:line="400" w:lineRule="exact"/>
              <w:ind w:firstLine="420" w:firstLineChars="200"/>
              <w:rPr>
                <w:rFonts w:ascii="宋体" w:hAnsi="宋体"/>
                <w:szCs w:val="21"/>
              </w:rPr>
            </w:pPr>
            <w:r>
              <w:rPr>
                <w:rFonts w:hint="eastAsia" w:ascii="宋体" w:hAnsi="宋体"/>
                <w:szCs w:val="21"/>
              </w:rPr>
              <w:t>A-13投标人法定代表人的委托代理人有法定代表人签署的授权委托书和投标人为其缴纳的养老保险证明材料。否则由评标委员会作否决投标处理。</w:t>
            </w:r>
          </w:p>
        </w:tc>
      </w:tr>
      <w:tr w14:paraId="433D41B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36897E6">
            <w:pPr>
              <w:spacing w:line="400" w:lineRule="exact"/>
              <w:jc w:val="center"/>
              <w:rPr>
                <w:rFonts w:ascii="宋体" w:hAnsi="宋体"/>
                <w:szCs w:val="21"/>
              </w:rPr>
            </w:pPr>
          </w:p>
        </w:tc>
        <w:tc>
          <w:tcPr>
            <w:tcW w:w="1515" w:type="dxa"/>
            <w:vMerge w:val="restart"/>
            <w:vAlign w:val="center"/>
          </w:tcPr>
          <w:p w14:paraId="2DEBF4E8">
            <w:pPr>
              <w:spacing w:line="400" w:lineRule="exact"/>
              <w:jc w:val="center"/>
              <w:rPr>
                <w:rFonts w:ascii="宋体" w:hAnsi="宋体"/>
                <w:szCs w:val="21"/>
              </w:rPr>
            </w:pPr>
            <w:r>
              <w:rPr>
                <w:rFonts w:hint="eastAsia" w:ascii="宋体" w:hAnsi="宋体"/>
                <w:szCs w:val="21"/>
              </w:rPr>
              <w:t>响应性评审</w:t>
            </w:r>
          </w:p>
        </w:tc>
        <w:tc>
          <w:tcPr>
            <w:tcW w:w="6333" w:type="dxa"/>
            <w:vAlign w:val="center"/>
          </w:tcPr>
          <w:p w14:paraId="1D509CD1">
            <w:pPr>
              <w:spacing w:line="400" w:lineRule="exact"/>
              <w:ind w:firstLine="420" w:firstLineChars="200"/>
              <w:rPr>
                <w:rFonts w:ascii="宋体" w:hAnsi="宋体"/>
                <w:szCs w:val="21"/>
              </w:rPr>
            </w:pPr>
            <w:r>
              <w:rPr>
                <w:rFonts w:hint="eastAsia" w:ascii="宋体" w:hAnsi="宋体"/>
                <w:szCs w:val="21"/>
              </w:rPr>
              <w:t>A-14投标内容符合第二章“投标人须知”第1.3.1项规定，否则由评标委员会作否决投标处理。</w:t>
            </w:r>
          </w:p>
        </w:tc>
      </w:tr>
      <w:tr w14:paraId="4208840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620" w:hRule="atLeast"/>
          <w:jc w:val="center"/>
        </w:trPr>
        <w:tc>
          <w:tcPr>
            <w:tcW w:w="961" w:type="dxa"/>
            <w:vMerge w:val="continue"/>
            <w:vAlign w:val="center"/>
          </w:tcPr>
          <w:p w14:paraId="29322775">
            <w:pPr>
              <w:spacing w:line="400" w:lineRule="exact"/>
              <w:jc w:val="center"/>
              <w:rPr>
                <w:rFonts w:ascii="宋体" w:hAnsi="宋体"/>
                <w:szCs w:val="21"/>
              </w:rPr>
            </w:pPr>
          </w:p>
        </w:tc>
        <w:tc>
          <w:tcPr>
            <w:tcW w:w="1515" w:type="dxa"/>
            <w:vMerge w:val="continue"/>
            <w:vAlign w:val="center"/>
          </w:tcPr>
          <w:p w14:paraId="12C7C765">
            <w:pPr>
              <w:spacing w:line="400" w:lineRule="exact"/>
              <w:jc w:val="center"/>
              <w:rPr>
                <w:rFonts w:ascii="宋体" w:hAnsi="宋体"/>
                <w:szCs w:val="21"/>
              </w:rPr>
            </w:pPr>
          </w:p>
        </w:tc>
        <w:tc>
          <w:tcPr>
            <w:tcW w:w="6333" w:type="dxa"/>
            <w:vAlign w:val="center"/>
          </w:tcPr>
          <w:p w14:paraId="4EA77FD2">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5</w:t>
            </w:r>
            <w:r>
              <w:rPr>
                <w:rFonts w:hint="eastAsia" w:ascii="宋体" w:hAnsi="宋体"/>
                <w:szCs w:val="21"/>
              </w:rPr>
              <w:t>符合第四章“合同条款及格式”规定，投标文件不应附有采购人不能接受的条件。否则由评标委员会作否决投标处理。（由投标人承诺，承诺书格式详见第八章投标文件格式。）</w:t>
            </w:r>
          </w:p>
        </w:tc>
      </w:tr>
      <w:tr w14:paraId="18EAA6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D118BF">
            <w:pPr>
              <w:spacing w:line="400" w:lineRule="exact"/>
              <w:jc w:val="center"/>
              <w:rPr>
                <w:rFonts w:ascii="宋体" w:hAnsi="宋体"/>
                <w:szCs w:val="21"/>
              </w:rPr>
            </w:pPr>
          </w:p>
        </w:tc>
        <w:tc>
          <w:tcPr>
            <w:tcW w:w="1515" w:type="dxa"/>
            <w:vMerge w:val="continue"/>
            <w:vAlign w:val="center"/>
          </w:tcPr>
          <w:p w14:paraId="2277E56A">
            <w:pPr>
              <w:spacing w:line="400" w:lineRule="exact"/>
              <w:jc w:val="center"/>
              <w:rPr>
                <w:rFonts w:ascii="宋体" w:hAnsi="宋体"/>
                <w:szCs w:val="21"/>
              </w:rPr>
            </w:pPr>
          </w:p>
        </w:tc>
        <w:tc>
          <w:tcPr>
            <w:tcW w:w="6333" w:type="dxa"/>
            <w:vAlign w:val="center"/>
          </w:tcPr>
          <w:p w14:paraId="1D441DEE">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6</w:t>
            </w:r>
            <w:r>
              <w:rPr>
                <w:rFonts w:hint="eastAsia" w:ascii="宋体" w:hAnsi="宋体"/>
                <w:szCs w:val="21"/>
              </w:rPr>
              <w:t>符合第七章“技术标准和要求”规定。否则由评标委员会作否决投标处理（如有）。（由投标人承诺，承诺书格式详见第八章投标文件格式。）</w:t>
            </w:r>
          </w:p>
        </w:tc>
      </w:tr>
      <w:tr w14:paraId="76B355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5A3948C">
            <w:pPr>
              <w:spacing w:line="400" w:lineRule="exact"/>
              <w:jc w:val="center"/>
              <w:rPr>
                <w:rFonts w:ascii="宋体" w:hAnsi="宋体"/>
                <w:szCs w:val="21"/>
              </w:rPr>
            </w:pPr>
          </w:p>
        </w:tc>
        <w:tc>
          <w:tcPr>
            <w:tcW w:w="1515" w:type="dxa"/>
            <w:vMerge w:val="continue"/>
            <w:vAlign w:val="center"/>
          </w:tcPr>
          <w:p w14:paraId="543290D9">
            <w:pPr>
              <w:spacing w:line="400" w:lineRule="exact"/>
              <w:jc w:val="center"/>
              <w:rPr>
                <w:rFonts w:ascii="宋体" w:hAnsi="宋体"/>
                <w:szCs w:val="21"/>
              </w:rPr>
            </w:pPr>
          </w:p>
        </w:tc>
        <w:tc>
          <w:tcPr>
            <w:tcW w:w="6333" w:type="dxa"/>
            <w:vAlign w:val="center"/>
          </w:tcPr>
          <w:p w14:paraId="73B2B927">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7</w:t>
            </w:r>
            <w:r>
              <w:rPr>
                <w:rFonts w:hint="eastAsia" w:ascii="宋体" w:hAnsi="宋体"/>
                <w:szCs w:val="21"/>
              </w:rPr>
              <w:t>投标人有以下情形之一的，其投标文件由评标委员会</w:t>
            </w:r>
            <w:r>
              <w:rPr>
                <w:rFonts w:ascii="宋体" w:hAnsi="宋体"/>
                <w:szCs w:val="21"/>
              </w:rPr>
              <w:t>作否决投标处理</w:t>
            </w:r>
            <w:r>
              <w:rPr>
                <w:rFonts w:hint="eastAsia" w:ascii="宋体" w:hAnsi="宋体"/>
                <w:szCs w:val="21"/>
              </w:rPr>
              <w:t>：</w:t>
            </w:r>
          </w:p>
          <w:p w14:paraId="7378D329">
            <w:pPr>
              <w:spacing w:line="400" w:lineRule="exact"/>
              <w:ind w:firstLine="420" w:firstLineChars="200"/>
              <w:rPr>
                <w:rFonts w:ascii="宋体" w:hAnsi="宋体"/>
                <w:szCs w:val="21"/>
              </w:rPr>
            </w:pPr>
            <w:r>
              <w:rPr>
                <w:rFonts w:hint="eastAsia" w:ascii="宋体" w:hAnsi="宋体"/>
                <w:szCs w:val="21"/>
              </w:rPr>
              <w:t>1.第二章“投标人须知”第1.4.3项规定的任何一种情形的；</w:t>
            </w:r>
          </w:p>
          <w:p w14:paraId="59A25902">
            <w:pPr>
              <w:spacing w:line="400" w:lineRule="exact"/>
              <w:ind w:firstLine="420" w:firstLineChars="200"/>
              <w:rPr>
                <w:rFonts w:ascii="宋体" w:hAnsi="宋体"/>
                <w:szCs w:val="21"/>
              </w:rPr>
            </w:pPr>
            <w:r>
              <w:rPr>
                <w:rFonts w:hint="eastAsia" w:ascii="宋体" w:hAnsi="宋体"/>
                <w:szCs w:val="21"/>
              </w:rPr>
              <w:t>2.本次投标有串通投标、弄虚作假等违反招投标相关法律、法规的行为的；</w:t>
            </w:r>
          </w:p>
          <w:p w14:paraId="34CA2BEB">
            <w:pPr>
              <w:spacing w:line="400" w:lineRule="exact"/>
              <w:ind w:firstLine="420" w:firstLineChars="200"/>
              <w:rPr>
                <w:rFonts w:ascii="宋体" w:hAnsi="宋体"/>
                <w:szCs w:val="21"/>
              </w:rPr>
            </w:pPr>
            <w:r>
              <w:rPr>
                <w:rFonts w:hint="eastAsia" w:ascii="宋体" w:hAnsi="宋体"/>
                <w:szCs w:val="21"/>
              </w:rPr>
              <w:t>3.拒绝按评标委员会要求澄清、说明或补正的。</w:t>
            </w:r>
          </w:p>
        </w:tc>
      </w:tr>
      <w:tr w14:paraId="4CE158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5FBB1C3">
            <w:pPr>
              <w:spacing w:line="400" w:lineRule="exact"/>
              <w:jc w:val="center"/>
              <w:rPr>
                <w:rFonts w:ascii="宋体" w:hAnsi="宋体"/>
                <w:szCs w:val="21"/>
              </w:rPr>
            </w:pPr>
          </w:p>
        </w:tc>
        <w:tc>
          <w:tcPr>
            <w:tcW w:w="1515" w:type="dxa"/>
            <w:vMerge w:val="restart"/>
            <w:vAlign w:val="center"/>
          </w:tcPr>
          <w:p w14:paraId="747AE461">
            <w:pPr>
              <w:spacing w:line="400" w:lineRule="exact"/>
              <w:jc w:val="center"/>
              <w:rPr>
                <w:rFonts w:ascii="宋体" w:hAnsi="宋体"/>
                <w:szCs w:val="21"/>
              </w:rPr>
            </w:pPr>
            <w:r>
              <w:rPr>
                <w:rFonts w:ascii="宋体" w:hAnsi="宋体"/>
                <w:szCs w:val="21"/>
              </w:rPr>
              <w:t>投标函部分及经济部分评审</w:t>
            </w:r>
          </w:p>
        </w:tc>
        <w:tc>
          <w:tcPr>
            <w:tcW w:w="6333" w:type="dxa"/>
            <w:vAlign w:val="center"/>
          </w:tcPr>
          <w:p w14:paraId="57E776CF">
            <w:pPr>
              <w:spacing w:line="400" w:lineRule="exact"/>
              <w:ind w:firstLine="420" w:firstLineChars="200"/>
              <w:rPr>
                <w:rFonts w:ascii="宋体" w:hAnsi="宋体"/>
                <w:szCs w:val="21"/>
              </w:rPr>
            </w:pPr>
            <w:r>
              <w:rPr>
                <w:rFonts w:hint="eastAsia" w:ascii="宋体" w:hAnsi="宋体"/>
                <w:szCs w:val="21"/>
              </w:rPr>
              <w:t>A-1</w:t>
            </w:r>
            <w:r>
              <w:rPr>
                <w:rFonts w:ascii="宋体" w:hAnsi="宋体"/>
                <w:szCs w:val="21"/>
              </w:rPr>
              <w:t>8</w:t>
            </w:r>
            <w:r>
              <w:rPr>
                <w:rFonts w:hint="eastAsia" w:ascii="宋体" w:hAnsi="宋体"/>
                <w:szCs w:val="21"/>
              </w:rPr>
              <w:t>投标函部分的格式符合第二章“投标人须知”第3.7款的要求，否则由评标委员会作否决投标处理。</w:t>
            </w:r>
          </w:p>
        </w:tc>
      </w:tr>
      <w:tr w14:paraId="70E14C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010B609">
            <w:pPr>
              <w:spacing w:line="400" w:lineRule="exact"/>
              <w:jc w:val="center"/>
              <w:rPr>
                <w:rFonts w:ascii="宋体" w:hAnsi="宋体"/>
                <w:szCs w:val="21"/>
              </w:rPr>
            </w:pPr>
          </w:p>
        </w:tc>
        <w:tc>
          <w:tcPr>
            <w:tcW w:w="1515" w:type="dxa"/>
            <w:vMerge w:val="continue"/>
            <w:vAlign w:val="center"/>
          </w:tcPr>
          <w:p w14:paraId="1E056F79">
            <w:pPr>
              <w:spacing w:line="400" w:lineRule="exact"/>
              <w:jc w:val="center"/>
              <w:rPr>
                <w:rFonts w:ascii="宋体" w:hAnsi="宋体"/>
                <w:szCs w:val="21"/>
              </w:rPr>
            </w:pPr>
          </w:p>
        </w:tc>
        <w:tc>
          <w:tcPr>
            <w:tcW w:w="6333" w:type="dxa"/>
            <w:vAlign w:val="center"/>
          </w:tcPr>
          <w:p w14:paraId="6A2EA624">
            <w:pPr>
              <w:spacing w:line="400" w:lineRule="exact"/>
              <w:ind w:firstLine="420" w:firstLineChars="200"/>
              <w:rPr>
                <w:rFonts w:ascii="宋体" w:hAnsi="宋体"/>
                <w:szCs w:val="21"/>
              </w:rPr>
            </w:pPr>
            <w:r>
              <w:rPr>
                <w:rFonts w:hint="eastAsia" w:ascii="宋体" w:hAnsi="宋体"/>
                <w:szCs w:val="21"/>
              </w:rPr>
              <w:t>A-</w:t>
            </w:r>
            <w:r>
              <w:rPr>
                <w:rFonts w:hint="eastAsia" w:ascii="宋体" w:hAnsi="宋体"/>
                <w:szCs w:val="21"/>
                <w:lang w:val="en-US" w:eastAsia="zh-CN"/>
              </w:rPr>
              <w:t>1</w:t>
            </w:r>
            <w:r>
              <w:rPr>
                <w:rFonts w:ascii="宋体" w:hAnsi="宋体"/>
                <w:szCs w:val="21"/>
              </w:rPr>
              <w:t>9</w:t>
            </w:r>
            <w:r>
              <w:rPr>
                <w:rFonts w:hint="eastAsia" w:ascii="宋体" w:hAnsi="宋体"/>
                <w:szCs w:val="21"/>
              </w:rPr>
              <w:t>工期符合第二章“投标人须知”第1.3.2项规定，否则由评标委员会作否决投标处理。</w:t>
            </w:r>
          </w:p>
        </w:tc>
      </w:tr>
      <w:tr w14:paraId="1081BF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08435371">
            <w:pPr>
              <w:spacing w:line="400" w:lineRule="exact"/>
              <w:jc w:val="center"/>
              <w:rPr>
                <w:rFonts w:ascii="宋体" w:hAnsi="宋体"/>
                <w:szCs w:val="21"/>
              </w:rPr>
            </w:pPr>
          </w:p>
        </w:tc>
        <w:tc>
          <w:tcPr>
            <w:tcW w:w="1515" w:type="dxa"/>
            <w:vMerge w:val="continue"/>
            <w:vAlign w:val="center"/>
          </w:tcPr>
          <w:p w14:paraId="2104DAE8">
            <w:pPr>
              <w:spacing w:line="400" w:lineRule="exact"/>
              <w:jc w:val="center"/>
              <w:rPr>
                <w:rFonts w:ascii="宋体" w:hAnsi="宋体"/>
                <w:szCs w:val="21"/>
              </w:rPr>
            </w:pPr>
          </w:p>
        </w:tc>
        <w:tc>
          <w:tcPr>
            <w:tcW w:w="6333" w:type="dxa"/>
            <w:vAlign w:val="center"/>
          </w:tcPr>
          <w:p w14:paraId="694E4147">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20</w:t>
            </w:r>
            <w:r>
              <w:rPr>
                <w:rFonts w:hint="eastAsia" w:ascii="宋体" w:hAnsi="宋体"/>
                <w:szCs w:val="21"/>
              </w:rPr>
              <w:t>工程质量符合第二章“投标人须知”第1.3.3项规定，否则由评标委员会作否决投标处理。</w:t>
            </w:r>
          </w:p>
        </w:tc>
      </w:tr>
      <w:tr w14:paraId="710D8EB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6C2508F8">
            <w:pPr>
              <w:spacing w:line="400" w:lineRule="exact"/>
              <w:jc w:val="center"/>
              <w:rPr>
                <w:rFonts w:ascii="宋体" w:hAnsi="宋体"/>
                <w:szCs w:val="21"/>
              </w:rPr>
            </w:pPr>
          </w:p>
        </w:tc>
        <w:tc>
          <w:tcPr>
            <w:tcW w:w="1515" w:type="dxa"/>
            <w:vMerge w:val="continue"/>
            <w:vAlign w:val="center"/>
          </w:tcPr>
          <w:p w14:paraId="21A7C8FC">
            <w:pPr>
              <w:spacing w:line="400" w:lineRule="exact"/>
              <w:jc w:val="center"/>
              <w:rPr>
                <w:rFonts w:ascii="宋体" w:hAnsi="宋体"/>
                <w:szCs w:val="21"/>
              </w:rPr>
            </w:pPr>
          </w:p>
        </w:tc>
        <w:tc>
          <w:tcPr>
            <w:tcW w:w="6333" w:type="dxa"/>
            <w:vAlign w:val="center"/>
          </w:tcPr>
          <w:p w14:paraId="49339C92">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21</w:t>
            </w:r>
            <w:r>
              <w:rPr>
                <w:rFonts w:hint="eastAsia" w:ascii="宋体" w:hAnsi="宋体"/>
                <w:szCs w:val="21"/>
              </w:rPr>
              <w:t>投标有效期符合第二章“投标人须知”第3.3.1项规定，否则由评标委员会作否决投标处理。</w:t>
            </w:r>
          </w:p>
        </w:tc>
      </w:tr>
      <w:tr w14:paraId="25F6BB5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21D2FD7E">
            <w:pPr>
              <w:spacing w:line="400" w:lineRule="exact"/>
              <w:jc w:val="center"/>
              <w:rPr>
                <w:rFonts w:ascii="宋体" w:hAnsi="宋体"/>
                <w:szCs w:val="21"/>
              </w:rPr>
            </w:pPr>
          </w:p>
        </w:tc>
        <w:tc>
          <w:tcPr>
            <w:tcW w:w="1515" w:type="dxa"/>
            <w:vMerge w:val="continue"/>
            <w:vAlign w:val="center"/>
          </w:tcPr>
          <w:p w14:paraId="6DC03F86">
            <w:pPr>
              <w:spacing w:line="400" w:lineRule="exact"/>
              <w:jc w:val="center"/>
              <w:rPr>
                <w:rFonts w:ascii="宋体" w:hAnsi="宋体"/>
                <w:szCs w:val="21"/>
              </w:rPr>
            </w:pPr>
          </w:p>
        </w:tc>
        <w:tc>
          <w:tcPr>
            <w:tcW w:w="6333" w:type="dxa"/>
            <w:vAlign w:val="center"/>
          </w:tcPr>
          <w:p w14:paraId="74C6942B">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22</w:t>
            </w:r>
            <w:r>
              <w:rPr>
                <w:rFonts w:hint="eastAsia" w:ascii="宋体" w:hAnsi="宋体"/>
                <w:szCs w:val="21"/>
              </w:rPr>
              <w:t>投标函中的总报价必须与已标价工程量清单总报价一致,且工程量清单总报价与依据单价、工程数量、分部分项工程合价计算出的结果应一致，否则由评标委员会作否决投标处理。</w:t>
            </w:r>
          </w:p>
        </w:tc>
      </w:tr>
      <w:tr w14:paraId="597ED6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3A835FB6">
            <w:pPr>
              <w:spacing w:line="400" w:lineRule="exact"/>
              <w:jc w:val="center"/>
              <w:rPr>
                <w:rFonts w:ascii="宋体" w:hAnsi="宋体"/>
                <w:szCs w:val="21"/>
              </w:rPr>
            </w:pPr>
          </w:p>
        </w:tc>
        <w:tc>
          <w:tcPr>
            <w:tcW w:w="1515" w:type="dxa"/>
            <w:vMerge w:val="continue"/>
            <w:vAlign w:val="center"/>
          </w:tcPr>
          <w:p w14:paraId="45AECE36">
            <w:pPr>
              <w:spacing w:line="400" w:lineRule="exact"/>
              <w:jc w:val="center"/>
              <w:rPr>
                <w:rFonts w:ascii="宋体" w:hAnsi="宋体"/>
                <w:szCs w:val="21"/>
              </w:rPr>
            </w:pPr>
          </w:p>
        </w:tc>
        <w:tc>
          <w:tcPr>
            <w:tcW w:w="6333" w:type="dxa"/>
            <w:vAlign w:val="center"/>
          </w:tcPr>
          <w:p w14:paraId="446BABA5">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23</w:t>
            </w:r>
            <w:r>
              <w:rPr>
                <w:rFonts w:hint="eastAsia" w:ascii="宋体" w:hAnsi="宋体"/>
                <w:szCs w:val="21"/>
              </w:rPr>
              <w:t xml:space="preserve"> 投标函中的总报价不得高于采购人公布的投标总报价最高限价，否则由评标委员会作否决投标处理。</w:t>
            </w:r>
          </w:p>
        </w:tc>
      </w:tr>
      <w:tr w14:paraId="1E9DE7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ADEDFA">
            <w:pPr>
              <w:spacing w:line="400" w:lineRule="exact"/>
              <w:jc w:val="center"/>
              <w:rPr>
                <w:rFonts w:ascii="宋体" w:hAnsi="宋体"/>
                <w:szCs w:val="21"/>
              </w:rPr>
            </w:pPr>
          </w:p>
        </w:tc>
        <w:tc>
          <w:tcPr>
            <w:tcW w:w="1515" w:type="dxa"/>
            <w:vMerge w:val="continue"/>
            <w:vAlign w:val="center"/>
          </w:tcPr>
          <w:p w14:paraId="4B9DA352">
            <w:pPr>
              <w:spacing w:line="400" w:lineRule="exact"/>
              <w:jc w:val="center"/>
              <w:rPr>
                <w:rFonts w:ascii="宋体" w:hAnsi="宋体"/>
                <w:szCs w:val="21"/>
              </w:rPr>
            </w:pPr>
          </w:p>
        </w:tc>
        <w:tc>
          <w:tcPr>
            <w:tcW w:w="6333" w:type="dxa"/>
            <w:vAlign w:val="center"/>
          </w:tcPr>
          <w:p w14:paraId="5BBC2FEC">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24</w:t>
            </w:r>
            <w:r>
              <w:rPr>
                <w:rFonts w:hint="eastAsia" w:ascii="宋体" w:hAnsi="宋体"/>
                <w:szCs w:val="21"/>
              </w:rPr>
              <w:t>投标总报价低于最高限价85%的，投标人应在编制投标文件时，在投标函部分中递交低价风险担保缴纳承诺书。承诺书格式详见第八章投标文件格式,否则由评标委员会作否决投标处理。</w:t>
            </w:r>
          </w:p>
        </w:tc>
      </w:tr>
      <w:tr w14:paraId="344B3C6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0DFAF7B">
            <w:pPr>
              <w:spacing w:line="400" w:lineRule="exact"/>
              <w:jc w:val="center"/>
              <w:rPr>
                <w:rFonts w:ascii="宋体" w:hAnsi="宋体"/>
                <w:szCs w:val="21"/>
              </w:rPr>
            </w:pPr>
          </w:p>
        </w:tc>
        <w:tc>
          <w:tcPr>
            <w:tcW w:w="1515" w:type="dxa"/>
            <w:vMerge w:val="continue"/>
            <w:vAlign w:val="center"/>
          </w:tcPr>
          <w:p w14:paraId="68311F42">
            <w:pPr>
              <w:spacing w:line="400" w:lineRule="exact"/>
              <w:jc w:val="center"/>
              <w:rPr>
                <w:rFonts w:ascii="宋体" w:hAnsi="宋体"/>
                <w:szCs w:val="21"/>
              </w:rPr>
            </w:pPr>
          </w:p>
        </w:tc>
        <w:tc>
          <w:tcPr>
            <w:tcW w:w="6333" w:type="dxa"/>
            <w:vAlign w:val="center"/>
          </w:tcPr>
          <w:p w14:paraId="0F5CC3B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25</w:t>
            </w:r>
            <w:r>
              <w:rPr>
                <w:rFonts w:hint="eastAsia" w:ascii="宋体" w:hAnsi="宋体"/>
                <w:szCs w:val="21"/>
              </w:rPr>
              <w:t>投标函中的安全文明施工费必须按照采购人给出的暂定金额填报，否则视为对采购文件不作实质性响应，其投标文件由评标委员会作否决投标处理。</w:t>
            </w:r>
          </w:p>
        </w:tc>
      </w:tr>
      <w:tr w14:paraId="3938D4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77B41A34">
            <w:pPr>
              <w:spacing w:line="400" w:lineRule="exact"/>
              <w:jc w:val="center"/>
              <w:rPr>
                <w:rFonts w:ascii="宋体" w:hAnsi="宋体"/>
                <w:szCs w:val="21"/>
              </w:rPr>
            </w:pPr>
          </w:p>
        </w:tc>
        <w:tc>
          <w:tcPr>
            <w:tcW w:w="1515" w:type="dxa"/>
            <w:vMerge w:val="continue"/>
            <w:vAlign w:val="center"/>
          </w:tcPr>
          <w:p w14:paraId="145DC7FA">
            <w:pPr>
              <w:spacing w:line="400" w:lineRule="exact"/>
              <w:jc w:val="center"/>
              <w:rPr>
                <w:rFonts w:ascii="宋体" w:hAnsi="宋体"/>
                <w:szCs w:val="21"/>
              </w:rPr>
            </w:pPr>
          </w:p>
        </w:tc>
        <w:tc>
          <w:tcPr>
            <w:tcW w:w="6333" w:type="dxa"/>
            <w:vAlign w:val="center"/>
          </w:tcPr>
          <w:p w14:paraId="5E762EF7">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26</w:t>
            </w:r>
            <w:r>
              <w:rPr>
                <w:rFonts w:hint="eastAsia" w:ascii="宋体" w:hAnsi="宋体"/>
                <w:szCs w:val="21"/>
              </w:rPr>
              <w:t>只能有一个有效报价。在采购文件没有规定的情况下，不得提交选择性报价，否则由评标委员会作否决投标处理。</w:t>
            </w:r>
          </w:p>
        </w:tc>
      </w:tr>
      <w:tr w14:paraId="62657D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7F23AD7">
            <w:pPr>
              <w:spacing w:line="400" w:lineRule="exact"/>
              <w:jc w:val="center"/>
              <w:rPr>
                <w:rFonts w:ascii="宋体" w:hAnsi="宋体"/>
                <w:szCs w:val="21"/>
              </w:rPr>
            </w:pPr>
          </w:p>
        </w:tc>
        <w:tc>
          <w:tcPr>
            <w:tcW w:w="1515" w:type="dxa"/>
            <w:vMerge w:val="continue"/>
            <w:vAlign w:val="center"/>
          </w:tcPr>
          <w:p w14:paraId="400FA931">
            <w:pPr>
              <w:spacing w:line="400" w:lineRule="exact"/>
              <w:jc w:val="center"/>
              <w:rPr>
                <w:rFonts w:ascii="宋体" w:hAnsi="宋体"/>
                <w:szCs w:val="21"/>
              </w:rPr>
            </w:pPr>
          </w:p>
        </w:tc>
        <w:tc>
          <w:tcPr>
            <w:tcW w:w="6333" w:type="dxa"/>
            <w:vAlign w:val="center"/>
          </w:tcPr>
          <w:p w14:paraId="023BC314">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27</w:t>
            </w:r>
            <w:r>
              <w:rPr>
                <w:rFonts w:hint="eastAsia" w:ascii="宋体" w:hAnsi="宋体"/>
                <w:szCs w:val="21"/>
              </w:rPr>
              <w:t>投标人必须按采购工程量清单填报价格。项目编码、项目名称、项目特征、计量单位、工程量必须与采购工程量清单一致。否则交由评标委员会作否决投标处理。</w:t>
            </w:r>
          </w:p>
        </w:tc>
      </w:tr>
      <w:tr w14:paraId="2E7A01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43CD95CE">
            <w:pPr>
              <w:spacing w:line="400" w:lineRule="exact"/>
              <w:jc w:val="center"/>
              <w:rPr>
                <w:rFonts w:ascii="宋体" w:hAnsi="宋体"/>
                <w:szCs w:val="21"/>
              </w:rPr>
            </w:pPr>
          </w:p>
        </w:tc>
        <w:tc>
          <w:tcPr>
            <w:tcW w:w="1515" w:type="dxa"/>
            <w:vMerge w:val="continue"/>
            <w:vAlign w:val="center"/>
          </w:tcPr>
          <w:p w14:paraId="6069C301">
            <w:pPr>
              <w:spacing w:line="400" w:lineRule="exact"/>
              <w:jc w:val="center"/>
              <w:rPr>
                <w:rFonts w:ascii="宋体" w:hAnsi="宋体"/>
                <w:szCs w:val="21"/>
              </w:rPr>
            </w:pPr>
          </w:p>
        </w:tc>
        <w:tc>
          <w:tcPr>
            <w:tcW w:w="6333" w:type="dxa"/>
            <w:vAlign w:val="center"/>
          </w:tcPr>
          <w:p w14:paraId="29C092DE">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28</w:t>
            </w:r>
            <w:r>
              <w:rPr>
                <w:rFonts w:hint="eastAsia" w:ascii="宋体" w:hAnsi="宋体"/>
                <w:szCs w:val="21"/>
              </w:rPr>
              <w:t>采购人在工程量清单中所列出的价格（包括暂列金额、暂估价等），投标人不得修改，否则由评标委员会作否决投标处理。</w:t>
            </w:r>
          </w:p>
        </w:tc>
      </w:tr>
      <w:tr w14:paraId="41B89E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5FADDE91">
            <w:pPr>
              <w:spacing w:line="400" w:lineRule="exact"/>
              <w:jc w:val="center"/>
              <w:rPr>
                <w:rFonts w:ascii="宋体" w:hAnsi="宋体"/>
                <w:szCs w:val="21"/>
              </w:rPr>
            </w:pPr>
          </w:p>
        </w:tc>
        <w:tc>
          <w:tcPr>
            <w:tcW w:w="1515" w:type="dxa"/>
            <w:vMerge w:val="continue"/>
            <w:vAlign w:val="center"/>
          </w:tcPr>
          <w:p w14:paraId="7E7E12EC">
            <w:pPr>
              <w:spacing w:line="400" w:lineRule="exact"/>
              <w:jc w:val="center"/>
              <w:rPr>
                <w:rFonts w:ascii="宋体" w:hAnsi="宋体"/>
                <w:szCs w:val="21"/>
              </w:rPr>
            </w:pPr>
          </w:p>
        </w:tc>
        <w:tc>
          <w:tcPr>
            <w:tcW w:w="6333" w:type="dxa"/>
            <w:vAlign w:val="center"/>
          </w:tcPr>
          <w:p w14:paraId="778A13B9">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29</w:t>
            </w:r>
            <w:r>
              <w:rPr>
                <w:rFonts w:hint="eastAsia" w:ascii="宋体" w:hAnsi="宋体"/>
                <w:szCs w:val="21"/>
              </w:rPr>
              <w:t>投标人的每项清单综合单价报价不得超过每项清单综合单价最高限价，否则由评标委员会作否决投标处理。</w:t>
            </w:r>
          </w:p>
        </w:tc>
      </w:tr>
      <w:tr w14:paraId="6CC087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vAlign w:val="center"/>
          </w:tcPr>
          <w:p w14:paraId="1043DC5C">
            <w:pPr>
              <w:spacing w:line="400" w:lineRule="exact"/>
              <w:jc w:val="center"/>
              <w:rPr>
                <w:rFonts w:ascii="宋体" w:hAnsi="宋体"/>
                <w:szCs w:val="21"/>
              </w:rPr>
            </w:pPr>
          </w:p>
        </w:tc>
        <w:tc>
          <w:tcPr>
            <w:tcW w:w="1515" w:type="dxa"/>
            <w:vMerge w:val="continue"/>
            <w:vAlign w:val="center"/>
          </w:tcPr>
          <w:p w14:paraId="4ABA92F1">
            <w:pPr>
              <w:spacing w:line="400" w:lineRule="exact"/>
              <w:jc w:val="center"/>
              <w:rPr>
                <w:rFonts w:ascii="宋体" w:hAnsi="宋体"/>
                <w:szCs w:val="21"/>
              </w:rPr>
            </w:pPr>
          </w:p>
        </w:tc>
        <w:tc>
          <w:tcPr>
            <w:tcW w:w="6333" w:type="dxa"/>
            <w:vAlign w:val="center"/>
          </w:tcPr>
          <w:p w14:paraId="5EF55CBD">
            <w:pPr>
              <w:spacing w:line="400" w:lineRule="exact"/>
              <w:ind w:firstLine="420" w:firstLineChars="200"/>
              <w:rPr>
                <w:rFonts w:ascii="宋体" w:hAnsi="宋体"/>
                <w:szCs w:val="21"/>
              </w:rPr>
            </w:pPr>
            <w:r>
              <w:rPr>
                <w:rFonts w:hint="eastAsia" w:ascii="宋体" w:hAnsi="宋体"/>
                <w:szCs w:val="21"/>
              </w:rPr>
              <w:t>A-</w:t>
            </w:r>
            <w:r>
              <w:rPr>
                <w:rFonts w:ascii="宋体" w:hAnsi="宋体"/>
                <w:szCs w:val="21"/>
              </w:rPr>
              <w:t>30</w:t>
            </w:r>
            <w:r>
              <w:rPr>
                <w:rFonts w:hint="eastAsia" w:ascii="宋体" w:hAnsi="宋体"/>
                <w:szCs w:val="21"/>
              </w:rPr>
              <w:t>投标报价有算术错误的，按照第三章“评标办法”第3.2.3项规定执行，否则由评标委员会作否决投标处理。</w:t>
            </w:r>
          </w:p>
        </w:tc>
      </w:tr>
      <w:tr w14:paraId="4D725EB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Align w:val="center"/>
          </w:tcPr>
          <w:p w14:paraId="0F9CCFC9">
            <w:pPr>
              <w:spacing w:line="400" w:lineRule="exact"/>
              <w:jc w:val="center"/>
              <w:rPr>
                <w:rFonts w:ascii="宋体" w:hAnsi="宋体"/>
                <w:szCs w:val="21"/>
              </w:rPr>
            </w:pPr>
          </w:p>
        </w:tc>
        <w:tc>
          <w:tcPr>
            <w:tcW w:w="1515" w:type="dxa"/>
            <w:vAlign w:val="center"/>
          </w:tcPr>
          <w:p w14:paraId="21CE8042">
            <w:pPr>
              <w:spacing w:line="400" w:lineRule="exact"/>
              <w:jc w:val="center"/>
              <w:rPr>
                <w:rFonts w:hint="eastAsia" w:ascii="宋体" w:hAnsi="宋体" w:eastAsia="宋体"/>
                <w:szCs w:val="21"/>
                <w:lang w:eastAsia="zh-CN"/>
              </w:rPr>
            </w:pPr>
            <w:r>
              <w:rPr>
                <w:rFonts w:hint="eastAsia" w:ascii="宋体" w:hAnsi="宋体"/>
                <w:szCs w:val="21"/>
                <w:lang w:eastAsia="zh-CN"/>
              </w:rPr>
              <w:t>其他</w:t>
            </w:r>
          </w:p>
        </w:tc>
        <w:tc>
          <w:tcPr>
            <w:tcW w:w="6333" w:type="dxa"/>
            <w:vAlign w:val="center"/>
          </w:tcPr>
          <w:p w14:paraId="489F0755">
            <w:pPr>
              <w:spacing w:line="400" w:lineRule="exact"/>
              <w:ind w:firstLine="420" w:firstLineChars="200"/>
              <w:rPr>
                <w:rFonts w:hint="default" w:ascii="宋体" w:hAnsi="宋体" w:eastAsia="宋体"/>
                <w:szCs w:val="21"/>
                <w:lang w:val="en-US" w:eastAsia="zh-CN"/>
              </w:rPr>
            </w:pPr>
            <w:r>
              <w:rPr>
                <w:rFonts w:hint="eastAsia" w:ascii="宋体" w:hAnsi="宋体"/>
                <w:szCs w:val="21"/>
                <w:lang w:val="en-US" w:eastAsia="zh-CN"/>
              </w:rPr>
              <w:t>A-31</w:t>
            </w:r>
            <w:r>
              <w:rPr>
                <w:rFonts w:hint="eastAsia" w:ascii="宋体" w:hAnsi="宋体"/>
                <w:b w:val="0"/>
                <w:bCs w:val="0"/>
                <w:kern w:val="0"/>
                <w:szCs w:val="21"/>
                <w:lang w:eastAsia="zh-CN"/>
              </w:rPr>
              <w:t>“</w:t>
            </w:r>
            <w:r>
              <w:rPr>
                <w:rFonts w:hint="eastAsia" w:ascii="宋体" w:hAnsi="宋体"/>
                <w:b w:val="0"/>
                <w:bCs w:val="0"/>
                <w:color w:val="auto"/>
                <w:kern w:val="0"/>
                <w:szCs w:val="21"/>
              </w:rPr>
              <w:t>渣场处置费</w:t>
            </w:r>
            <w:r>
              <w:rPr>
                <w:rFonts w:hint="eastAsia" w:ascii="宋体" w:hAnsi="宋体"/>
                <w:b w:val="0"/>
                <w:bCs w:val="0"/>
                <w:color w:val="auto"/>
                <w:kern w:val="0"/>
                <w:szCs w:val="21"/>
                <w:lang w:eastAsia="zh-CN"/>
              </w:rPr>
              <w:t>（土石方）”</w:t>
            </w:r>
            <w:r>
              <w:rPr>
                <w:rFonts w:hint="eastAsia" w:ascii="宋体" w:hAnsi="宋体"/>
                <w:b w:val="0"/>
                <w:bCs w:val="0"/>
                <w:color w:val="auto"/>
                <w:kern w:val="0"/>
                <w:szCs w:val="21"/>
              </w:rPr>
              <w:t>必须按照工程量清单</w:t>
            </w:r>
            <w:r>
              <w:rPr>
                <w:rFonts w:hint="eastAsia" w:ascii="宋体" w:hAnsi="宋体"/>
                <w:b w:val="0"/>
                <w:bCs w:val="0"/>
                <w:color w:val="auto"/>
                <w:kern w:val="0"/>
                <w:szCs w:val="21"/>
                <w:lang w:eastAsia="zh-CN"/>
              </w:rPr>
              <w:t>价进行</w:t>
            </w:r>
            <w:r>
              <w:rPr>
                <w:rFonts w:hint="eastAsia" w:ascii="宋体" w:hAnsi="宋体"/>
                <w:b w:val="0"/>
                <w:bCs w:val="0"/>
                <w:color w:val="auto"/>
                <w:kern w:val="0"/>
                <w:szCs w:val="21"/>
              </w:rPr>
              <w:t>填报，否则由评标委员会作否决投标处理。</w:t>
            </w:r>
          </w:p>
        </w:tc>
      </w:tr>
    </w:tbl>
    <w:p w14:paraId="334260CA">
      <w:pPr>
        <w:pStyle w:val="33"/>
        <w:spacing w:line="360" w:lineRule="auto"/>
        <w:jc w:val="both"/>
        <w:rPr>
          <w:rFonts w:ascii="宋体" w:hAnsi="宋体"/>
          <w:sz w:val="21"/>
          <w:szCs w:val="21"/>
          <w:u w:val="none"/>
          <w:lang w:eastAsia="zh-CN"/>
        </w:rPr>
      </w:pPr>
    </w:p>
    <w:p w14:paraId="10BA000B">
      <w:pPr>
        <w:spacing w:line="200" w:lineRule="exact"/>
        <w:rPr>
          <w:rFonts w:ascii="宋体" w:hAnsi="宋体"/>
          <w:kern w:val="0"/>
        </w:rPr>
      </w:pPr>
      <w:r>
        <w:rPr>
          <w:rFonts w:ascii="宋体" w:hAnsi="宋体"/>
          <w:snapToGrid w:val="0"/>
          <w:kern w:val="0"/>
        </w:rPr>
        <w:br w:type="page"/>
      </w:r>
      <w:bookmarkStart w:id="406" w:name="招标文件03章02评标办法综合评估法"/>
      <w:bookmarkEnd w:id="406"/>
      <w:bookmarkStart w:id="407" w:name="招标文件03章02评标办法综合评估法00"/>
      <w:bookmarkEnd w:id="407"/>
      <w:bookmarkStart w:id="408" w:name="_Toc430530500"/>
      <w:bookmarkStart w:id="409" w:name="_Toc287607812"/>
      <w:bookmarkStart w:id="410" w:name="_Toc287620751"/>
      <w:bookmarkStart w:id="411" w:name="_Toc224103384"/>
      <w:bookmarkStart w:id="412" w:name="_Toc200513198"/>
      <w:bookmarkStart w:id="413" w:name="_Toc277082618"/>
    </w:p>
    <w:bookmarkEnd w:id="408"/>
    <w:bookmarkEnd w:id="409"/>
    <w:bookmarkEnd w:id="410"/>
    <w:bookmarkEnd w:id="411"/>
    <w:bookmarkEnd w:id="412"/>
    <w:bookmarkEnd w:id="413"/>
    <w:p w14:paraId="3A0D2FE9">
      <w:pPr>
        <w:pStyle w:val="3"/>
        <w:spacing w:line="360" w:lineRule="auto"/>
        <w:jc w:val="center"/>
        <w:rPr>
          <w:rFonts w:ascii="宋体" w:hAnsi="宋体"/>
          <w:kern w:val="0"/>
        </w:rPr>
      </w:pPr>
      <w:bookmarkStart w:id="414" w:name="_Toc22492"/>
      <w:bookmarkStart w:id="415" w:name="_Toc509218785"/>
      <w:bookmarkStart w:id="416" w:name="_Toc430530509"/>
      <w:r>
        <w:rPr>
          <w:rFonts w:hint="eastAsia" w:ascii="宋体" w:hAnsi="宋体"/>
          <w:kern w:val="0"/>
        </w:rPr>
        <w:t>第四章  合同条款及格式</w:t>
      </w:r>
      <w:bookmarkEnd w:id="414"/>
      <w:bookmarkEnd w:id="415"/>
      <w:bookmarkEnd w:id="416"/>
    </w:p>
    <w:p w14:paraId="3CC95132">
      <w:pPr>
        <w:rPr>
          <w:rFonts w:ascii="宋体" w:hAnsi="宋体"/>
          <w:sz w:val="44"/>
          <w:szCs w:val="44"/>
        </w:rPr>
      </w:pPr>
      <w:r>
        <w:rPr>
          <w:rFonts w:ascii="宋体" w:hAnsi="宋体"/>
        </w:rPr>
        <w:br w:type="page"/>
      </w:r>
      <w:bookmarkStart w:id="417" w:name="_Toc296503025"/>
      <w:bookmarkStart w:id="418" w:name="_Toc296890982"/>
      <w:bookmarkStart w:id="419" w:name="_Toc351203480"/>
      <w:r>
        <mc:AlternateContent>
          <mc:Choice Requires="wps">
            <w:drawing>
              <wp:anchor distT="0" distB="0" distL="114300" distR="114300" simplePos="0" relativeHeight="251659264" behindDoc="0" locked="0" layoutInCell="1" allowOverlap="1">
                <wp:simplePos x="0" y="0"/>
                <wp:positionH relativeFrom="column">
                  <wp:posOffset>2691130</wp:posOffset>
                </wp:positionH>
                <wp:positionV relativeFrom="paragraph">
                  <wp:posOffset>8717280</wp:posOffset>
                </wp:positionV>
                <wp:extent cx="807720" cy="693420"/>
                <wp:effectExtent l="0" t="0" r="11430" b="11430"/>
                <wp:wrapNone/>
                <wp:docPr id="1" name="矩形 130"/>
                <wp:cNvGraphicFramePr/>
                <a:graphic xmlns:a="http://schemas.openxmlformats.org/drawingml/2006/main">
                  <a:graphicData uri="http://schemas.microsoft.com/office/word/2010/wordprocessingShape">
                    <wps:wsp>
                      <wps:cNvSpPr/>
                      <wps:spPr>
                        <a:xfrm>
                          <a:off x="0" y="0"/>
                          <a:ext cx="807720" cy="693420"/>
                        </a:xfrm>
                        <a:prstGeom prst="rect">
                          <a:avLst/>
                        </a:prstGeom>
                        <a:solidFill>
                          <a:srgbClr val="FFFFFF"/>
                        </a:solidFill>
                        <a:ln>
                          <a:noFill/>
                        </a:ln>
                        <a:effectLst/>
                      </wps:spPr>
                      <wps:txbx>
                        <w:txbxContent>
                          <w:p w14:paraId="04DA99AA"/>
                        </w:txbxContent>
                      </wps:txbx>
                      <wps:bodyPr wrap="square" upright="1"/>
                    </wps:wsp>
                  </a:graphicData>
                </a:graphic>
              </wp:anchor>
            </w:drawing>
          </mc:Choice>
          <mc:Fallback>
            <w:pict>
              <v:rect id="矩形 130" o:spid="_x0000_s1026" o:spt="1" style="position:absolute;left:0pt;margin-left:211.9pt;margin-top:686.4pt;height:54.6pt;width:63.6pt;z-index:251659264;mso-width-relative:page;mso-height-relative:page;" fillcolor="#FFFFFF" filled="t" stroked="f" coordsize="21600,21600" o:gfxdata="UEsDBAoAAAAAAIdO4kAAAAAAAAAAAAAAAAAEAAAAZHJzL1BLAwQUAAAACACHTuJAPPXnd9kAAAAN&#10;AQAADwAAAGRycy9kb3ducmV2LnhtbE2PzU7DMBCE70i8g7VI3Kidv1JCnB6QegIOtEhct7GbRMTr&#10;EDtteHuWE9x2d0az31TbxQ3ibKfQe9KQrBQIS403PbUa3g+7uw2IEJEMDp6shm8bYFtfX1VYGn+h&#10;N3vex1ZwCIUSNXQxjqWUoemsw7DyoyXWTn5yGHmdWmkmvHC4G2Sq1Fo67Ik/dDjap842n/vZacB1&#10;br5eT9nL4Xle40O7qF3xobS+vUnUI4hol/hnhl98RoeamY5+JhPEoCFPM0aPLGT3KU9sKYqE6x35&#10;lG9SBbKu5P8W9Q9QSwMEFAAAAAgAh07iQMfWtKnEAQAAhwMAAA4AAABkcnMvZTJvRG9jLnhtbK1T&#10;S27bMBDdF+gdCO5ryU6RpILlLGq4m6INkPYANEVJBPjrDG3JpynQXQ/R4xS9RoeU6qTJJotoQc2Q&#10;wzfz3gzXN6M17KgAtXc1Xy5KzpSTvtGuq/nXL7s315xhFK4RxjtV85NCfrN5/Wo9hEqtfO9No4AR&#10;iMNqCDXvYwxVUaDslRW48EE5Omw9WBHJha5oQAyEbk2xKsvLYvDQBPBSIdLudjrkMyI8B9C3rZZq&#10;6+XBKhcnVFBGRKKEvQ7IN7natlUyfm5bVJGZmhPTmFdKQvY+rcVmLaoOROi1nEsQzynhEScrtKOk&#10;Z6itiIIdQD+BslqCR9/GhfS2mIhkRYjFsnykzV0vgspcSGoMZ9Hx5WDlp+MtMN3QJHDmhKWG//n+&#10;8/evH2x5kdUZAlYUdBdugbRKHpKZqI4t2PQnEmzMip7OiqoxMkmb1+XV1Yq0lnR0+e7iLdmEUtxf&#10;DoDxg/KWJaPmQA3LOorjR4xT6L+QlAu90c1OG5Md6PbvDbCjoObu8jej/xdmXAp2Pl2bEKcdlcdj&#10;TnNPLFlx3I8z271vTqTQQCNSc/x2EKA4OwTQXU/1LnPCdIX6k4nNs5QG4KFP9sP3s/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PPXnd9kAAAANAQAADwAAAAAAAAABACAAAAAiAAAAZHJzL2Rvd25y&#10;ZXYueG1sUEsBAhQAFAAAAAgAh07iQMfWtKnEAQAAhwMAAA4AAAAAAAAAAQAgAAAAKAEAAGRycy9l&#10;Mm9Eb2MueG1sUEsFBgAAAAAGAAYAWQEAAF4FAAAAAA==&#10;">
                <v:fill on="t" focussize="0,0"/>
                <v:stroke on="f"/>
                <v:imagedata o:title=""/>
                <o:lock v:ext="edit" aspectratio="f"/>
                <v:textbox>
                  <w:txbxContent>
                    <w:p w14:paraId="04DA99AA"/>
                  </w:txbxContent>
                </v:textbox>
              </v:rect>
            </w:pict>
          </mc:Fallback>
        </mc:AlternateContent>
      </w:r>
    </w:p>
    <w:p w14:paraId="49B2B892">
      <w:pPr>
        <w:pStyle w:val="5"/>
        <w:jc w:val="center"/>
        <w:rPr>
          <w:rFonts w:ascii="宋体" w:hAnsi="宋体"/>
          <w:b w:val="0"/>
          <w:sz w:val="44"/>
          <w:szCs w:val="44"/>
        </w:rPr>
      </w:pPr>
      <w:bookmarkStart w:id="420" w:name="_Toc509218786"/>
      <w:bookmarkStart w:id="421" w:name="_Toc534185765"/>
      <w:bookmarkStart w:id="422" w:name="_Toc30225"/>
      <w:bookmarkStart w:id="423" w:name="_Toc351203494"/>
      <w:r>
        <w:rPr>
          <w:rFonts w:ascii="宋体" w:hAnsi="宋体"/>
          <w:sz w:val="44"/>
          <w:szCs w:val="44"/>
        </w:rPr>
        <w:t>第一部分 合同协议书</w:t>
      </w:r>
      <w:bookmarkEnd w:id="420"/>
      <w:bookmarkEnd w:id="421"/>
      <w:bookmarkEnd w:id="422"/>
    </w:p>
    <w:bookmarkEnd w:id="423"/>
    <w:p w14:paraId="3BF8B773">
      <w:pPr>
        <w:snapToGrid w:val="0"/>
        <w:spacing w:line="600" w:lineRule="exact"/>
        <w:ind w:firstLine="480" w:firstLineChars="200"/>
        <w:rPr>
          <w:rFonts w:ascii="宋体" w:hAnsi="宋体"/>
          <w:sz w:val="24"/>
        </w:rPr>
      </w:pPr>
      <w:bookmarkStart w:id="424" w:name="_Toc351203632"/>
    </w:p>
    <w:p w14:paraId="477257DE">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16A91088">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3FE7FA52">
      <w:pPr>
        <w:spacing w:line="360" w:lineRule="auto"/>
        <w:ind w:firstLine="420" w:firstLineChars="200"/>
        <w:rPr>
          <w:rFonts w:ascii="宋体" w:hAnsi="宋体"/>
          <w:b/>
          <w:szCs w:val="21"/>
          <w:u w:val="single"/>
        </w:rPr>
      </w:pPr>
      <w:r>
        <w:rPr>
          <w:rFonts w:hint="eastAsia" w:ascii="宋体" w:hAnsi="宋体"/>
          <w:szCs w:val="21"/>
        </w:rPr>
        <w:t>根据《中华人民共和国民法典》、《中华人民共和国建筑法》及有关法律、法规规定，遵循平等、自愿、公平和诚实信用的原则，双方就</w:t>
      </w:r>
      <w:r>
        <w:rPr>
          <w:rFonts w:hint="eastAsia" w:ascii="宋体" w:hAnsi="宋体"/>
          <w:szCs w:val="21"/>
          <w:u w:val="single"/>
        </w:rPr>
        <w:t xml:space="preserve">                           </w:t>
      </w:r>
      <w:r>
        <w:rPr>
          <w:rFonts w:hint="eastAsia" w:ascii="宋体" w:hAnsi="宋体"/>
          <w:szCs w:val="21"/>
        </w:rPr>
        <w:t>工程施工及有关事项协商一致，共同达成如下协议：</w:t>
      </w:r>
    </w:p>
    <w:p w14:paraId="31049C1D">
      <w:pPr>
        <w:pStyle w:val="6"/>
        <w:keepNext/>
        <w:keepLines/>
        <w:spacing w:before="120" w:after="120" w:line="360" w:lineRule="auto"/>
        <w:ind w:firstLine="422" w:firstLineChars="200"/>
        <w:jc w:val="both"/>
        <w:rPr>
          <w:kern w:val="2"/>
          <w:sz w:val="21"/>
          <w:szCs w:val="21"/>
        </w:rPr>
      </w:pPr>
      <w:bookmarkStart w:id="425" w:name="_Toc532377166"/>
      <w:bookmarkStart w:id="426" w:name="_Toc532375573"/>
      <w:bookmarkStart w:id="427" w:name="_Toc351203481"/>
      <w:r>
        <w:rPr>
          <w:rFonts w:hint="eastAsia"/>
          <w:kern w:val="2"/>
          <w:sz w:val="21"/>
          <w:szCs w:val="21"/>
        </w:rPr>
        <w:t>一、工程概况</w:t>
      </w:r>
      <w:bookmarkEnd w:id="425"/>
      <w:bookmarkEnd w:id="426"/>
      <w:bookmarkEnd w:id="427"/>
    </w:p>
    <w:p w14:paraId="6CAA800C">
      <w:pPr>
        <w:snapToGrid w:val="0"/>
        <w:spacing w:line="360" w:lineRule="auto"/>
        <w:ind w:firstLine="420" w:firstLineChars="200"/>
        <w:rPr>
          <w:rFonts w:ascii="宋体" w:hAnsi="宋体"/>
          <w:szCs w:val="21"/>
          <w:u w:val="single"/>
        </w:rPr>
      </w:pPr>
      <w:r>
        <w:rPr>
          <w:rFonts w:hint="eastAsia" w:ascii="宋体" w:hAnsi="宋体"/>
          <w:bCs/>
          <w:szCs w:val="21"/>
        </w:rPr>
        <w:t>1.工程名称</w:t>
      </w:r>
      <w:r>
        <w:rPr>
          <w:rFonts w:hint="eastAsia" w:ascii="宋体" w:hAnsi="宋体"/>
          <w:szCs w:val="21"/>
        </w:rPr>
        <w:t>：</w:t>
      </w:r>
      <w:r>
        <w:rPr>
          <w:rFonts w:hint="eastAsia" w:ascii="宋体" w:hAnsi="宋体"/>
          <w:szCs w:val="21"/>
          <w:u w:val="single"/>
        </w:rPr>
        <w:t xml:space="preserve">                                 </w:t>
      </w:r>
      <w:r>
        <w:rPr>
          <w:rFonts w:hint="eastAsia" w:ascii="宋体" w:hAnsi="宋体"/>
          <w:szCs w:val="21"/>
        </w:rPr>
        <w:t>。</w:t>
      </w:r>
    </w:p>
    <w:p w14:paraId="30F3B989">
      <w:pPr>
        <w:snapToGrid w:val="0"/>
        <w:spacing w:line="360" w:lineRule="auto"/>
        <w:ind w:firstLine="420" w:firstLineChars="200"/>
        <w:rPr>
          <w:rFonts w:ascii="宋体" w:hAnsi="宋体"/>
          <w:bCs/>
          <w:szCs w:val="21"/>
        </w:rPr>
      </w:pPr>
      <w:r>
        <w:rPr>
          <w:rFonts w:hint="eastAsia" w:ascii="宋体" w:hAnsi="宋体"/>
          <w:bCs/>
          <w:szCs w:val="21"/>
        </w:rPr>
        <w:t>2.工程地点：</w:t>
      </w:r>
      <w:r>
        <w:rPr>
          <w:rFonts w:hint="eastAsia" w:ascii="宋体" w:hAnsi="宋体"/>
          <w:szCs w:val="21"/>
          <w:u w:val="single"/>
        </w:rPr>
        <w:t xml:space="preserve">                                 </w:t>
      </w:r>
      <w:r>
        <w:rPr>
          <w:rFonts w:hint="eastAsia" w:ascii="宋体" w:hAnsi="宋体"/>
          <w:szCs w:val="21"/>
        </w:rPr>
        <w:t>。</w:t>
      </w:r>
    </w:p>
    <w:p w14:paraId="0CD83D87">
      <w:pPr>
        <w:snapToGrid w:val="0"/>
        <w:spacing w:line="360" w:lineRule="auto"/>
        <w:ind w:firstLine="420" w:firstLineChars="200"/>
        <w:rPr>
          <w:rFonts w:ascii="宋体" w:hAnsi="宋体"/>
          <w:bCs/>
          <w:szCs w:val="21"/>
        </w:rPr>
      </w:pPr>
      <w:r>
        <w:rPr>
          <w:rFonts w:hint="eastAsia" w:ascii="宋体" w:hAnsi="宋体"/>
          <w:bCs/>
          <w:szCs w:val="21"/>
        </w:rPr>
        <w:t>3.工程立项批准文号：</w:t>
      </w:r>
      <w:r>
        <w:rPr>
          <w:rFonts w:hint="eastAsia" w:ascii="宋体" w:hAnsi="宋体"/>
          <w:szCs w:val="21"/>
          <w:u w:val="single"/>
        </w:rPr>
        <w:t xml:space="preserve">                        </w:t>
      </w:r>
      <w:r>
        <w:rPr>
          <w:rFonts w:hint="eastAsia" w:ascii="宋体" w:hAnsi="宋体"/>
          <w:bCs/>
          <w:szCs w:val="21"/>
        </w:rPr>
        <w:t>。</w:t>
      </w:r>
    </w:p>
    <w:p w14:paraId="6AD29B5E">
      <w:pPr>
        <w:snapToGrid w:val="0"/>
        <w:spacing w:line="360" w:lineRule="auto"/>
        <w:ind w:firstLine="420" w:firstLineChars="200"/>
        <w:rPr>
          <w:rFonts w:ascii="宋体" w:hAnsi="宋体"/>
          <w:bCs/>
          <w:szCs w:val="21"/>
        </w:rPr>
      </w:pPr>
      <w:r>
        <w:rPr>
          <w:rFonts w:hint="eastAsia" w:ascii="宋体" w:hAnsi="宋体"/>
          <w:bCs/>
          <w:szCs w:val="21"/>
        </w:rPr>
        <w:t>4.资金来源：</w:t>
      </w:r>
      <w:r>
        <w:rPr>
          <w:rFonts w:hint="eastAsia" w:ascii="宋体" w:hAnsi="宋体"/>
          <w:szCs w:val="21"/>
          <w:u w:val="single"/>
        </w:rPr>
        <w:t xml:space="preserve">                                 </w:t>
      </w:r>
      <w:r>
        <w:rPr>
          <w:rFonts w:hint="eastAsia" w:ascii="宋体" w:hAnsi="宋体"/>
          <w:szCs w:val="21"/>
        </w:rPr>
        <w:t>。</w:t>
      </w:r>
    </w:p>
    <w:p w14:paraId="47CCABB2">
      <w:pPr>
        <w:snapToGrid w:val="0"/>
        <w:spacing w:line="360" w:lineRule="auto"/>
        <w:ind w:firstLine="420" w:firstLineChars="200"/>
        <w:rPr>
          <w:rFonts w:ascii="宋体" w:hAnsi="宋体"/>
          <w:bCs/>
          <w:szCs w:val="21"/>
        </w:rPr>
      </w:pPr>
      <w:r>
        <w:rPr>
          <w:rFonts w:hint="eastAsia" w:ascii="宋体" w:hAnsi="宋体"/>
          <w:bCs/>
          <w:szCs w:val="21"/>
        </w:rPr>
        <w:t>5.工程内容：</w:t>
      </w:r>
      <w:r>
        <w:rPr>
          <w:rFonts w:hint="eastAsia" w:ascii="宋体" w:hAnsi="宋体"/>
          <w:szCs w:val="21"/>
          <w:u w:val="single"/>
        </w:rPr>
        <w:t xml:space="preserve">                                 </w:t>
      </w:r>
      <w:r>
        <w:rPr>
          <w:rFonts w:hint="eastAsia" w:ascii="宋体" w:hAnsi="宋体"/>
          <w:szCs w:val="21"/>
        </w:rPr>
        <w:t>。</w:t>
      </w:r>
    </w:p>
    <w:p w14:paraId="75F90878">
      <w:pPr>
        <w:snapToGrid w:val="0"/>
        <w:spacing w:line="360" w:lineRule="auto"/>
        <w:ind w:firstLine="420" w:firstLineChars="200"/>
        <w:jc w:val="left"/>
        <w:rPr>
          <w:rFonts w:ascii="宋体" w:hAnsi="宋体"/>
          <w:bCs/>
          <w:szCs w:val="21"/>
        </w:rPr>
      </w:pPr>
      <w:r>
        <w:rPr>
          <w:rFonts w:hint="eastAsia" w:ascii="宋体" w:hAnsi="宋体"/>
          <w:bCs/>
          <w:szCs w:val="21"/>
        </w:rPr>
        <w:t>6.工程承包范围：</w:t>
      </w:r>
      <w:r>
        <w:rPr>
          <w:rFonts w:hint="eastAsia" w:ascii="宋体" w:hAnsi="宋体"/>
          <w:szCs w:val="21"/>
          <w:u w:val="single"/>
        </w:rPr>
        <w:t xml:space="preserve">                     </w:t>
      </w:r>
      <w:r>
        <w:rPr>
          <w:rFonts w:hint="eastAsia" w:ascii="宋体" w:hAnsi="宋体"/>
          <w:szCs w:val="21"/>
        </w:rPr>
        <w:t>。</w:t>
      </w:r>
    </w:p>
    <w:p w14:paraId="2BABD26F">
      <w:pPr>
        <w:pStyle w:val="6"/>
        <w:keepNext/>
        <w:keepLines/>
        <w:spacing w:before="120" w:after="120" w:line="360" w:lineRule="auto"/>
        <w:ind w:firstLine="422" w:firstLineChars="200"/>
        <w:jc w:val="both"/>
        <w:rPr>
          <w:kern w:val="2"/>
          <w:sz w:val="21"/>
          <w:szCs w:val="21"/>
        </w:rPr>
      </w:pPr>
      <w:bookmarkStart w:id="428" w:name="_Toc532375574"/>
      <w:bookmarkStart w:id="429" w:name="_Toc351203482"/>
      <w:bookmarkStart w:id="430" w:name="_Toc532377167"/>
      <w:r>
        <w:rPr>
          <w:rFonts w:hint="eastAsia"/>
          <w:kern w:val="2"/>
          <w:sz w:val="21"/>
          <w:szCs w:val="21"/>
        </w:rPr>
        <w:t>二、合同工期</w:t>
      </w:r>
      <w:bookmarkEnd w:id="428"/>
      <w:bookmarkEnd w:id="429"/>
      <w:bookmarkEnd w:id="430"/>
    </w:p>
    <w:p w14:paraId="612A9BE3">
      <w:pPr>
        <w:spacing w:line="360" w:lineRule="auto"/>
        <w:ind w:firstLine="420" w:firstLineChars="200"/>
        <w:rPr>
          <w:rFonts w:ascii="宋体" w:hAnsi="宋体"/>
          <w:bCs/>
          <w:szCs w:val="21"/>
        </w:rPr>
      </w:pPr>
      <w:r>
        <w:rPr>
          <w:rFonts w:hint="eastAsia" w:ascii="宋体" w:hAnsi="宋体"/>
          <w:bCs/>
          <w:szCs w:val="21"/>
        </w:rPr>
        <w:t>承包人投标函中承诺的工期：</w:t>
      </w:r>
      <w:r>
        <w:rPr>
          <w:rFonts w:hint="eastAsia" w:ascii="宋体" w:hAnsi="宋体"/>
          <w:bCs/>
          <w:szCs w:val="21"/>
          <w:u w:val="single"/>
        </w:rPr>
        <w:t>日历天</w:t>
      </w:r>
      <w:r>
        <w:rPr>
          <w:rFonts w:hint="eastAsia" w:ascii="宋体" w:hAnsi="宋体"/>
          <w:bCs/>
          <w:szCs w:val="21"/>
        </w:rPr>
        <w:t>。</w:t>
      </w:r>
    </w:p>
    <w:p w14:paraId="1A5146CE">
      <w:pPr>
        <w:spacing w:line="360" w:lineRule="auto"/>
        <w:ind w:firstLine="420" w:firstLineChars="200"/>
        <w:rPr>
          <w:rFonts w:ascii="宋体" w:hAnsi="宋体"/>
          <w:bCs/>
          <w:szCs w:val="21"/>
        </w:rPr>
      </w:pPr>
      <w:r>
        <w:rPr>
          <w:rFonts w:hint="eastAsia" w:ascii="宋体" w:hAnsi="宋体"/>
          <w:bCs/>
          <w:szCs w:val="21"/>
        </w:rPr>
        <w:t>计划开工日期：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日，实际开工日期以监理工程师签发的工程开工通知明确的开工日期为准。</w:t>
      </w:r>
    </w:p>
    <w:p w14:paraId="5FCEABF2">
      <w:pPr>
        <w:spacing w:line="360" w:lineRule="auto"/>
        <w:ind w:firstLine="420" w:firstLineChars="200"/>
        <w:rPr>
          <w:rFonts w:ascii="宋体" w:hAnsi="宋体"/>
          <w:bCs/>
          <w:szCs w:val="21"/>
        </w:rPr>
      </w:pPr>
      <w:r>
        <w:rPr>
          <w:rFonts w:hint="eastAsia" w:ascii="宋体" w:hAnsi="宋体"/>
          <w:bCs/>
          <w:szCs w:val="21"/>
        </w:rPr>
        <w:t>计划竣工日期：</w:t>
      </w:r>
      <w:r>
        <w:rPr>
          <w:rFonts w:hint="eastAsia" w:ascii="宋体" w:hAnsi="宋体"/>
          <w:bCs/>
          <w:szCs w:val="21"/>
          <w:u w:val="single"/>
        </w:rPr>
        <w:t></w:t>
      </w:r>
      <w:r>
        <w:rPr>
          <w:rFonts w:hint="eastAsia" w:ascii="宋体" w:hAnsi="宋体"/>
          <w:bCs/>
          <w:szCs w:val="21"/>
        </w:rPr>
        <w:t>年</w:t>
      </w:r>
      <w:r>
        <w:rPr>
          <w:rFonts w:hint="eastAsia" w:ascii="宋体" w:hAnsi="宋体"/>
          <w:bCs/>
          <w:szCs w:val="21"/>
          <w:u w:val="single"/>
        </w:rPr>
        <w:t></w:t>
      </w:r>
      <w:r>
        <w:rPr>
          <w:rFonts w:hint="eastAsia" w:ascii="宋体" w:hAnsi="宋体"/>
          <w:bCs/>
          <w:szCs w:val="21"/>
        </w:rPr>
        <w:t>月</w:t>
      </w:r>
      <w:r>
        <w:rPr>
          <w:rFonts w:hint="eastAsia" w:ascii="宋体" w:hAnsi="宋体"/>
          <w:bCs/>
          <w:szCs w:val="21"/>
          <w:u w:val="single"/>
        </w:rPr>
        <w:t></w:t>
      </w:r>
      <w:r>
        <w:rPr>
          <w:rFonts w:hint="eastAsia" w:ascii="宋体" w:hAnsi="宋体"/>
          <w:bCs/>
          <w:szCs w:val="21"/>
        </w:rPr>
        <w:t>日，实际竣工日期以工程竣工验收合格之日为准。</w:t>
      </w:r>
    </w:p>
    <w:p w14:paraId="3F890B88">
      <w:pPr>
        <w:spacing w:line="360" w:lineRule="auto"/>
        <w:ind w:firstLine="420" w:firstLineChars="200"/>
        <w:rPr>
          <w:rFonts w:ascii="宋体" w:hAnsi="宋体"/>
          <w:szCs w:val="21"/>
        </w:rPr>
      </w:pPr>
      <w:r>
        <w:rPr>
          <w:rFonts w:hint="eastAsia" w:ascii="宋体" w:hAnsi="宋体"/>
          <w:bCs/>
          <w:szCs w:val="21"/>
        </w:rPr>
        <w:t>工期总日历天数</w:t>
      </w:r>
      <w:r>
        <w:rPr>
          <w:rFonts w:hint="eastAsia" w:ascii="宋体" w:hAnsi="宋体"/>
          <w:bCs/>
          <w:szCs w:val="21"/>
          <w:u w:val="single"/>
        </w:rPr>
        <w:t></w:t>
      </w:r>
      <w:r>
        <w:rPr>
          <w:rFonts w:hint="eastAsia" w:ascii="宋体" w:hAnsi="宋体"/>
          <w:bCs/>
          <w:szCs w:val="21"/>
        </w:rPr>
        <w:t>天。工期总日历天数与根据前述计划开竣工日期计算的工期天数不一</w:t>
      </w:r>
      <w:r>
        <w:rPr>
          <w:rFonts w:hint="eastAsia" w:ascii="宋体" w:hAnsi="宋体"/>
          <w:szCs w:val="21"/>
        </w:rPr>
        <w:t>致的，以工期总日历天数为准。</w:t>
      </w:r>
    </w:p>
    <w:p w14:paraId="1C36C264">
      <w:pPr>
        <w:pStyle w:val="6"/>
        <w:keepNext/>
        <w:keepLines/>
        <w:spacing w:before="120" w:after="120" w:line="360" w:lineRule="auto"/>
        <w:ind w:firstLine="422" w:firstLineChars="200"/>
        <w:jc w:val="both"/>
        <w:rPr>
          <w:kern w:val="2"/>
          <w:sz w:val="21"/>
          <w:szCs w:val="21"/>
        </w:rPr>
      </w:pPr>
      <w:bookmarkStart w:id="431" w:name="_Toc532375575"/>
      <w:bookmarkStart w:id="432" w:name="_Toc351203483"/>
      <w:bookmarkStart w:id="433" w:name="_Toc532377168"/>
      <w:r>
        <w:rPr>
          <w:rFonts w:hint="eastAsia"/>
          <w:kern w:val="2"/>
          <w:sz w:val="21"/>
          <w:szCs w:val="21"/>
        </w:rPr>
        <w:t>三、质量标准</w:t>
      </w:r>
      <w:bookmarkEnd w:id="431"/>
      <w:bookmarkEnd w:id="432"/>
      <w:bookmarkEnd w:id="433"/>
    </w:p>
    <w:p w14:paraId="1694FB36">
      <w:pPr>
        <w:snapToGrid w:val="0"/>
        <w:spacing w:line="360" w:lineRule="auto"/>
        <w:ind w:firstLine="420" w:firstLineChars="200"/>
        <w:rPr>
          <w:rFonts w:ascii="宋体" w:hAnsi="宋体"/>
          <w:szCs w:val="21"/>
        </w:rPr>
      </w:pPr>
      <w:r>
        <w:rPr>
          <w:rFonts w:hint="eastAsia" w:ascii="宋体" w:hAnsi="宋体"/>
          <w:szCs w:val="21"/>
        </w:rPr>
        <w:t>工程质量符合强制性质量标准，</w:t>
      </w:r>
      <w:r>
        <w:rPr>
          <w:rFonts w:hint="eastAsia" w:ascii="宋体" w:hAnsi="宋体"/>
          <w:szCs w:val="21"/>
          <w:u w:val="single"/>
        </w:rPr>
        <w:t>符合国家</w:t>
      </w:r>
      <w:r>
        <w:rPr>
          <w:rFonts w:ascii="宋体" w:hAnsi="宋体"/>
          <w:szCs w:val="21"/>
          <w:u w:val="single"/>
        </w:rPr>
        <w:t>和重庆市现行</w:t>
      </w:r>
      <w:r>
        <w:rPr>
          <w:rFonts w:hint="eastAsia" w:ascii="宋体" w:hAnsi="宋体"/>
          <w:szCs w:val="21"/>
          <w:u w:val="single"/>
        </w:rPr>
        <w:t>有关施工质量验收规范要求，并达到合格</w:t>
      </w:r>
      <w:r>
        <w:rPr>
          <w:rFonts w:hint="eastAsia" w:ascii="宋体" w:hAnsi="宋体"/>
          <w:szCs w:val="21"/>
        </w:rPr>
        <w:t>标准。</w:t>
      </w:r>
    </w:p>
    <w:p w14:paraId="2804A632">
      <w:pPr>
        <w:pStyle w:val="6"/>
        <w:keepNext/>
        <w:keepLines/>
        <w:spacing w:before="120" w:after="120" w:line="360" w:lineRule="auto"/>
        <w:ind w:firstLine="422" w:firstLineChars="200"/>
        <w:jc w:val="both"/>
        <w:rPr>
          <w:kern w:val="2"/>
          <w:sz w:val="21"/>
          <w:szCs w:val="21"/>
        </w:rPr>
      </w:pPr>
      <w:bookmarkStart w:id="434" w:name="_Toc351203484"/>
      <w:bookmarkStart w:id="435" w:name="_Toc532377169"/>
      <w:bookmarkStart w:id="436" w:name="_Toc532375576"/>
      <w:r>
        <w:rPr>
          <w:rFonts w:hint="eastAsia"/>
          <w:kern w:val="2"/>
          <w:sz w:val="21"/>
          <w:szCs w:val="21"/>
        </w:rPr>
        <w:t>四、签约合同价与合同价格形式</w:t>
      </w:r>
      <w:bookmarkEnd w:id="434"/>
      <w:bookmarkEnd w:id="435"/>
      <w:bookmarkEnd w:id="436"/>
      <w:r>
        <w:rPr>
          <w:rFonts w:hint="eastAsia"/>
          <w:kern w:val="2"/>
          <w:sz w:val="21"/>
          <w:szCs w:val="21"/>
        </w:rPr>
        <w:tab/>
      </w:r>
    </w:p>
    <w:p w14:paraId="44D742EC">
      <w:pPr>
        <w:spacing w:line="360" w:lineRule="auto"/>
        <w:ind w:firstLine="420" w:firstLineChars="200"/>
        <w:rPr>
          <w:rFonts w:ascii="宋体" w:hAnsi="宋体"/>
          <w:szCs w:val="21"/>
        </w:rPr>
      </w:pPr>
      <w:r>
        <w:rPr>
          <w:rFonts w:hint="eastAsia" w:ascii="宋体" w:hAnsi="宋体"/>
          <w:szCs w:val="21"/>
        </w:rPr>
        <w:t>1.承包人投标函中承诺的中标价为：</w:t>
      </w:r>
    </w:p>
    <w:p w14:paraId="08F1D53A">
      <w:pPr>
        <w:spacing w:line="360" w:lineRule="auto"/>
        <w:ind w:firstLine="420" w:firstLineChars="200"/>
        <w:rPr>
          <w:rFonts w:ascii="宋体" w:hAnsi="宋体"/>
          <w:szCs w:val="21"/>
        </w:rPr>
      </w:pPr>
      <w:r>
        <w:rPr>
          <w:rFonts w:hint="eastAsia" w:ascii="宋体" w:hAnsi="宋体"/>
          <w:szCs w:val="21"/>
        </w:rPr>
        <w:t>人民币（大写）</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元）；</w:t>
      </w:r>
    </w:p>
    <w:p w14:paraId="6F0FD0C1">
      <w:pPr>
        <w:spacing w:line="360" w:lineRule="auto"/>
        <w:ind w:firstLine="420" w:firstLineChars="200"/>
        <w:rPr>
          <w:rFonts w:ascii="宋体" w:hAnsi="宋体"/>
          <w:szCs w:val="21"/>
        </w:rPr>
      </w:pPr>
      <w:r>
        <w:rPr>
          <w:rFonts w:hint="eastAsia" w:ascii="宋体" w:hAnsi="宋体"/>
          <w:szCs w:val="21"/>
        </w:rPr>
        <w:t>2.签约合同价为：</w:t>
      </w:r>
    </w:p>
    <w:p w14:paraId="6DAA2522">
      <w:pPr>
        <w:snapToGrid w:val="0"/>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EDD76F5">
      <w:pPr>
        <w:snapToGrid w:val="0"/>
        <w:spacing w:line="360" w:lineRule="auto"/>
        <w:ind w:firstLine="420" w:firstLineChars="200"/>
        <w:rPr>
          <w:rFonts w:ascii="宋体" w:hAnsi="宋体"/>
          <w:szCs w:val="21"/>
        </w:rPr>
      </w:pPr>
      <w:r>
        <w:rPr>
          <w:rFonts w:hint="eastAsia" w:ascii="宋体" w:hAnsi="宋体"/>
          <w:szCs w:val="21"/>
        </w:rPr>
        <w:t>其中：</w:t>
      </w:r>
    </w:p>
    <w:p w14:paraId="4453DE9A">
      <w:pPr>
        <w:spacing w:line="360" w:lineRule="auto"/>
        <w:ind w:firstLine="420" w:firstLineChars="200"/>
        <w:rPr>
          <w:rFonts w:ascii="宋体" w:hAnsi="宋体"/>
          <w:szCs w:val="21"/>
        </w:rPr>
      </w:pPr>
      <w:r>
        <w:rPr>
          <w:rFonts w:hint="eastAsia" w:ascii="宋体" w:hAnsi="宋体"/>
          <w:szCs w:val="21"/>
        </w:rPr>
        <w:t>（1）安全文明施工费：</w:t>
      </w:r>
    </w:p>
    <w:p w14:paraId="5399C42E">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014A88D2">
      <w:pPr>
        <w:spacing w:line="360" w:lineRule="auto"/>
        <w:ind w:firstLine="420" w:firstLineChars="200"/>
        <w:rPr>
          <w:rFonts w:ascii="宋体" w:hAnsi="宋体"/>
          <w:szCs w:val="21"/>
        </w:rPr>
      </w:pPr>
      <w:r>
        <w:rPr>
          <w:rFonts w:hint="eastAsia" w:ascii="宋体" w:hAnsi="宋体"/>
          <w:szCs w:val="21"/>
        </w:rPr>
        <w:t>（2）材料和工程设备暂估价金额：</w:t>
      </w:r>
    </w:p>
    <w:p w14:paraId="6F4177F5">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28AC4909">
      <w:pPr>
        <w:spacing w:line="360" w:lineRule="auto"/>
        <w:ind w:firstLine="420" w:firstLineChars="200"/>
        <w:rPr>
          <w:rFonts w:ascii="宋体" w:hAnsi="宋体"/>
          <w:szCs w:val="21"/>
        </w:rPr>
      </w:pPr>
      <w:r>
        <w:rPr>
          <w:rFonts w:hint="eastAsia" w:ascii="宋体" w:hAnsi="宋体"/>
          <w:szCs w:val="21"/>
        </w:rPr>
        <w:t>（3）专业工程暂估价金额：</w:t>
      </w:r>
    </w:p>
    <w:p w14:paraId="09151111">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4EF4CE3D">
      <w:pPr>
        <w:spacing w:line="360" w:lineRule="auto"/>
        <w:ind w:firstLine="420" w:firstLineChars="200"/>
        <w:rPr>
          <w:rFonts w:ascii="宋体" w:hAnsi="宋体"/>
          <w:szCs w:val="21"/>
        </w:rPr>
      </w:pPr>
      <w:r>
        <w:rPr>
          <w:rFonts w:hint="eastAsia" w:ascii="宋体" w:hAnsi="宋体"/>
          <w:szCs w:val="21"/>
        </w:rPr>
        <w:t>（4）暂列金额：</w:t>
      </w:r>
    </w:p>
    <w:p w14:paraId="18E3D86D">
      <w:pPr>
        <w:spacing w:line="360" w:lineRule="auto"/>
        <w:ind w:firstLine="420" w:firstLineChars="200"/>
        <w:rPr>
          <w:rFonts w:ascii="宋体" w:hAnsi="宋体"/>
          <w:szCs w:val="21"/>
        </w:rPr>
      </w:pPr>
      <w:r>
        <w:rPr>
          <w:rFonts w:hint="eastAsia" w:ascii="宋体" w:hAnsi="宋体"/>
          <w:szCs w:val="21"/>
        </w:rPr>
        <w:t>人民币（大写）</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w:t>
      </w:r>
      <w:r>
        <w:rPr>
          <w:rFonts w:ascii="宋体" w:hAnsi="宋体"/>
          <w:szCs w:val="21"/>
          <w:u w:val="single"/>
        </w:rPr>
        <w:t xml:space="preserve">            </w:t>
      </w:r>
      <w:r>
        <w:rPr>
          <w:rFonts w:ascii="宋体" w:hAnsi="宋体"/>
          <w:szCs w:val="21"/>
        </w:rPr>
        <w:t>元）</w:t>
      </w:r>
      <w:r>
        <w:rPr>
          <w:rFonts w:hint="eastAsia" w:ascii="宋体" w:hAnsi="宋体"/>
          <w:szCs w:val="21"/>
        </w:rPr>
        <w:t>。</w:t>
      </w:r>
    </w:p>
    <w:p w14:paraId="10760BF5">
      <w:pPr>
        <w:spacing w:line="360" w:lineRule="auto"/>
        <w:ind w:firstLine="420" w:firstLineChars="200"/>
        <w:rPr>
          <w:rFonts w:ascii="宋体" w:hAnsi="宋体"/>
          <w:szCs w:val="21"/>
        </w:rPr>
      </w:pPr>
      <w:r>
        <w:rPr>
          <w:rFonts w:hint="eastAsia" w:ascii="宋体" w:hAnsi="宋体"/>
          <w:szCs w:val="21"/>
        </w:rPr>
        <w:t>（5）人工费（工资款）</w:t>
      </w:r>
    </w:p>
    <w:p w14:paraId="25BC2846">
      <w:pPr>
        <w:spacing w:line="360" w:lineRule="auto"/>
        <w:ind w:firstLine="420" w:firstLineChars="200"/>
        <w:rPr>
          <w:rFonts w:ascii="宋体" w:hAnsi="宋体"/>
          <w:szCs w:val="21"/>
        </w:rPr>
      </w:pPr>
      <w:r>
        <w:rPr>
          <w:rFonts w:hint="eastAsia" w:ascii="宋体" w:hAnsi="宋体"/>
          <w:szCs w:val="21"/>
        </w:rPr>
        <w:t>该项目实行人工费（工资款）与其他工程款分账管理，发包人将应付工程款中的人工费（工资款），以不低于已完成合同价款的</w:t>
      </w:r>
      <w:r>
        <w:rPr>
          <w:rFonts w:hint="eastAsia" w:ascii="宋体" w:hAnsi="宋体"/>
          <w:szCs w:val="21"/>
          <w:u w:val="single"/>
        </w:rPr>
        <w:t xml:space="preserve">    </w:t>
      </w:r>
      <w:r>
        <w:rPr>
          <w:rFonts w:hint="eastAsia" w:ascii="宋体" w:hAnsi="宋体"/>
          <w:szCs w:val="21"/>
        </w:rPr>
        <w:t>（不低于25%，以设备采购为主的工程项目不受此限制），农民工工资单独支付至承包人设立的农民工工资专用账户。</w:t>
      </w:r>
    </w:p>
    <w:p w14:paraId="4D4B9F2F">
      <w:pPr>
        <w:spacing w:line="360" w:lineRule="auto"/>
        <w:ind w:firstLine="420" w:firstLineChars="200"/>
        <w:rPr>
          <w:rFonts w:ascii="宋体" w:hAnsi="宋体"/>
          <w:szCs w:val="21"/>
        </w:rPr>
      </w:pPr>
      <w:r>
        <w:rPr>
          <w:rFonts w:hint="eastAsia" w:ascii="宋体" w:hAnsi="宋体"/>
          <w:szCs w:val="21"/>
        </w:rPr>
        <w:t>3.合同价格形式：</w:t>
      </w:r>
      <w:r>
        <w:rPr>
          <w:rFonts w:ascii="宋体" w:hAnsi="宋体"/>
          <w:szCs w:val="21"/>
          <w:u w:val="single"/>
        </w:rPr>
        <w:t xml:space="preserve">              </w:t>
      </w:r>
      <w:r>
        <w:rPr>
          <w:rFonts w:hint="eastAsia" w:ascii="宋体" w:hAnsi="宋体"/>
          <w:szCs w:val="21"/>
        </w:rPr>
        <w:t>。</w:t>
      </w:r>
    </w:p>
    <w:p w14:paraId="603510ED">
      <w:pPr>
        <w:pStyle w:val="6"/>
        <w:keepNext/>
        <w:keepLines/>
        <w:spacing w:before="120" w:after="120" w:line="360" w:lineRule="auto"/>
        <w:ind w:firstLine="422" w:firstLineChars="200"/>
        <w:jc w:val="both"/>
        <w:rPr>
          <w:kern w:val="2"/>
          <w:sz w:val="21"/>
          <w:szCs w:val="21"/>
        </w:rPr>
      </w:pPr>
      <w:bookmarkStart w:id="437" w:name="_Toc351203485"/>
      <w:bookmarkStart w:id="438" w:name="_Toc532377170"/>
      <w:bookmarkStart w:id="439" w:name="_Toc532375577"/>
      <w:r>
        <w:rPr>
          <w:rFonts w:hint="eastAsia"/>
          <w:kern w:val="2"/>
          <w:sz w:val="21"/>
          <w:szCs w:val="21"/>
        </w:rPr>
        <w:t>五、</w:t>
      </w:r>
      <w:bookmarkEnd w:id="437"/>
      <w:r>
        <w:rPr>
          <w:rFonts w:hint="eastAsia"/>
          <w:kern w:val="2"/>
          <w:sz w:val="21"/>
          <w:szCs w:val="21"/>
        </w:rPr>
        <w:t>项目经理及技术负责人</w:t>
      </w:r>
      <w:bookmarkEnd w:id="438"/>
      <w:bookmarkEnd w:id="439"/>
    </w:p>
    <w:p w14:paraId="2EE85A47">
      <w:pPr>
        <w:spacing w:line="360" w:lineRule="auto"/>
        <w:ind w:firstLine="420" w:firstLineChars="200"/>
        <w:rPr>
          <w:rFonts w:ascii="宋体" w:hAnsi="宋体"/>
          <w:szCs w:val="21"/>
        </w:rPr>
      </w:pPr>
      <w:r>
        <w:rPr>
          <w:rFonts w:hint="eastAsia" w:ascii="宋体" w:hAnsi="宋体"/>
          <w:szCs w:val="21"/>
        </w:rPr>
        <w:t>承包人投标文件中承诺的项目经理：</w:t>
      </w:r>
    </w:p>
    <w:p w14:paraId="1C4E1E32">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B0EF75E">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A615CE5">
      <w:pPr>
        <w:spacing w:line="360" w:lineRule="auto"/>
        <w:ind w:firstLine="420" w:firstLineChars="200"/>
        <w:rPr>
          <w:rFonts w:ascii="宋体" w:hAnsi="宋体"/>
          <w:szCs w:val="21"/>
        </w:rPr>
      </w:pPr>
      <w:r>
        <w:rPr>
          <w:rFonts w:hint="eastAsia" w:ascii="宋体" w:hAnsi="宋体"/>
          <w:szCs w:val="21"/>
        </w:rPr>
        <w:t>建造师</w:t>
      </w:r>
      <w:r>
        <w:rPr>
          <w:rFonts w:ascii="宋体" w:hAnsi="宋体"/>
          <w:szCs w:val="21"/>
        </w:rPr>
        <w:t>注册证书号</w:t>
      </w:r>
      <w:r>
        <w:rPr>
          <w:rFonts w:hint="eastAsia" w:ascii="宋体" w:hAnsi="宋体"/>
          <w:szCs w:val="21"/>
        </w:rPr>
        <w:t>：</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241BC5A2">
      <w:pPr>
        <w:spacing w:line="360" w:lineRule="auto"/>
        <w:ind w:firstLine="420" w:firstLineChars="200"/>
        <w:rPr>
          <w:rFonts w:ascii="宋体" w:hAnsi="宋体"/>
          <w:szCs w:val="21"/>
        </w:rPr>
      </w:pPr>
      <w:r>
        <w:rPr>
          <w:rFonts w:hint="eastAsia" w:ascii="宋体" w:hAnsi="宋体"/>
          <w:szCs w:val="21"/>
        </w:rPr>
        <w:t>承包人投标文件中承诺的技术负责人：</w:t>
      </w:r>
    </w:p>
    <w:p w14:paraId="28778D55">
      <w:pPr>
        <w:spacing w:line="360" w:lineRule="auto"/>
        <w:ind w:firstLine="420" w:firstLineChars="200"/>
        <w:rPr>
          <w:rFonts w:ascii="宋体" w:hAnsi="宋体"/>
          <w:szCs w:val="21"/>
        </w:rPr>
      </w:pPr>
      <w:r>
        <w:rPr>
          <w:rFonts w:hint="eastAsia" w:ascii="宋体" w:hAnsi="宋体"/>
          <w:szCs w:val="21"/>
        </w:rPr>
        <w:t>姓名：</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04E680E2">
      <w:pPr>
        <w:spacing w:line="360" w:lineRule="auto"/>
        <w:ind w:firstLine="420" w:firstLineChars="200"/>
        <w:rPr>
          <w:rFonts w:ascii="宋体" w:hAnsi="宋体"/>
          <w:szCs w:val="21"/>
        </w:rPr>
      </w:pPr>
      <w:r>
        <w:rPr>
          <w:rFonts w:hint="eastAsia" w:ascii="宋体" w:hAnsi="宋体"/>
          <w:szCs w:val="21"/>
        </w:rPr>
        <w:t>身份证号码：</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w:t>
      </w:r>
    </w:p>
    <w:p w14:paraId="79AD057A">
      <w:pPr>
        <w:pStyle w:val="2"/>
        <w:spacing w:line="360" w:lineRule="auto"/>
        <w:rPr>
          <w:rFonts w:ascii="宋体" w:hAnsi="宋体"/>
          <w:szCs w:val="21"/>
        </w:rPr>
      </w:pPr>
      <w:r>
        <w:rPr>
          <w:rFonts w:hint="eastAsia" w:ascii="宋体" w:hAnsi="宋体"/>
          <w:szCs w:val="21"/>
        </w:rPr>
        <w:t xml:space="preserve">    证书名称</w:t>
      </w:r>
      <w:r>
        <w:rPr>
          <w:rFonts w:ascii="宋体" w:hAnsi="宋体"/>
          <w:szCs w:val="21"/>
        </w:rPr>
        <w:t>及号码：</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2078C9D">
      <w:pPr>
        <w:pStyle w:val="6"/>
        <w:keepNext/>
        <w:keepLines/>
        <w:spacing w:before="120" w:after="120" w:line="360" w:lineRule="auto"/>
        <w:ind w:firstLine="422" w:firstLineChars="200"/>
        <w:jc w:val="both"/>
        <w:rPr>
          <w:kern w:val="2"/>
          <w:sz w:val="21"/>
          <w:szCs w:val="21"/>
        </w:rPr>
      </w:pPr>
      <w:bookmarkStart w:id="440" w:name="_Toc532375578"/>
      <w:bookmarkStart w:id="441" w:name="_Toc532377171"/>
      <w:bookmarkStart w:id="442" w:name="_Toc351203486"/>
      <w:r>
        <w:rPr>
          <w:rFonts w:hint="eastAsia"/>
          <w:kern w:val="2"/>
          <w:sz w:val="21"/>
          <w:szCs w:val="21"/>
        </w:rPr>
        <w:t>六、合同文件构成</w:t>
      </w:r>
      <w:bookmarkEnd w:id="440"/>
      <w:bookmarkEnd w:id="441"/>
      <w:bookmarkEnd w:id="442"/>
    </w:p>
    <w:p w14:paraId="767B293B">
      <w:pPr>
        <w:spacing w:line="360" w:lineRule="auto"/>
        <w:ind w:firstLine="420" w:firstLineChars="200"/>
        <w:rPr>
          <w:rFonts w:ascii="宋体" w:hAnsi="宋体"/>
          <w:bCs/>
          <w:szCs w:val="21"/>
        </w:rPr>
      </w:pPr>
      <w:r>
        <w:rPr>
          <w:rFonts w:hint="eastAsia" w:ascii="宋体" w:hAnsi="宋体"/>
          <w:bCs/>
          <w:szCs w:val="21"/>
        </w:rPr>
        <w:t>合同由以下文件构成：</w:t>
      </w:r>
    </w:p>
    <w:p w14:paraId="3656FF2E">
      <w:pPr>
        <w:spacing w:line="360" w:lineRule="auto"/>
        <w:ind w:firstLine="420" w:firstLineChars="200"/>
        <w:rPr>
          <w:rFonts w:ascii="宋体" w:hAnsi="宋体"/>
          <w:szCs w:val="21"/>
        </w:rPr>
      </w:pPr>
      <w:r>
        <w:rPr>
          <w:rFonts w:hint="eastAsia" w:ascii="宋体" w:hAnsi="宋体"/>
          <w:szCs w:val="21"/>
        </w:rPr>
        <w:t>（1）合同协议书；</w:t>
      </w:r>
    </w:p>
    <w:p w14:paraId="01DA04D9">
      <w:pPr>
        <w:spacing w:line="360" w:lineRule="auto"/>
        <w:ind w:firstLine="420" w:firstLineChars="200"/>
        <w:rPr>
          <w:rFonts w:ascii="宋体" w:hAnsi="宋体"/>
          <w:szCs w:val="21"/>
        </w:rPr>
      </w:pPr>
      <w:r>
        <w:rPr>
          <w:rFonts w:hint="eastAsia" w:ascii="宋体" w:hAnsi="宋体"/>
          <w:szCs w:val="21"/>
        </w:rPr>
        <w:t>（2）中标通知书；</w:t>
      </w:r>
    </w:p>
    <w:p w14:paraId="11F2A3A7">
      <w:pPr>
        <w:spacing w:line="360" w:lineRule="auto"/>
        <w:ind w:firstLine="420" w:firstLineChars="200"/>
        <w:rPr>
          <w:rFonts w:ascii="宋体" w:hAnsi="宋体"/>
          <w:szCs w:val="21"/>
        </w:rPr>
      </w:pPr>
      <w:r>
        <w:rPr>
          <w:rFonts w:hint="eastAsia" w:ascii="宋体" w:hAnsi="宋体"/>
          <w:szCs w:val="21"/>
        </w:rPr>
        <w:t>（3）投标函及投标函附录；</w:t>
      </w:r>
    </w:p>
    <w:p w14:paraId="3931392F">
      <w:pPr>
        <w:spacing w:line="360" w:lineRule="auto"/>
        <w:ind w:firstLine="420" w:firstLineChars="200"/>
        <w:rPr>
          <w:rFonts w:ascii="宋体" w:hAnsi="宋体"/>
          <w:szCs w:val="21"/>
        </w:rPr>
      </w:pPr>
      <w:r>
        <w:rPr>
          <w:rFonts w:hint="eastAsia" w:ascii="宋体" w:hAnsi="宋体"/>
          <w:szCs w:val="21"/>
        </w:rPr>
        <w:t>（4）专用合同条款及其附件；</w:t>
      </w:r>
    </w:p>
    <w:p w14:paraId="6471C99C">
      <w:pPr>
        <w:spacing w:line="360" w:lineRule="auto"/>
        <w:ind w:firstLine="420" w:firstLineChars="200"/>
        <w:rPr>
          <w:rFonts w:ascii="宋体" w:hAnsi="宋体"/>
          <w:szCs w:val="21"/>
        </w:rPr>
      </w:pPr>
      <w:r>
        <w:rPr>
          <w:rFonts w:hint="eastAsia" w:ascii="宋体" w:hAnsi="宋体"/>
          <w:szCs w:val="21"/>
        </w:rPr>
        <w:t>（5）通用合同条款；</w:t>
      </w:r>
    </w:p>
    <w:p w14:paraId="6AEEACA9">
      <w:pPr>
        <w:spacing w:line="360" w:lineRule="auto"/>
        <w:ind w:firstLine="420" w:firstLineChars="200"/>
        <w:rPr>
          <w:rFonts w:ascii="宋体" w:hAnsi="宋体"/>
          <w:szCs w:val="21"/>
        </w:rPr>
      </w:pPr>
      <w:r>
        <w:rPr>
          <w:rFonts w:hint="eastAsia" w:ascii="宋体" w:hAnsi="宋体"/>
          <w:szCs w:val="21"/>
        </w:rPr>
        <w:t>（6）投标文件（投标函及投标函附录除外）；</w:t>
      </w:r>
    </w:p>
    <w:p w14:paraId="750A807A">
      <w:pPr>
        <w:spacing w:line="360" w:lineRule="auto"/>
        <w:ind w:firstLine="420" w:firstLineChars="200"/>
        <w:rPr>
          <w:rFonts w:ascii="宋体" w:hAnsi="宋体"/>
          <w:szCs w:val="21"/>
        </w:rPr>
      </w:pPr>
      <w:r>
        <w:rPr>
          <w:rFonts w:hint="eastAsia" w:ascii="宋体" w:hAnsi="宋体"/>
          <w:szCs w:val="21"/>
        </w:rPr>
        <w:t>（7）采购文件及修改文件；</w:t>
      </w:r>
    </w:p>
    <w:p w14:paraId="401878EB">
      <w:pPr>
        <w:spacing w:line="360" w:lineRule="auto"/>
        <w:ind w:firstLine="420" w:firstLineChars="200"/>
        <w:rPr>
          <w:rFonts w:ascii="宋体" w:hAnsi="宋体"/>
          <w:szCs w:val="21"/>
        </w:rPr>
      </w:pPr>
      <w:r>
        <w:rPr>
          <w:rFonts w:hint="eastAsia" w:ascii="宋体" w:hAnsi="宋体"/>
          <w:szCs w:val="21"/>
        </w:rPr>
        <w:t>（8）技术标准和要求；</w:t>
      </w:r>
    </w:p>
    <w:p w14:paraId="01739AA3">
      <w:pPr>
        <w:spacing w:line="360" w:lineRule="auto"/>
        <w:ind w:firstLine="420" w:firstLineChars="200"/>
        <w:rPr>
          <w:rFonts w:ascii="宋体" w:hAnsi="宋体"/>
          <w:szCs w:val="21"/>
        </w:rPr>
      </w:pPr>
      <w:r>
        <w:rPr>
          <w:rFonts w:hint="eastAsia" w:ascii="宋体" w:hAnsi="宋体"/>
          <w:szCs w:val="21"/>
        </w:rPr>
        <w:t>（9）图纸；</w:t>
      </w:r>
    </w:p>
    <w:p w14:paraId="01D92DB2">
      <w:pPr>
        <w:spacing w:line="360" w:lineRule="auto"/>
        <w:ind w:firstLine="420" w:firstLineChars="200"/>
        <w:rPr>
          <w:rFonts w:ascii="宋体" w:hAnsi="宋体"/>
          <w:szCs w:val="21"/>
        </w:rPr>
      </w:pPr>
      <w:r>
        <w:rPr>
          <w:rFonts w:hint="eastAsia" w:ascii="宋体" w:hAnsi="宋体"/>
          <w:szCs w:val="21"/>
        </w:rPr>
        <w:t>（10）其他合同文件。</w:t>
      </w:r>
    </w:p>
    <w:p w14:paraId="0DD67FAE">
      <w:pPr>
        <w:spacing w:line="360" w:lineRule="auto"/>
        <w:ind w:firstLine="420" w:firstLineChars="200"/>
        <w:rPr>
          <w:rFonts w:ascii="宋体" w:hAnsi="宋体"/>
          <w:szCs w:val="21"/>
        </w:rPr>
      </w:pPr>
      <w:r>
        <w:rPr>
          <w:rFonts w:hint="eastAsia" w:ascii="宋体" w:hAnsi="宋体"/>
          <w:szCs w:val="21"/>
        </w:rPr>
        <w:t>在合同订立、履行过程中形成的与合同有关的书面形式的文件均构成合同文件组成部分。</w:t>
      </w:r>
    </w:p>
    <w:p w14:paraId="3E2FDB74">
      <w:pPr>
        <w:spacing w:line="360" w:lineRule="auto"/>
        <w:ind w:firstLine="420" w:firstLineChars="200"/>
        <w:rPr>
          <w:rFonts w:ascii="宋体" w:hAnsi="宋体"/>
          <w:szCs w:val="21"/>
        </w:rPr>
      </w:pPr>
      <w:r>
        <w:rPr>
          <w:rFonts w:hint="eastAsia" w:ascii="宋体" w:hAnsi="宋体"/>
          <w:szCs w:val="21"/>
        </w:rPr>
        <w:t>上述各项合同文件包括合同当事人就该项合同文件所作出的补充和修改，属于同一类内容的文件，应以最新签署的为准。专用合同条款及其附件须经合同当事人签字或盖章。</w:t>
      </w:r>
    </w:p>
    <w:p w14:paraId="43202E2E">
      <w:pPr>
        <w:pStyle w:val="6"/>
        <w:keepNext/>
        <w:keepLines/>
        <w:spacing w:before="120" w:after="120" w:line="360" w:lineRule="auto"/>
        <w:ind w:firstLine="422" w:firstLineChars="200"/>
        <w:jc w:val="both"/>
        <w:rPr>
          <w:kern w:val="2"/>
          <w:sz w:val="21"/>
          <w:szCs w:val="21"/>
        </w:rPr>
      </w:pPr>
      <w:bookmarkStart w:id="443" w:name="_Toc532375579"/>
      <w:bookmarkStart w:id="444" w:name="_Toc351203487"/>
      <w:bookmarkStart w:id="445" w:name="_Toc532377172"/>
      <w:r>
        <w:rPr>
          <w:rFonts w:hint="eastAsia"/>
          <w:kern w:val="2"/>
          <w:sz w:val="21"/>
          <w:szCs w:val="21"/>
        </w:rPr>
        <w:t>七、承诺</w:t>
      </w:r>
      <w:bookmarkEnd w:id="443"/>
      <w:bookmarkEnd w:id="444"/>
      <w:bookmarkEnd w:id="445"/>
    </w:p>
    <w:p w14:paraId="4E4E9A63">
      <w:pPr>
        <w:spacing w:line="360" w:lineRule="auto"/>
        <w:ind w:firstLine="420" w:firstLineChars="200"/>
        <w:rPr>
          <w:rFonts w:ascii="宋体" w:hAnsi="宋体"/>
          <w:bCs/>
          <w:szCs w:val="21"/>
        </w:rPr>
      </w:pPr>
      <w:r>
        <w:rPr>
          <w:rFonts w:hint="eastAsia" w:ascii="宋体" w:hAnsi="宋体"/>
          <w:bCs/>
          <w:szCs w:val="21"/>
        </w:rPr>
        <w:t>1.发包人承诺按照法律规定履行项目审批手续、筹集工程建设资金并按照合同约定的期限和方式支付合同价款。</w:t>
      </w:r>
    </w:p>
    <w:p w14:paraId="44BE3D2C">
      <w:pPr>
        <w:spacing w:line="360" w:lineRule="auto"/>
        <w:ind w:firstLine="420" w:firstLineChars="200"/>
        <w:rPr>
          <w:rFonts w:ascii="宋体" w:hAnsi="宋体"/>
          <w:bCs/>
          <w:szCs w:val="21"/>
        </w:rPr>
      </w:pPr>
      <w:r>
        <w:rPr>
          <w:rFonts w:hint="eastAsia" w:ascii="宋体" w:hAnsi="宋体"/>
          <w:bCs/>
          <w:szCs w:val="21"/>
        </w:rPr>
        <w:t>2.</w:t>
      </w:r>
      <w:r>
        <w:rPr>
          <w:rFonts w:hint="eastAsia" w:ascii="宋体" w:hAnsi="宋体"/>
          <w:szCs w:val="21"/>
        </w:rPr>
        <w:t>承包人承诺按照法律规定及合同约定组织完成工程施工，确保工程质量和安全，不进行转包及违法分包，并在缺陷责任期及保修期内承担相应的工程维修责任</w:t>
      </w:r>
      <w:r>
        <w:rPr>
          <w:rFonts w:hint="eastAsia" w:ascii="宋体" w:hAnsi="宋体"/>
          <w:bCs/>
          <w:szCs w:val="21"/>
        </w:rPr>
        <w:t>。</w:t>
      </w:r>
    </w:p>
    <w:p w14:paraId="11F31C07">
      <w:pPr>
        <w:spacing w:line="360" w:lineRule="auto"/>
        <w:ind w:firstLine="420" w:firstLineChars="200"/>
        <w:rPr>
          <w:rFonts w:ascii="宋体" w:hAnsi="宋体"/>
          <w:bCs/>
          <w:szCs w:val="21"/>
        </w:rPr>
      </w:pPr>
      <w:r>
        <w:rPr>
          <w:rFonts w:hint="eastAsia" w:ascii="宋体" w:hAnsi="宋体"/>
          <w:bCs/>
          <w:szCs w:val="21"/>
        </w:rPr>
        <w:t>3.发包人和承包人通过招投标形式签订合同的，双方理解并承诺不再就同一工程另行签订与合同实质性内容相背离的协议。</w:t>
      </w:r>
    </w:p>
    <w:p w14:paraId="3EED5302">
      <w:pPr>
        <w:pStyle w:val="6"/>
        <w:keepNext/>
        <w:keepLines/>
        <w:spacing w:before="120" w:after="120" w:line="360" w:lineRule="auto"/>
        <w:ind w:firstLine="422" w:firstLineChars="200"/>
        <w:jc w:val="both"/>
        <w:rPr>
          <w:kern w:val="2"/>
          <w:sz w:val="21"/>
          <w:szCs w:val="21"/>
        </w:rPr>
      </w:pPr>
      <w:bookmarkStart w:id="446" w:name="_Toc351203488"/>
      <w:bookmarkStart w:id="447" w:name="_Toc532375580"/>
      <w:bookmarkStart w:id="448" w:name="_Toc532377173"/>
      <w:r>
        <w:rPr>
          <w:rFonts w:hint="eastAsia"/>
          <w:kern w:val="2"/>
          <w:sz w:val="21"/>
          <w:szCs w:val="21"/>
        </w:rPr>
        <w:t>八、词语含义</w:t>
      </w:r>
      <w:bookmarkEnd w:id="446"/>
      <w:bookmarkEnd w:id="447"/>
      <w:bookmarkEnd w:id="448"/>
    </w:p>
    <w:p w14:paraId="67D74822">
      <w:pPr>
        <w:spacing w:line="360" w:lineRule="auto"/>
        <w:ind w:firstLine="420" w:firstLineChars="200"/>
        <w:rPr>
          <w:rFonts w:ascii="宋体" w:hAnsi="宋体"/>
          <w:bCs/>
          <w:szCs w:val="21"/>
        </w:rPr>
      </w:pPr>
      <w:r>
        <w:rPr>
          <w:rFonts w:hint="eastAsia" w:ascii="宋体" w:hAnsi="宋体"/>
          <w:bCs/>
          <w:szCs w:val="21"/>
        </w:rPr>
        <w:t>本协议书中词语含义与专用合同条款及通用合同条款中赋予的含义相同。</w:t>
      </w:r>
    </w:p>
    <w:p w14:paraId="04420A22">
      <w:pPr>
        <w:pStyle w:val="6"/>
        <w:keepNext/>
        <w:keepLines/>
        <w:spacing w:before="120" w:after="120" w:line="360" w:lineRule="auto"/>
        <w:ind w:firstLine="422" w:firstLineChars="200"/>
        <w:jc w:val="both"/>
        <w:rPr>
          <w:kern w:val="2"/>
          <w:sz w:val="21"/>
          <w:szCs w:val="21"/>
        </w:rPr>
      </w:pPr>
      <w:bookmarkStart w:id="449" w:name="_Toc532377174"/>
      <w:bookmarkStart w:id="450" w:name="_Toc532375581"/>
      <w:r>
        <w:rPr>
          <w:rFonts w:hint="eastAsia"/>
          <w:kern w:val="2"/>
          <w:sz w:val="21"/>
          <w:szCs w:val="21"/>
        </w:rPr>
        <w:t>九、签订时间</w:t>
      </w:r>
      <w:bookmarkEnd w:id="449"/>
      <w:bookmarkEnd w:id="450"/>
    </w:p>
    <w:p w14:paraId="566533D8">
      <w:pPr>
        <w:spacing w:line="360" w:lineRule="auto"/>
        <w:ind w:firstLine="420" w:firstLineChars="200"/>
        <w:rPr>
          <w:rFonts w:ascii="宋体" w:hAnsi="宋体"/>
          <w:szCs w:val="21"/>
        </w:rPr>
      </w:pPr>
      <w:r>
        <w:rPr>
          <w:rFonts w:hint="eastAsia" w:ascii="宋体" w:hAnsi="宋体"/>
          <w:bCs/>
          <w:szCs w:val="21"/>
        </w:rPr>
        <w:t>合同于</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日签订</w:t>
      </w:r>
    </w:p>
    <w:p w14:paraId="126F72C5">
      <w:pPr>
        <w:pStyle w:val="6"/>
        <w:keepNext/>
        <w:keepLines/>
        <w:spacing w:before="120" w:after="120" w:line="360" w:lineRule="auto"/>
        <w:ind w:firstLine="422" w:firstLineChars="200"/>
        <w:jc w:val="both"/>
        <w:rPr>
          <w:kern w:val="2"/>
          <w:sz w:val="21"/>
          <w:szCs w:val="21"/>
        </w:rPr>
      </w:pPr>
      <w:bookmarkStart w:id="451" w:name="_Toc351203489"/>
      <w:bookmarkStart w:id="452" w:name="_Toc532375582"/>
      <w:bookmarkStart w:id="453" w:name="_Toc532377175"/>
      <w:r>
        <w:rPr>
          <w:rFonts w:hint="eastAsia"/>
          <w:kern w:val="2"/>
          <w:sz w:val="21"/>
          <w:szCs w:val="21"/>
        </w:rPr>
        <w:t>十、</w:t>
      </w:r>
      <w:bookmarkEnd w:id="451"/>
      <w:bookmarkStart w:id="454" w:name="_Toc351203490"/>
      <w:r>
        <w:rPr>
          <w:rFonts w:hint="eastAsia"/>
          <w:kern w:val="2"/>
          <w:sz w:val="21"/>
          <w:szCs w:val="21"/>
        </w:rPr>
        <w:t>签订地点</w:t>
      </w:r>
      <w:bookmarkEnd w:id="452"/>
      <w:bookmarkEnd w:id="453"/>
      <w:bookmarkEnd w:id="454"/>
    </w:p>
    <w:p w14:paraId="434C1EDF">
      <w:pPr>
        <w:spacing w:line="360" w:lineRule="auto"/>
        <w:ind w:firstLine="420" w:firstLineChars="200"/>
        <w:rPr>
          <w:rFonts w:ascii="宋体" w:hAnsi="宋体"/>
          <w:bCs/>
          <w:szCs w:val="21"/>
        </w:rPr>
      </w:pPr>
      <w:r>
        <w:rPr>
          <w:rFonts w:hint="eastAsia" w:ascii="宋体" w:hAnsi="宋体"/>
          <w:bCs/>
          <w:szCs w:val="21"/>
        </w:rPr>
        <w:t>合同在</w:t>
      </w:r>
      <w:r>
        <w:rPr>
          <w:rFonts w:hint="eastAsia" w:ascii="宋体" w:hAnsi="宋体"/>
          <w:bCs/>
          <w:szCs w:val="21"/>
          <w:u w:val="single"/>
        </w:rPr>
        <w:t xml:space="preserve">            </w:t>
      </w:r>
      <w:r>
        <w:rPr>
          <w:rFonts w:hint="eastAsia" w:ascii="宋体" w:hAnsi="宋体"/>
          <w:bCs/>
          <w:szCs w:val="21"/>
        </w:rPr>
        <w:t>签订。</w:t>
      </w:r>
    </w:p>
    <w:p w14:paraId="720C7E31">
      <w:pPr>
        <w:pStyle w:val="6"/>
        <w:keepNext/>
        <w:keepLines/>
        <w:spacing w:before="120" w:after="120" w:line="360" w:lineRule="auto"/>
        <w:ind w:firstLine="422" w:firstLineChars="200"/>
        <w:jc w:val="both"/>
        <w:rPr>
          <w:kern w:val="2"/>
          <w:sz w:val="21"/>
          <w:szCs w:val="21"/>
        </w:rPr>
      </w:pPr>
      <w:bookmarkStart w:id="455" w:name="_Toc351203491"/>
      <w:bookmarkStart w:id="456" w:name="_Toc532375583"/>
      <w:bookmarkStart w:id="457" w:name="_Toc532377176"/>
      <w:r>
        <w:rPr>
          <w:rFonts w:hint="eastAsia"/>
          <w:kern w:val="2"/>
          <w:sz w:val="21"/>
          <w:szCs w:val="21"/>
        </w:rPr>
        <w:t>十一、补充协议</w:t>
      </w:r>
      <w:bookmarkEnd w:id="455"/>
      <w:bookmarkEnd w:id="456"/>
      <w:bookmarkEnd w:id="457"/>
    </w:p>
    <w:p w14:paraId="0EB249D4">
      <w:pPr>
        <w:spacing w:line="360" w:lineRule="auto"/>
        <w:ind w:firstLine="420" w:firstLineChars="200"/>
        <w:rPr>
          <w:rFonts w:ascii="宋体" w:hAnsi="宋体"/>
          <w:b/>
          <w:bCs/>
          <w:szCs w:val="21"/>
        </w:rPr>
      </w:pPr>
      <w:r>
        <w:rPr>
          <w:rFonts w:hint="eastAsia" w:ascii="宋体" w:hAnsi="宋体"/>
          <w:bCs/>
          <w:szCs w:val="21"/>
        </w:rPr>
        <w:t>合同未尽事宜，合同当事人另行签订补充协议，补充协议是合同的组成部分。</w:t>
      </w:r>
    </w:p>
    <w:p w14:paraId="0766E0E6">
      <w:pPr>
        <w:pStyle w:val="6"/>
        <w:keepNext/>
        <w:keepLines/>
        <w:spacing w:before="120" w:after="120" w:line="360" w:lineRule="auto"/>
        <w:ind w:firstLine="422" w:firstLineChars="200"/>
        <w:jc w:val="both"/>
        <w:rPr>
          <w:kern w:val="2"/>
          <w:sz w:val="21"/>
          <w:szCs w:val="21"/>
        </w:rPr>
      </w:pPr>
      <w:bookmarkStart w:id="458" w:name="_Toc532375584"/>
      <w:bookmarkStart w:id="459" w:name="_Toc532377177"/>
      <w:bookmarkStart w:id="460" w:name="_Toc351203492"/>
      <w:r>
        <w:rPr>
          <w:rFonts w:hint="eastAsia"/>
          <w:kern w:val="2"/>
          <w:sz w:val="21"/>
          <w:szCs w:val="21"/>
        </w:rPr>
        <w:t>十二、合同生效</w:t>
      </w:r>
      <w:bookmarkEnd w:id="458"/>
      <w:bookmarkEnd w:id="459"/>
      <w:bookmarkEnd w:id="460"/>
    </w:p>
    <w:p w14:paraId="0C20413E">
      <w:pPr>
        <w:spacing w:line="360" w:lineRule="auto"/>
        <w:ind w:firstLine="420" w:firstLineChars="200"/>
        <w:rPr>
          <w:rFonts w:ascii="宋体" w:hAnsi="宋体"/>
          <w:bCs/>
          <w:szCs w:val="21"/>
        </w:rPr>
      </w:pPr>
      <w:r>
        <w:rPr>
          <w:rFonts w:hint="eastAsia" w:ascii="宋体" w:hAnsi="宋体"/>
          <w:bCs/>
          <w:szCs w:val="21"/>
        </w:rPr>
        <w:t>合同在以下条件全部满足之后生效：</w:t>
      </w:r>
    </w:p>
    <w:p w14:paraId="0E3C3EFE">
      <w:pPr>
        <w:spacing w:line="360" w:lineRule="auto"/>
        <w:ind w:firstLine="420" w:firstLineChars="200"/>
        <w:rPr>
          <w:rFonts w:ascii="宋体" w:hAnsi="宋体"/>
          <w:szCs w:val="21"/>
        </w:rPr>
      </w:pPr>
      <w:r>
        <w:rPr>
          <w:rFonts w:hint="eastAsia" w:ascii="宋体" w:hAnsi="宋体"/>
          <w:bCs/>
          <w:szCs w:val="21"/>
        </w:rPr>
        <w:t>1.合同</w:t>
      </w:r>
      <w:r>
        <w:rPr>
          <w:rFonts w:hint="eastAsia" w:ascii="宋体" w:hAnsi="宋体"/>
          <w:szCs w:val="21"/>
        </w:rPr>
        <w:t>经双方法定代表人或其委托代理人签字并加盖</w:t>
      </w:r>
      <w:r>
        <w:rPr>
          <w:rFonts w:hint="eastAsia" w:ascii="宋体" w:hAnsi="宋体"/>
          <w:snapToGrid w:val="0"/>
          <w:kern w:val="0"/>
          <w:szCs w:val="21"/>
        </w:rPr>
        <w:t>公章或合同专用章</w:t>
      </w:r>
      <w:r>
        <w:rPr>
          <w:rFonts w:hint="eastAsia" w:ascii="宋体" w:hAnsi="宋体"/>
          <w:szCs w:val="21"/>
        </w:rPr>
        <w:t>；</w:t>
      </w:r>
    </w:p>
    <w:p w14:paraId="19AA0EC2">
      <w:pPr>
        <w:spacing w:line="360" w:lineRule="auto"/>
        <w:ind w:firstLine="420" w:firstLineChars="200"/>
        <w:rPr>
          <w:rFonts w:ascii="宋体" w:hAnsi="宋体"/>
          <w:szCs w:val="21"/>
        </w:rPr>
      </w:pPr>
      <w:r>
        <w:rPr>
          <w:rFonts w:hint="eastAsia" w:ascii="宋体" w:hAnsi="宋体"/>
          <w:szCs w:val="21"/>
        </w:rPr>
        <w:t>2.采用保函形式递交履约担保的，承包人按合同约定向发包人提交履约担保后；</w:t>
      </w:r>
    </w:p>
    <w:p w14:paraId="29D686B9">
      <w:pPr>
        <w:spacing w:line="360" w:lineRule="auto"/>
        <w:ind w:firstLine="420" w:firstLineChars="200"/>
        <w:rPr>
          <w:rFonts w:ascii="宋体" w:hAnsi="宋体"/>
          <w:bCs/>
          <w:szCs w:val="21"/>
        </w:rPr>
      </w:pPr>
      <w:r>
        <w:rPr>
          <w:rFonts w:hint="eastAsia" w:ascii="宋体" w:hAnsi="宋体"/>
          <w:bCs/>
          <w:szCs w:val="21"/>
        </w:rPr>
        <w:t>3.</w:t>
      </w:r>
      <w:r>
        <w:rPr>
          <w:rFonts w:hint="eastAsia" w:ascii="宋体" w:hAnsi="宋体"/>
          <w:szCs w:val="21"/>
          <w:u w:val="single"/>
        </w:rPr>
        <w:t xml:space="preserve">        </w:t>
      </w:r>
      <w:r>
        <w:rPr>
          <w:rFonts w:hint="eastAsia" w:ascii="宋体" w:hAnsi="宋体"/>
          <w:szCs w:val="21"/>
        </w:rPr>
        <w:t>。</w:t>
      </w:r>
    </w:p>
    <w:p w14:paraId="30B2276A">
      <w:pPr>
        <w:pStyle w:val="6"/>
        <w:keepNext/>
        <w:keepLines/>
        <w:spacing w:before="120" w:after="120" w:line="360" w:lineRule="auto"/>
        <w:ind w:firstLine="422" w:firstLineChars="200"/>
        <w:jc w:val="both"/>
        <w:rPr>
          <w:kern w:val="2"/>
          <w:sz w:val="21"/>
          <w:szCs w:val="21"/>
        </w:rPr>
      </w:pPr>
      <w:bookmarkStart w:id="461" w:name="_Toc351203493"/>
      <w:bookmarkStart w:id="462" w:name="_Toc532377178"/>
      <w:bookmarkStart w:id="463" w:name="_Toc532375585"/>
      <w:r>
        <w:rPr>
          <w:rFonts w:hint="eastAsia"/>
          <w:kern w:val="2"/>
          <w:sz w:val="21"/>
          <w:szCs w:val="21"/>
        </w:rPr>
        <w:t>十三、合同份数</w:t>
      </w:r>
      <w:bookmarkEnd w:id="461"/>
      <w:bookmarkEnd w:id="462"/>
      <w:bookmarkEnd w:id="463"/>
    </w:p>
    <w:p w14:paraId="027C339E">
      <w:pPr>
        <w:spacing w:line="360" w:lineRule="auto"/>
        <w:ind w:firstLine="420" w:firstLineChars="200"/>
        <w:rPr>
          <w:rFonts w:ascii="宋体" w:hAnsi="宋体"/>
          <w:bCs/>
          <w:szCs w:val="21"/>
        </w:rPr>
      </w:pPr>
      <w:r>
        <w:rPr>
          <w:rFonts w:hint="eastAsia" w:ascii="宋体" w:hAnsi="宋体" w:cs="Microsoft Sans Serif"/>
          <w:bCs/>
          <w:szCs w:val="21"/>
        </w:rPr>
        <w:t>合同一式</w:t>
      </w:r>
      <w:r>
        <w:rPr>
          <w:rFonts w:hint="eastAsia" w:ascii="宋体" w:hAnsi="宋体" w:cs="Microsoft Sans Serif"/>
          <w:bCs/>
          <w:szCs w:val="21"/>
          <w:u w:val="single"/>
        </w:rPr>
        <w:t xml:space="preserve">     </w:t>
      </w:r>
      <w:r>
        <w:rPr>
          <w:rFonts w:hint="eastAsia" w:ascii="宋体" w:hAnsi="宋体" w:cs="Microsoft Sans Serif"/>
          <w:bCs/>
          <w:szCs w:val="21"/>
        </w:rPr>
        <w:t>份，其中正本</w:t>
      </w:r>
      <w:r>
        <w:rPr>
          <w:rFonts w:hint="eastAsia" w:ascii="宋体" w:hAnsi="宋体" w:cs="Microsoft Sans Serif"/>
          <w:bCs/>
          <w:szCs w:val="21"/>
          <w:u w:val="single"/>
        </w:rPr>
        <w:t xml:space="preserve">    </w:t>
      </w:r>
      <w:r>
        <w:rPr>
          <w:rFonts w:hint="eastAsia" w:ascii="宋体" w:hAnsi="宋体" w:cs="Microsoft Sans Serif"/>
          <w:bCs/>
          <w:szCs w:val="21"/>
        </w:rPr>
        <w:t>份，双方各持</w:t>
      </w:r>
      <w:r>
        <w:rPr>
          <w:rFonts w:hint="eastAsia" w:ascii="宋体" w:hAnsi="宋体" w:cs="Microsoft Sans Serif"/>
          <w:bCs/>
          <w:szCs w:val="21"/>
          <w:u w:val="single"/>
        </w:rPr>
        <w:t xml:space="preserve">    </w:t>
      </w:r>
      <w:r>
        <w:rPr>
          <w:rFonts w:hint="eastAsia" w:ascii="宋体" w:hAnsi="宋体" w:cs="Microsoft Sans Serif"/>
          <w:bCs/>
          <w:szCs w:val="21"/>
        </w:rPr>
        <w:t>份，副本</w:t>
      </w:r>
      <w:r>
        <w:rPr>
          <w:rFonts w:hint="eastAsia" w:ascii="宋体" w:hAnsi="宋体" w:cs="Microsoft Sans Serif"/>
          <w:bCs/>
          <w:szCs w:val="21"/>
          <w:u w:val="single"/>
        </w:rPr>
        <w:t xml:space="preserve">    </w:t>
      </w:r>
      <w:r>
        <w:rPr>
          <w:rFonts w:hint="eastAsia" w:ascii="宋体" w:hAnsi="宋体" w:cs="Microsoft Sans Serif"/>
          <w:bCs/>
          <w:szCs w:val="21"/>
        </w:rPr>
        <w:t>份，双方各执</w:t>
      </w:r>
      <w:r>
        <w:rPr>
          <w:rFonts w:hint="eastAsia" w:ascii="宋体" w:hAnsi="宋体" w:cs="Microsoft Sans Serif"/>
          <w:bCs/>
          <w:szCs w:val="21"/>
          <w:u w:val="single"/>
        </w:rPr>
        <w:t xml:space="preserve">    </w:t>
      </w:r>
      <w:r>
        <w:rPr>
          <w:rFonts w:hint="eastAsia" w:ascii="宋体" w:hAnsi="宋体" w:cs="Microsoft Sans Serif"/>
          <w:bCs/>
          <w:szCs w:val="21"/>
        </w:rPr>
        <w:t>份。副本与正本不一致时，以正本为准</w:t>
      </w:r>
      <w:r>
        <w:rPr>
          <w:rFonts w:hint="eastAsia" w:ascii="宋体" w:hAnsi="宋体"/>
          <w:bCs/>
          <w:szCs w:val="21"/>
        </w:rPr>
        <w:t>。</w:t>
      </w:r>
    </w:p>
    <w:p w14:paraId="02E819CA">
      <w:pPr>
        <w:spacing w:line="360" w:lineRule="auto"/>
        <w:ind w:firstLine="420" w:firstLineChars="200"/>
        <w:rPr>
          <w:rFonts w:ascii="宋体" w:hAnsi="宋体"/>
          <w:bCs/>
          <w:szCs w:val="21"/>
        </w:rPr>
      </w:pPr>
    </w:p>
    <w:p w14:paraId="1934A2FC">
      <w:pPr>
        <w:spacing w:line="360" w:lineRule="auto"/>
        <w:ind w:firstLine="420" w:firstLineChars="200"/>
        <w:rPr>
          <w:rFonts w:ascii="宋体" w:hAnsi="宋体"/>
          <w:bCs/>
          <w:szCs w:val="21"/>
        </w:rPr>
      </w:pPr>
      <w:r>
        <w:rPr>
          <w:rFonts w:hint="eastAsia" w:ascii="宋体" w:hAnsi="宋体"/>
          <w:bCs/>
          <w:szCs w:val="21"/>
        </w:rPr>
        <w:t>（以下为签字盖章页）。</w:t>
      </w:r>
    </w:p>
    <w:p w14:paraId="30436D0B">
      <w:pPr>
        <w:pStyle w:val="2"/>
        <w:spacing w:line="360" w:lineRule="auto"/>
        <w:ind w:firstLine="420" w:firstLineChars="200"/>
        <w:rPr>
          <w:rFonts w:ascii="宋体" w:hAnsi="宋体"/>
          <w:szCs w:val="21"/>
        </w:rPr>
      </w:pPr>
    </w:p>
    <w:p w14:paraId="4B0058B4">
      <w:pPr>
        <w:pStyle w:val="2"/>
        <w:spacing w:line="360" w:lineRule="auto"/>
        <w:ind w:firstLine="420" w:firstLineChars="200"/>
        <w:rPr>
          <w:rFonts w:ascii="宋体" w:hAnsi="宋体"/>
          <w:szCs w:val="21"/>
        </w:rPr>
      </w:pPr>
    </w:p>
    <w:p w14:paraId="212A9430">
      <w:pPr>
        <w:adjustRightInd w:val="0"/>
        <w:spacing w:line="360" w:lineRule="auto"/>
        <w:ind w:firstLine="420" w:firstLineChars="200"/>
        <w:rPr>
          <w:rFonts w:ascii="宋体" w:hAnsi="宋体"/>
          <w:snapToGrid w:val="0"/>
          <w:kern w:val="0"/>
          <w:szCs w:val="21"/>
        </w:rPr>
      </w:pPr>
      <w:bookmarkStart w:id="464" w:name="_Toc467689623"/>
      <w:r>
        <w:rPr>
          <w:rFonts w:ascii="宋体" w:hAnsi="宋体"/>
          <w:snapToGrid w:val="0"/>
          <w:kern w:val="0"/>
          <w:szCs w:val="21"/>
        </w:rPr>
        <w:t>发包人：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6318348F">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565EB8EC">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713ECD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683AEA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90AD2C2">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49FCBB0">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1441E379">
      <w:pPr>
        <w:spacing w:line="360" w:lineRule="auto"/>
        <w:ind w:firstLine="420" w:firstLineChars="200"/>
        <w:rPr>
          <w:rFonts w:ascii="宋体" w:hAnsi="宋体"/>
          <w:szCs w:val="21"/>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763CC46C">
      <w:pPr>
        <w:spacing w:line="360" w:lineRule="auto"/>
        <w:rPr>
          <w:rFonts w:ascii="宋体" w:hAnsi="宋体"/>
          <w:snapToGrid w:val="0"/>
          <w:kern w:val="0"/>
          <w:szCs w:val="21"/>
        </w:rPr>
      </w:pPr>
    </w:p>
    <w:p w14:paraId="3EB367AE">
      <w:pPr>
        <w:spacing w:line="360" w:lineRule="auto"/>
        <w:ind w:firstLine="420" w:firstLineChars="200"/>
        <w:rPr>
          <w:rFonts w:ascii="宋体" w:hAnsi="宋体"/>
          <w:szCs w:val="21"/>
        </w:rPr>
      </w:pPr>
      <w:r>
        <w:rPr>
          <w:rFonts w:ascii="宋体" w:hAnsi="宋体"/>
          <w:snapToGrid w:val="0"/>
          <w:kern w:val="0"/>
          <w:szCs w:val="21"/>
        </w:rPr>
        <w:t>承包人：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（公章</w:t>
      </w:r>
      <w:r>
        <w:rPr>
          <w:rFonts w:hint="eastAsia" w:ascii="宋体" w:hAnsi="宋体"/>
          <w:snapToGrid w:val="0"/>
          <w:kern w:val="0"/>
          <w:szCs w:val="21"/>
        </w:rPr>
        <w:t>或合同专用章</w:t>
      </w:r>
      <w:r>
        <w:rPr>
          <w:rFonts w:ascii="宋体" w:hAnsi="宋体"/>
          <w:snapToGrid w:val="0"/>
          <w:kern w:val="0"/>
          <w:szCs w:val="21"/>
        </w:rPr>
        <w:t>）</w:t>
      </w:r>
    </w:p>
    <w:p w14:paraId="418395A2">
      <w:pPr>
        <w:spacing w:line="360" w:lineRule="auto"/>
        <w:ind w:firstLine="420" w:firstLineChars="20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w:t>
      </w:r>
    </w:p>
    <w:p w14:paraId="3C4AEAAF">
      <w:pPr>
        <w:spacing w:line="360" w:lineRule="auto"/>
        <w:ind w:firstLine="420" w:firstLineChars="200"/>
        <w:rPr>
          <w:rFonts w:ascii="宋体" w:hAnsi="宋体"/>
          <w:snapToGrid w:val="0"/>
          <w:kern w:val="0"/>
          <w:szCs w:val="21"/>
        </w:rPr>
      </w:pPr>
      <w:r>
        <w:rPr>
          <w:rFonts w:hint="eastAsia" w:ascii="宋体" w:hAnsi="宋体"/>
          <w:snapToGrid w:val="0"/>
          <w:kern w:val="0"/>
          <w:szCs w:val="21"/>
        </w:rPr>
        <w:t>统一社会信用代码：</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2C579717">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纳税人识别号：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586485D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地    址：</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10FA5A4">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电    话：</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879E80F">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开户银行：</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69E9D940">
      <w:pPr>
        <w:spacing w:line="360" w:lineRule="auto"/>
        <w:ind w:firstLine="420" w:firstLineChars="200"/>
        <w:rPr>
          <w:rFonts w:ascii="宋体" w:hAnsi="宋体"/>
          <w:snapToGrid w:val="0"/>
          <w:kern w:val="0"/>
          <w:szCs w:val="21"/>
          <w:u w:val="single"/>
        </w:rPr>
      </w:pPr>
      <w:r>
        <w:rPr>
          <w:rFonts w:hint="eastAsia" w:ascii="宋体" w:hAnsi="宋体"/>
          <w:snapToGrid w:val="0"/>
          <w:kern w:val="0"/>
          <w:szCs w:val="21"/>
        </w:rPr>
        <w:t>账    号：</w:t>
      </w:r>
      <w:r>
        <w:rPr>
          <w:rFonts w:ascii="宋体" w:hAnsi="宋体"/>
          <w:snapToGrid w:val="0"/>
          <w:w w:val="20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30F528C2">
      <w:pPr>
        <w:pStyle w:val="2"/>
        <w:spacing w:line="360" w:lineRule="auto"/>
        <w:rPr>
          <w:rFonts w:ascii="宋体" w:hAnsi="宋体"/>
          <w:szCs w:val="21"/>
        </w:rPr>
      </w:pPr>
    </w:p>
    <w:p w14:paraId="79B91F86">
      <w:pPr>
        <w:spacing w:line="360" w:lineRule="auto"/>
        <w:jc w:val="right"/>
        <w:rPr>
          <w:rFonts w:ascii="宋体" w:hAnsi="宋体"/>
          <w:snapToGrid w:val="0"/>
          <w:kern w:val="0"/>
          <w:szCs w:val="21"/>
        </w:rPr>
      </w:pPr>
    </w:p>
    <w:p w14:paraId="0F0900D8">
      <w:pPr>
        <w:spacing w:line="360" w:lineRule="auto"/>
        <w:jc w:val="right"/>
        <w:rPr>
          <w:rFonts w:ascii="宋体" w:hAnsi="宋体"/>
          <w:snapToGrid w:val="0"/>
          <w:kern w:val="0"/>
          <w:szCs w:val="21"/>
        </w:rPr>
      </w:pPr>
    </w:p>
    <w:p w14:paraId="2FB99ECD">
      <w:pPr>
        <w:spacing w:line="360" w:lineRule="auto"/>
        <w:jc w:val="right"/>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bookmarkEnd w:id="464"/>
    </w:p>
    <w:p w14:paraId="45722C0E">
      <w:pPr>
        <w:pStyle w:val="5"/>
        <w:jc w:val="center"/>
        <w:rPr>
          <w:rFonts w:ascii="宋体" w:hAnsi="宋体"/>
          <w:bCs w:val="0"/>
          <w:sz w:val="21"/>
          <w:szCs w:val="21"/>
        </w:rPr>
      </w:pPr>
      <w:r>
        <w:rPr>
          <w:rFonts w:hint="eastAsia" w:ascii="宋体" w:hAnsi="宋体"/>
          <w:b w:val="0"/>
          <w:snapToGrid w:val="0"/>
          <w:sz w:val="21"/>
          <w:szCs w:val="21"/>
          <w:lang w:val="zh-CN"/>
        </w:rPr>
        <w:br w:type="page"/>
      </w:r>
      <w:bookmarkStart w:id="465" w:name="_Toc529388289"/>
      <w:bookmarkStart w:id="466" w:name="_Toc532377179"/>
      <w:bookmarkStart w:id="467" w:name="_Toc14710"/>
      <w:bookmarkStart w:id="468" w:name="_Toc532375586"/>
      <w:r>
        <w:rPr>
          <w:rFonts w:hint="eastAsia" w:ascii="宋体" w:hAnsi="宋体"/>
          <w:sz w:val="44"/>
          <w:szCs w:val="44"/>
        </w:rPr>
        <w:t>第二部分 通用合同条款</w:t>
      </w:r>
      <w:bookmarkEnd w:id="465"/>
      <w:bookmarkEnd w:id="466"/>
      <w:bookmarkEnd w:id="467"/>
      <w:bookmarkEnd w:id="468"/>
    </w:p>
    <w:p w14:paraId="25575545">
      <w:pPr>
        <w:pStyle w:val="6"/>
        <w:keepNext/>
        <w:keepLines/>
        <w:spacing w:before="156" w:beforeLines="50" w:beforeAutospacing="0" w:after="156" w:afterLines="50" w:afterAutospacing="0" w:line="360" w:lineRule="auto"/>
        <w:jc w:val="both"/>
        <w:rPr>
          <w:kern w:val="2"/>
          <w:sz w:val="21"/>
          <w:szCs w:val="21"/>
        </w:rPr>
      </w:pPr>
      <w:bookmarkStart w:id="469" w:name="_Toc532375587"/>
      <w:bookmarkStart w:id="470" w:name="_Toc532377180"/>
      <w:bookmarkStart w:id="471" w:name="_Toc351203495"/>
      <w:r>
        <w:rPr>
          <w:rFonts w:hint="eastAsia"/>
          <w:kern w:val="2"/>
          <w:sz w:val="21"/>
          <w:szCs w:val="21"/>
        </w:rPr>
        <w:t>1.</w:t>
      </w:r>
      <w:bookmarkStart w:id="472" w:name="_Toc303538973"/>
      <w:bookmarkEnd w:id="472"/>
      <w:bookmarkStart w:id="473" w:name="_Toc303538976"/>
      <w:bookmarkEnd w:id="473"/>
      <w:bookmarkStart w:id="474" w:name="_Toc303538975"/>
      <w:bookmarkEnd w:id="474"/>
      <w:bookmarkStart w:id="475" w:name="_Toc303538974"/>
      <w:bookmarkEnd w:id="475"/>
      <w:bookmarkStart w:id="476" w:name="_Toc303538972"/>
      <w:bookmarkEnd w:id="476"/>
      <w:bookmarkStart w:id="477" w:name="_Toc296346528"/>
      <w:bookmarkStart w:id="478" w:name="_Toc296503027"/>
      <w:r>
        <w:rPr>
          <w:rFonts w:hint="eastAsia"/>
          <w:kern w:val="2"/>
          <w:sz w:val="21"/>
          <w:szCs w:val="21"/>
        </w:rPr>
        <w:t>一般约定</w:t>
      </w:r>
      <w:bookmarkEnd w:id="469"/>
      <w:bookmarkEnd w:id="470"/>
      <w:bookmarkEnd w:id="471"/>
      <w:bookmarkEnd w:id="477"/>
      <w:bookmarkEnd w:id="478"/>
    </w:p>
    <w:p w14:paraId="1C4620A3">
      <w:pPr>
        <w:pStyle w:val="7"/>
        <w:spacing w:before="0" w:beforeAutospacing="0" w:after="0" w:afterAutospacing="0" w:line="360" w:lineRule="auto"/>
        <w:ind w:firstLine="422" w:firstLineChars="200"/>
        <w:rPr>
          <w:sz w:val="21"/>
          <w:szCs w:val="21"/>
        </w:rPr>
      </w:pPr>
      <w:bookmarkStart w:id="479" w:name="_Toc296503028"/>
      <w:bookmarkStart w:id="480" w:name="_Toc337558728"/>
      <w:bookmarkStart w:id="481" w:name="_Toc296346529"/>
      <w:bookmarkStart w:id="482" w:name="_Toc532377181"/>
      <w:bookmarkStart w:id="483" w:name="_Toc351203496"/>
      <w:r>
        <w:rPr>
          <w:rFonts w:hint="eastAsia"/>
          <w:sz w:val="21"/>
          <w:szCs w:val="21"/>
        </w:rPr>
        <w:t>1.1词语定义</w:t>
      </w:r>
      <w:bookmarkEnd w:id="479"/>
      <w:bookmarkEnd w:id="480"/>
      <w:bookmarkEnd w:id="481"/>
      <w:r>
        <w:rPr>
          <w:rFonts w:hint="eastAsia"/>
          <w:sz w:val="21"/>
          <w:szCs w:val="21"/>
        </w:rPr>
        <w:t>与解释</w:t>
      </w:r>
      <w:bookmarkEnd w:id="482"/>
      <w:bookmarkEnd w:id="483"/>
    </w:p>
    <w:p w14:paraId="2DADFE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合同协议书、通用合同条款、专用合同条款中的下列词语具有本款所赋予的含义：</w:t>
      </w:r>
    </w:p>
    <w:p w14:paraId="36F18D96">
      <w:pPr>
        <w:pStyle w:val="7"/>
        <w:spacing w:before="0" w:beforeAutospacing="0" w:after="0" w:afterAutospacing="0" w:line="360" w:lineRule="auto"/>
        <w:ind w:firstLine="420" w:firstLineChars="200"/>
        <w:rPr>
          <w:b w:val="0"/>
          <w:bCs w:val="0"/>
          <w:sz w:val="21"/>
          <w:szCs w:val="21"/>
        </w:rPr>
      </w:pPr>
      <w:bookmarkStart w:id="484" w:name="_Toc532377182"/>
      <w:r>
        <w:rPr>
          <w:rFonts w:hint="eastAsia"/>
          <w:b w:val="0"/>
          <w:bCs w:val="0"/>
          <w:sz w:val="21"/>
          <w:szCs w:val="21"/>
        </w:rPr>
        <w:t>1.1.1 合同</w:t>
      </w:r>
      <w:bookmarkEnd w:id="484"/>
    </w:p>
    <w:p w14:paraId="07D91E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合同：是指根据法律规定和合同当事人约定具有约束力的文件，构成合同的文件包括合同协议书、中标通知书（如有）、投标函及其附录（如有）、专用合同条款</w:t>
      </w:r>
      <w:r>
        <w:rPr>
          <w:rFonts w:hint="eastAsia" w:ascii="宋体" w:hAnsi="宋体"/>
          <w:szCs w:val="21"/>
        </w:rPr>
        <w:t>及其附件</w:t>
      </w:r>
      <w:r>
        <w:rPr>
          <w:rFonts w:hint="eastAsia" w:ascii="宋体" w:hAnsi="宋体"/>
          <w:kern w:val="0"/>
          <w:szCs w:val="21"/>
        </w:rPr>
        <w:t>、通用合同条款、技术标准和要求、图纸、已标价工程量清单或预算书以及其他合同文件。</w:t>
      </w:r>
    </w:p>
    <w:p w14:paraId="4F30BD1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合同协议书：是指构成合同的由发包人和承包人共同签署的称为“合同协议书”的书面文件。</w:t>
      </w:r>
    </w:p>
    <w:p w14:paraId="0B7BCB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中标通知书：是指构成合同的由发包人通知承包人中标的书面文件。</w:t>
      </w:r>
    </w:p>
    <w:p w14:paraId="31A65A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1.1.1.4 投标函：是指构成合同的由承包人填写并签署的用于投标的称为“投标函”的文件。</w:t>
      </w:r>
    </w:p>
    <w:p w14:paraId="15373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1.1.1.5 投标函附录：是指构成合同的附在投标函后的称为“投标函附录”的文件。</w:t>
      </w:r>
    </w:p>
    <w:p w14:paraId="1488EF4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1.1.1.6 技术标准和要求：是指构成合同的施工应当遵守的或指导施工的国家、行业或地方的技术标准和要求，以及合同约定的技术标准和要求。</w:t>
      </w:r>
    </w:p>
    <w:p w14:paraId="5B63534F">
      <w:pPr>
        <w:spacing w:line="360" w:lineRule="auto"/>
        <w:ind w:firstLine="420" w:firstLineChars="200"/>
        <w:jc w:val="left"/>
        <w:rPr>
          <w:rFonts w:ascii="宋体" w:hAnsi="宋体"/>
          <w:kern w:val="0"/>
          <w:szCs w:val="21"/>
        </w:rPr>
      </w:pPr>
      <w:r>
        <w:rPr>
          <w:rFonts w:hint="eastAsia" w:ascii="宋体" w:hAnsi="宋体"/>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56639C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1.1.1.8 已标价工程量清单：是指构成合同的由承包人按照规定的格式和要求填写并标明价格的工程量清单，包括说明和表格。</w:t>
      </w:r>
    </w:p>
    <w:p w14:paraId="5B955F4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1.1.1.9 预算书：是指构成合同的由承包人按照发包人规定的格式和要求编制的工程预算文件。</w:t>
      </w:r>
    </w:p>
    <w:p w14:paraId="38A60D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1.1.1.10 其他合同文件：是指经合同当事人约定的与工程施工有关的具有合同约束力的文件或书面协议。合同当事人可以在专用合同条款中进行约定。</w:t>
      </w:r>
    </w:p>
    <w:p w14:paraId="71037E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 合同当事人及其他相关方</w:t>
      </w:r>
    </w:p>
    <w:p w14:paraId="5DD93F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1.1.2.1 合同当事人：是指发包人和（或）承包人。</w:t>
      </w:r>
    </w:p>
    <w:p w14:paraId="3EF4B4D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1.1.2.2 发包人：是指与承包人签订合同协议书的当事人及取得该当事人资格的合法继承人。</w:t>
      </w:r>
    </w:p>
    <w:p w14:paraId="6F42C6F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1.1.2.3 承包人：是指与发包人签订合同协议书的，具有相应工程施工承包资质的当事人及取得该当事人资格的合法继承人。</w:t>
      </w:r>
    </w:p>
    <w:p w14:paraId="1BEAE7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1.1.2.4 监理人：是指在专用合同条款中指明的，受发包人委托按照法律规定进行工程监督管理的法人或其他组织。</w:t>
      </w:r>
    </w:p>
    <w:p w14:paraId="1E491B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1.1.2.5 设计人：是指在专用合同条款中指明的，受发包人委托负责工程设计并具备相应工程设计资质的法人或其他组织。</w:t>
      </w:r>
    </w:p>
    <w:p w14:paraId="7F0E796F">
      <w:pPr>
        <w:spacing w:line="360" w:lineRule="auto"/>
        <w:ind w:firstLine="420" w:firstLineChars="200"/>
        <w:jc w:val="left"/>
        <w:rPr>
          <w:rFonts w:ascii="宋体" w:hAnsi="宋体"/>
          <w:kern w:val="0"/>
          <w:szCs w:val="21"/>
        </w:rPr>
      </w:pPr>
      <w:r>
        <w:rPr>
          <w:rFonts w:hint="eastAsia" w:ascii="宋体" w:hAnsi="宋体"/>
          <w:kern w:val="0"/>
          <w:szCs w:val="21"/>
        </w:rPr>
        <w:t>1.1.2.6 分包人：</w:t>
      </w:r>
      <w:bookmarkStart w:id="485" w:name="#go5"/>
      <w:bookmarkEnd w:id="485"/>
      <w:r>
        <w:rPr>
          <w:rFonts w:hint="eastAsia" w:ascii="宋体" w:hAnsi="宋体"/>
          <w:kern w:val="0"/>
          <w:szCs w:val="21"/>
        </w:rPr>
        <w:t>是指按照法律规定和合同约定，分包部分工程或工作，并与承包人签订分包合同的具有相应资质的法人。</w:t>
      </w:r>
    </w:p>
    <w:p w14:paraId="04D353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1.1.2.7 发包人代表：是指由发包人任命并派驻施工现场在发包人授权范围内行使发包人权利的人。</w:t>
      </w:r>
    </w:p>
    <w:p w14:paraId="1869D52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1.1.2.8 项目经理：是指由承包人任命并派驻施工现场，在承包人授权范围内负责合同履行，且按照法律规定具有相应资格的项目负责人。</w:t>
      </w:r>
    </w:p>
    <w:p w14:paraId="5D9DA9B9">
      <w:pPr>
        <w:spacing w:line="360" w:lineRule="auto"/>
        <w:ind w:firstLine="420" w:firstLineChars="200"/>
        <w:jc w:val="left"/>
        <w:rPr>
          <w:rFonts w:ascii="宋体" w:hAnsi="宋体"/>
          <w:kern w:val="0"/>
          <w:szCs w:val="21"/>
        </w:rPr>
      </w:pPr>
      <w:r>
        <w:rPr>
          <w:rFonts w:hint="eastAsia" w:ascii="宋体" w:hAnsi="宋体"/>
          <w:kern w:val="0"/>
          <w:szCs w:val="21"/>
        </w:rPr>
        <w:t>1.1.2.9 总监理工程师：是指由监理人任命并派驻施工现场进行工程监理的总负责人。</w:t>
      </w:r>
    </w:p>
    <w:p w14:paraId="1FD5AECD">
      <w:pPr>
        <w:spacing w:line="360" w:lineRule="auto"/>
        <w:ind w:firstLine="420" w:firstLineChars="200"/>
        <w:jc w:val="left"/>
        <w:rPr>
          <w:rFonts w:ascii="宋体" w:hAnsi="宋体"/>
          <w:kern w:val="0"/>
          <w:szCs w:val="21"/>
        </w:rPr>
      </w:pPr>
      <w:r>
        <w:rPr>
          <w:rFonts w:hint="eastAsia" w:ascii="宋体" w:hAnsi="宋体"/>
          <w:kern w:val="0"/>
          <w:szCs w:val="21"/>
        </w:rPr>
        <w:t>1.1.3 工程和设备</w:t>
      </w:r>
    </w:p>
    <w:p w14:paraId="539C9B3A">
      <w:pPr>
        <w:spacing w:line="360" w:lineRule="auto"/>
        <w:ind w:firstLine="420" w:firstLineChars="200"/>
        <w:jc w:val="left"/>
        <w:rPr>
          <w:rFonts w:ascii="宋体" w:hAnsi="宋体"/>
          <w:kern w:val="0"/>
          <w:szCs w:val="21"/>
        </w:rPr>
      </w:pPr>
      <w:r>
        <w:rPr>
          <w:rFonts w:hint="eastAsia" w:ascii="宋体" w:hAnsi="宋体"/>
          <w:kern w:val="0"/>
          <w:szCs w:val="21"/>
        </w:rPr>
        <w:t>1.1.3.1 工程：是指与合同协议书中工程承包范围对应的永久工程和（或）临时工程。</w:t>
      </w:r>
    </w:p>
    <w:p w14:paraId="43BABFF7">
      <w:pPr>
        <w:spacing w:line="360" w:lineRule="auto"/>
        <w:ind w:firstLine="420" w:firstLineChars="200"/>
        <w:jc w:val="left"/>
        <w:rPr>
          <w:rFonts w:ascii="宋体" w:hAnsi="宋体"/>
          <w:kern w:val="0"/>
          <w:szCs w:val="21"/>
        </w:rPr>
      </w:pPr>
      <w:r>
        <w:rPr>
          <w:rFonts w:hint="eastAsia" w:ascii="宋体" w:hAnsi="宋体"/>
          <w:kern w:val="0"/>
          <w:szCs w:val="21"/>
        </w:rPr>
        <w:t>1.1.3.2 永久工程：是指按合同约定建造并移交给发包人的工程，包括工程设备。</w:t>
      </w:r>
    </w:p>
    <w:p w14:paraId="7838F55A">
      <w:pPr>
        <w:spacing w:line="360" w:lineRule="auto"/>
        <w:ind w:firstLine="420" w:firstLineChars="200"/>
        <w:jc w:val="left"/>
        <w:rPr>
          <w:rFonts w:ascii="宋体" w:hAnsi="宋体"/>
          <w:kern w:val="0"/>
          <w:szCs w:val="21"/>
        </w:rPr>
      </w:pPr>
      <w:r>
        <w:rPr>
          <w:rFonts w:hint="eastAsia" w:ascii="宋体" w:hAnsi="宋体"/>
          <w:kern w:val="0"/>
          <w:szCs w:val="21"/>
        </w:rPr>
        <w:t>1.1.3.3 临时工程：是指为完成合同约定的永久工程所修建的各类临时性工程，不包括施工设备。</w:t>
      </w:r>
    </w:p>
    <w:p w14:paraId="4F1AD69A">
      <w:pPr>
        <w:spacing w:line="360" w:lineRule="auto"/>
        <w:ind w:firstLine="420" w:firstLineChars="200"/>
        <w:jc w:val="left"/>
        <w:rPr>
          <w:rFonts w:ascii="宋体" w:hAnsi="宋体"/>
          <w:kern w:val="0"/>
          <w:szCs w:val="21"/>
        </w:rPr>
      </w:pPr>
      <w:r>
        <w:rPr>
          <w:rFonts w:hint="eastAsia" w:ascii="宋体" w:hAnsi="宋体"/>
          <w:kern w:val="0"/>
          <w:szCs w:val="21"/>
        </w:rPr>
        <w:t>1.1.3.4 单位工程：是指在合同协议书中指明的，具备独立施工条件并能形成独立使用功能的永久工程。</w:t>
      </w:r>
    </w:p>
    <w:p w14:paraId="381ABC24">
      <w:pPr>
        <w:spacing w:line="360" w:lineRule="auto"/>
        <w:ind w:firstLine="420" w:firstLineChars="200"/>
        <w:jc w:val="left"/>
        <w:rPr>
          <w:rFonts w:ascii="宋体" w:hAnsi="宋体"/>
          <w:kern w:val="0"/>
          <w:szCs w:val="21"/>
        </w:rPr>
      </w:pPr>
      <w:r>
        <w:rPr>
          <w:rFonts w:hint="eastAsia" w:ascii="宋体" w:hAnsi="宋体"/>
          <w:kern w:val="0"/>
          <w:szCs w:val="21"/>
        </w:rPr>
        <w:t>1.1.3.5 工程设备：是指构成永久工程的机电设备、金属结构设备、仪器及其他类似的设备和装置。</w:t>
      </w:r>
    </w:p>
    <w:p w14:paraId="28F5FC9F">
      <w:pPr>
        <w:spacing w:line="360" w:lineRule="auto"/>
        <w:ind w:firstLine="420" w:firstLineChars="200"/>
        <w:jc w:val="left"/>
        <w:rPr>
          <w:rFonts w:ascii="宋体" w:hAnsi="宋体"/>
          <w:kern w:val="0"/>
          <w:szCs w:val="21"/>
        </w:rPr>
      </w:pPr>
      <w:r>
        <w:rPr>
          <w:rFonts w:hint="eastAsia" w:ascii="宋体" w:hAnsi="宋体"/>
          <w:kern w:val="0"/>
          <w:szCs w:val="21"/>
        </w:rPr>
        <w:t>1.1.3.6 施工设备：是指为完成合同约定的各项工作所需的设备、器具和其他物品，但不包括工程设备、临时工程和材料。</w:t>
      </w:r>
    </w:p>
    <w:p w14:paraId="0CCE7BEA">
      <w:pPr>
        <w:spacing w:line="360" w:lineRule="auto"/>
        <w:ind w:firstLine="420" w:firstLineChars="200"/>
        <w:jc w:val="left"/>
        <w:rPr>
          <w:rFonts w:ascii="宋体" w:hAnsi="宋体"/>
          <w:kern w:val="0"/>
          <w:szCs w:val="21"/>
        </w:rPr>
      </w:pPr>
      <w:r>
        <w:rPr>
          <w:rFonts w:hint="eastAsia" w:ascii="宋体" w:hAnsi="宋体"/>
          <w:kern w:val="0"/>
          <w:szCs w:val="21"/>
        </w:rPr>
        <w:t>1.1.3.7 施工现场：是指用于工程施工的场所，以及在专用合同条款中指明作为施工场所组成部分的其他场所，包括永久占地和临时占地。</w:t>
      </w:r>
    </w:p>
    <w:p w14:paraId="7565613A">
      <w:pPr>
        <w:spacing w:line="360" w:lineRule="auto"/>
        <w:ind w:firstLine="420" w:firstLineChars="200"/>
        <w:jc w:val="left"/>
        <w:rPr>
          <w:rFonts w:ascii="宋体" w:hAnsi="宋体"/>
          <w:kern w:val="0"/>
          <w:szCs w:val="21"/>
        </w:rPr>
      </w:pPr>
      <w:r>
        <w:rPr>
          <w:rFonts w:hint="eastAsia" w:ascii="宋体" w:hAnsi="宋体"/>
          <w:kern w:val="0"/>
          <w:szCs w:val="21"/>
        </w:rPr>
        <w:t>1.1.3.8临时设施：是指为完成合同约定的各项工作所服务的临时性生产和生活设施。</w:t>
      </w:r>
    </w:p>
    <w:p w14:paraId="00509378">
      <w:pPr>
        <w:spacing w:line="360" w:lineRule="auto"/>
        <w:ind w:firstLine="420" w:firstLineChars="200"/>
        <w:jc w:val="left"/>
        <w:rPr>
          <w:rFonts w:ascii="宋体" w:hAnsi="宋体"/>
          <w:kern w:val="0"/>
          <w:szCs w:val="21"/>
        </w:rPr>
      </w:pPr>
      <w:r>
        <w:rPr>
          <w:rFonts w:hint="eastAsia" w:ascii="宋体" w:hAnsi="宋体"/>
          <w:kern w:val="0"/>
          <w:szCs w:val="21"/>
        </w:rPr>
        <w:t>1.1.3.9 永久占地：是指专用合同条款中指明为实施工程需永久占用的土地。</w:t>
      </w:r>
    </w:p>
    <w:p w14:paraId="7769E647">
      <w:pPr>
        <w:spacing w:line="360" w:lineRule="auto"/>
        <w:ind w:firstLine="420" w:firstLineChars="200"/>
        <w:jc w:val="left"/>
        <w:rPr>
          <w:rFonts w:ascii="宋体" w:hAnsi="宋体"/>
          <w:kern w:val="0"/>
          <w:szCs w:val="21"/>
        </w:rPr>
      </w:pPr>
      <w:r>
        <w:rPr>
          <w:rFonts w:hint="eastAsia" w:ascii="宋体" w:hAnsi="宋体"/>
          <w:kern w:val="0"/>
          <w:szCs w:val="21"/>
        </w:rPr>
        <w:t>1.1.3.10 临时占地：是指专用合同条款中指明为实施工程需要临时占用的土地。</w:t>
      </w:r>
    </w:p>
    <w:p w14:paraId="15A6C9BA">
      <w:pPr>
        <w:spacing w:line="360" w:lineRule="auto"/>
        <w:ind w:firstLine="420" w:firstLineChars="200"/>
        <w:jc w:val="left"/>
        <w:rPr>
          <w:rFonts w:ascii="宋体" w:hAnsi="宋体"/>
          <w:kern w:val="0"/>
          <w:szCs w:val="21"/>
        </w:rPr>
      </w:pPr>
      <w:r>
        <w:rPr>
          <w:rFonts w:hint="eastAsia" w:ascii="宋体" w:hAnsi="宋体"/>
          <w:kern w:val="0"/>
          <w:szCs w:val="21"/>
        </w:rPr>
        <w:t>1.1.4 日期和期限</w:t>
      </w:r>
    </w:p>
    <w:p w14:paraId="1A943770">
      <w:pPr>
        <w:spacing w:line="360" w:lineRule="auto"/>
        <w:ind w:firstLine="420" w:firstLineChars="200"/>
        <w:jc w:val="left"/>
        <w:rPr>
          <w:rFonts w:ascii="宋体" w:hAnsi="宋体"/>
          <w:kern w:val="0"/>
          <w:szCs w:val="21"/>
        </w:rPr>
      </w:pPr>
      <w:r>
        <w:rPr>
          <w:rFonts w:hint="eastAsia" w:ascii="宋体" w:hAnsi="宋体"/>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420EE59D">
      <w:pPr>
        <w:spacing w:line="360" w:lineRule="auto"/>
        <w:ind w:firstLine="420" w:firstLineChars="200"/>
        <w:jc w:val="left"/>
        <w:rPr>
          <w:rFonts w:ascii="宋体" w:hAnsi="宋体"/>
          <w:kern w:val="0"/>
          <w:szCs w:val="21"/>
        </w:rPr>
      </w:pPr>
      <w:r>
        <w:rPr>
          <w:rFonts w:hint="eastAsia" w:ascii="宋体" w:hAnsi="宋体"/>
          <w:kern w:val="0"/>
          <w:szCs w:val="21"/>
        </w:rPr>
        <w:t xml:space="preserve">1.1.4.2 竣工日期：包括计划竣工日期和实际竣工日期。计划竣工日期是指合同协议书约定的竣工日期；实际竣工日期按照第13.2.3项〔竣工日期〕的约定确定。 </w:t>
      </w:r>
    </w:p>
    <w:p w14:paraId="391C0F81">
      <w:pPr>
        <w:spacing w:line="360" w:lineRule="auto"/>
        <w:ind w:firstLine="420" w:firstLineChars="200"/>
        <w:jc w:val="left"/>
        <w:rPr>
          <w:rFonts w:ascii="宋体" w:hAnsi="宋体"/>
          <w:szCs w:val="21"/>
        </w:rPr>
      </w:pPr>
      <w:r>
        <w:rPr>
          <w:rFonts w:hint="eastAsia" w:ascii="宋体" w:hAnsi="宋体"/>
          <w:kern w:val="0"/>
          <w:szCs w:val="21"/>
        </w:rPr>
        <w:t>1.1.4.3 工期：是指在合同协议书约定的承包人完成工程所需的期限，包括按照合同约定所作的期限变更。</w:t>
      </w:r>
    </w:p>
    <w:p w14:paraId="031C229D">
      <w:pPr>
        <w:spacing w:line="360" w:lineRule="auto"/>
        <w:ind w:firstLine="420" w:firstLineChars="200"/>
        <w:jc w:val="left"/>
        <w:rPr>
          <w:rFonts w:ascii="宋体" w:hAnsi="宋体"/>
          <w:kern w:val="0"/>
          <w:szCs w:val="21"/>
        </w:rPr>
      </w:pPr>
      <w:r>
        <w:rPr>
          <w:rFonts w:hint="eastAsia" w:ascii="宋体" w:hAnsi="宋体"/>
          <w:kern w:val="0"/>
          <w:szCs w:val="21"/>
        </w:rPr>
        <w:t>1.1.4.4 缺陷责任期：是指承包人按照合同约定承担缺陷修复义务，且发包人预留质量保证金（已缴纳履约保证金的除外）的期限，自工程实际竣工日期起计算。</w:t>
      </w:r>
    </w:p>
    <w:p w14:paraId="764516EA">
      <w:pPr>
        <w:spacing w:line="360" w:lineRule="auto"/>
        <w:ind w:firstLine="420" w:firstLineChars="200"/>
        <w:jc w:val="left"/>
        <w:rPr>
          <w:rFonts w:ascii="宋体" w:hAnsi="宋体"/>
          <w:kern w:val="0"/>
          <w:szCs w:val="21"/>
        </w:rPr>
      </w:pPr>
      <w:r>
        <w:rPr>
          <w:rFonts w:hint="eastAsia" w:ascii="宋体" w:hAnsi="宋体"/>
          <w:kern w:val="0"/>
          <w:szCs w:val="21"/>
        </w:rPr>
        <w:t>1.1.4.5 保修期：是指承包人按照合同约定对工程承担保修责任的期限，从工程竣工验收合格之日起计算。</w:t>
      </w:r>
    </w:p>
    <w:p w14:paraId="27172776">
      <w:pPr>
        <w:spacing w:line="360" w:lineRule="auto"/>
        <w:ind w:firstLine="420" w:firstLineChars="200"/>
        <w:jc w:val="left"/>
        <w:rPr>
          <w:rFonts w:ascii="宋体" w:hAnsi="宋体"/>
          <w:kern w:val="0"/>
          <w:szCs w:val="21"/>
        </w:rPr>
      </w:pPr>
      <w:r>
        <w:rPr>
          <w:rFonts w:hint="eastAsia" w:ascii="宋体" w:hAnsi="宋体"/>
          <w:kern w:val="0"/>
          <w:szCs w:val="21"/>
        </w:rPr>
        <w:t>1.1.4.6 基准日期：采购发包的工程以投标截止日前28天的日期为基准日期，直接发包的工程以合同签订日前28天的日期为基准日期。</w:t>
      </w:r>
    </w:p>
    <w:p w14:paraId="02B5E122">
      <w:pPr>
        <w:spacing w:line="360" w:lineRule="auto"/>
        <w:ind w:firstLine="420" w:firstLineChars="200"/>
        <w:jc w:val="left"/>
        <w:rPr>
          <w:rFonts w:ascii="宋体" w:hAnsi="宋体"/>
          <w:kern w:val="0"/>
          <w:szCs w:val="21"/>
        </w:rPr>
      </w:pPr>
      <w:r>
        <w:rPr>
          <w:rFonts w:hint="eastAsia" w:ascii="宋体" w:hAnsi="宋体"/>
          <w:kern w:val="0"/>
          <w:szCs w:val="21"/>
        </w:rPr>
        <w:t>1.1.4.7 天：除特别指明外，均指日历天。合同中按天计算时间的，开始当天不计入，从次日开始计算，期限最后一天的截止时间为当天24：00时。</w:t>
      </w:r>
    </w:p>
    <w:p w14:paraId="379509D1">
      <w:pPr>
        <w:spacing w:line="360" w:lineRule="auto"/>
        <w:ind w:firstLine="420" w:firstLineChars="200"/>
        <w:jc w:val="left"/>
        <w:rPr>
          <w:rFonts w:ascii="宋体" w:hAnsi="宋体"/>
          <w:kern w:val="0"/>
          <w:szCs w:val="21"/>
        </w:rPr>
      </w:pPr>
      <w:r>
        <w:rPr>
          <w:rFonts w:hint="eastAsia" w:ascii="宋体" w:hAnsi="宋体"/>
          <w:kern w:val="0"/>
          <w:szCs w:val="21"/>
        </w:rPr>
        <w:t>1.1.5 合同价格和费用</w:t>
      </w:r>
    </w:p>
    <w:p w14:paraId="390141D1">
      <w:pPr>
        <w:spacing w:line="360" w:lineRule="auto"/>
        <w:ind w:firstLine="420" w:firstLineChars="200"/>
        <w:jc w:val="left"/>
        <w:rPr>
          <w:rFonts w:ascii="宋体" w:hAnsi="宋体"/>
          <w:szCs w:val="21"/>
        </w:rPr>
      </w:pPr>
      <w:r>
        <w:rPr>
          <w:rFonts w:hint="eastAsia" w:ascii="宋体" w:hAnsi="宋体"/>
          <w:kern w:val="0"/>
          <w:szCs w:val="21"/>
        </w:rPr>
        <w:t>1.1.5.1 签约合同价：是指</w:t>
      </w:r>
      <w:r>
        <w:rPr>
          <w:rFonts w:hint="eastAsia" w:ascii="宋体" w:hAnsi="宋体"/>
          <w:szCs w:val="21"/>
        </w:rPr>
        <w:t>发包人和承包人在合同协议书中确定的总金额，包括安全文明施工费、暂估价及暂列金额等。</w:t>
      </w:r>
    </w:p>
    <w:p w14:paraId="6AA31E6D">
      <w:pPr>
        <w:spacing w:line="360" w:lineRule="auto"/>
        <w:ind w:firstLine="420" w:firstLineChars="200"/>
        <w:jc w:val="left"/>
        <w:rPr>
          <w:rFonts w:ascii="宋体" w:hAnsi="宋体"/>
          <w:kern w:val="0"/>
          <w:szCs w:val="21"/>
        </w:rPr>
      </w:pPr>
      <w:r>
        <w:rPr>
          <w:rFonts w:hint="eastAsia" w:ascii="宋体" w:hAnsi="宋体"/>
          <w:kern w:val="0"/>
          <w:szCs w:val="21"/>
        </w:rPr>
        <w:t>1.1.5.2 合同价格：是指发包人用于支付承包人按照合同约定完成承包范围内全部工作的金额，包括合同履行过程中按合同约定发生的价格变化。</w:t>
      </w:r>
    </w:p>
    <w:p w14:paraId="7ED112F7">
      <w:pPr>
        <w:spacing w:line="360" w:lineRule="auto"/>
        <w:ind w:firstLine="420" w:firstLineChars="200"/>
        <w:jc w:val="left"/>
        <w:rPr>
          <w:rFonts w:ascii="宋体" w:hAnsi="宋体"/>
          <w:kern w:val="0"/>
          <w:szCs w:val="21"/>
        </w:rPr>
      </w:pPr>
      <w:r>
        <w:rPr>
          <w:rFonts w:hint="eastAsia" w:ascii="宋体" w:hAnsi="宋体"/>
          <w:kern w:val="0"/>
          <w:szCs w:val="21"/>
        </w:rPr>
        <w:t>1.1.5.3 费用：是指为履行合同所发生的或将要发生的所有必需的开支，包括管理费和应分摊的其他费用，但不包括利润。</w:t>
      </w:r>
    </w:p>
    <w:p w14:paraId="540577F1">
      <w:pPr>
        <w:spacing w:line="360" w:lineRule="auto"/>
        <w:ind w:firstLine="420" w:firstLineChars="200"/>
        <w:jc w:val="left"/>
        <w:rPr>
          <w:rFonts w:ascii="宋体" w:hAnsi="宋体"/>
          <w:kern w:val="0"/>
          <w:szCs w:val="21"/>
        </w:rPr>
      </w:pPr>
      <w:r>
        <w:rPr>
          <w:rFonts w:hint="eastAsia" w:ascii="宋体" w:hAnsi="宋体"/>
          <w:kern w:val="0"/>
          <w:szCs w:val="21"/>
        </w:rPr>
        <w:t>1.1.5.4 暂估价：是指发包人在工程量清单或预算书中提供的用于支付必然发生但暂时不能确定价格的材料、工程设备的单价、专业工程以及服务工作的金额。</w:t>
      </w:r>
    </w:p>
    <w:p w14:paraId="1A319D87">
      <w:pPr>
        <w:spacing w:line="360" w:lineRule="auto"/>
        <w:ind w:firstLine="420" w:firstLineChars="200"/>
        <w:jc w:val="left"/>
        <w:rPr>
          <w:rFonts w:ascii="宋体" w:hAnsi="宋体"/>
          <w:kern w:val="0"/>
          <w:szCs w:val="21"/>
        </w:rPr>
      </w:pPr>
      <w:r>
        <w:rPr>
          <w:rFonts w:hint="eastAsia" w:ascii="宋体" w:hAnsi="宋体"/>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680A288B">
      <w:pPr>
        <w:spacing w:line="360" w:lineRule="auto"/>
        <w:ind w:firstLine="420" w:firstLineChars="200"/>
        <w:jc w:val="left"/>
        <w:rPr>
          <w:rFonts w:ascii="宋体" w:hAnsi="宋体"/>
          <w:kern w:val="0"/>
          <w:szCs w:val="21"/>
        </w:rPr>
      </w:pPr>
      <w:r>
        <w:rPr>
          <w:rFonts w:hint="eastAsia" w:ascii="宋体" w:hAnsi="宋体"/>
          <w:kern w:val="0"/>
          <w:szCs w:val="21"/>
        </w:rPr>
        <w:t>1.1.5.6 计日工：是指合同履行过程中，承包人完成发包人提出的零星工作或需要采用计日工计价的变更工作时，按合同中约定的单价计价的一种方式。</w:t>
      </w:r>
    </w:p>
    <w:p w14:paraId="34C65F47">
      <w:pPr>
        <w:spacing w:line="360" w:lineRule="auto"/>
        <w:ind w:firstLine="420" w:firstLineChars="200"/>
        <w:jc w:val="left"/>
        <w:rPr>
          <w:rFonts w:ascii="宋体" w:hAnsi="宋体"/>
          <w:szCs w:val="21"/>
        </w:rPr>
      </w:pPr>
      <w:r>
        <w:rPr>
          <w:rFonts w:hint="eastAsia" w:ascii="宋体" w:hAnsi="宋体"/>
          <w:kern w:val="0"/>
          <w:szCs w:val="21"/>
        </w:rPr>
        <w:t>1.1.5.7 质量保证金</w:t>
      </w:r>
      <w:bookmarkStart w:id="486" w:name="#go2"/>
      <w:bookmarkEnd w:id="486"/>
      <w:r>
        <w:rPr>
          <w:rFonts w:hint="eastAsia" w:ascii="宋体" w:hAnsi="宋体"/>
          <w:kern w:val="0"/>
          <w:szCs w:val="21"/>
        </w:rPr>
        <w:t>：是指按照第15.3款〔质量保证金〕约定承包人用于保证其在缺陷责任期内履行缺陷修补义务的担保</w:t>
      </w:r>
      <w:r>
        <w:rPr>
          <w:rFonts w:hint="eastAsia" w:ascii="宋体" w:hAnsi="宋体"/>
          <w:szCs w:val="21"/>
        </w:rPr>
        <w:t>。</w:t>
      </w:r>
    </w:p>
    <w:p w14:paraId="3A9ABA08">
      <w:pPr>
        <w:spacing w:line="360" w:lineRule="auto"/>
        <w:ind w:firstLine="420" w:firstLineChars="200"/>
        <w:jc w:val="left"/>
        <w:rPr>
          <w:rFonts w:ascii="宋体" w:hAnsi="宋体"/>
          <w:kern w:val="0"/>
          <w:szCs w:val="21"/>
        </w:rPr>
      </w:pPr>
      <w:r>
        <w:rPr>
          <w:rFonts w:hint="eastAsia" w:ascii="宋体" w:hAnsi="宋体"/>
          <w:kern w:val="0"/>
          <w:szCs w:val="21"/>
        </w:rPr>
        <w:t>1.1.5.8 总价项目：是指在现行国家、行业以及地方的计量规则中无工程量计算规则，在已标价工程量清单或预算书中以总价或以费率形式计算的项目。</w:t>
      </w:r>
    </w:p>
    <w:p w14:paraId="2788E648">
      <w:pPr>
        <w:spacing w:line="360" w:lineRule="auto"/>
        <w:ind w:firstLine="420" w:firstLineChars="200"/>
        <w:jc w:val="left"/>
        <w:rPr>
          <w:rFonts w:ascii="宋体" w:hAnsi="宋体"/>
          <w:szCs w:val="21"/>
        </w:rPr>
      </w:pPr>
      <w:r>
        <w:rPr>
          <w:rFonts w:hint="eastAsia" w:ascii="宋体" w:hAnsi="宋体"/>
          <w:szCs w:val="21"/>
        </w:rPr>
        <w:t>1.1.6 其他</w:t>
      </w:r>
    </w:p>
    <w:p w14:paraId="28D4D027">
      <w:pPr>
        <w:spacing w:line="360" w:lineRule="auto"/>
        <w:ind w:firstLine="420" w:firstLineChars="200"/>
        <w:jc w:val="left"/>
        <w:rPr>
          <w:rFonts w:ascii="宋体" w:hAnsi="宋体"/>
          <w:kern w:val="0"/>
          <w:szCs w:val="21"/>
        </w:rPr>
      </w:pPr>
      <w:r>
        <w:rPr>
          <w:rFonts w:hint="eastAsia" w:ascii="宋体" w:hAnsi="宋体"/>
          <w:kern w:val="0"/>
          <w:szCs w:val="21"/>
        </w:rPr>
        <w:t>1.1.6.1 书面形式：是指合同文件、信函、电报、传真等可以有形地表现所载内容的形式。</w:t>
      </w:r>
    </w:p>
    <w:p w14:paraId="716698E3">
      <w:pPr>
        <w:pStyle w:val="7"/>
        <w:spacing w:before="0" w:beforeAutospacing="0" w:after="0" w:afterAutospacing="0" w:line="360" w:lineRule="auto"/>
        <w:ind w:firstLine="422" w:firstLineChars="200"/>
        <w:rPr>
          <w:sz w:val="21"/>
          <w:szCs w:val="21"/>
        </w:rPr>
      </w:pPr>
      <w:bookmarkStart w:id="487" w:name="_Toc532377183"/>
      <w:r>
        <w:rPr>
          <w:rFonts w:hint="eastAsia"/>
          <w:sz w:val="21"/>
          <w:szCs w:val="21"/>
        </w:rPr>
        <w:t>1.2 语言文字</w:t>
      </w:r>
      <w:bookmarkEnd w:id="487"/>
    </w:p>
    <w:p w14:paraId="2DE45327">
      <w:pPr>
        <w:spacing w:line="360" w:lineRule="auto"/>
        <w:ind w:firstLine="420" w:firstLineChars="200"/>
        <w:jc w:val="left"/>
        <w:rPr>
          <w:rFonts w:ascii="宋体" w:hAnsi="宋体"/>
          <w:kern w:val="0"/>
          <w:szCs w:val="21"/>
        </w:rPr>
      </w:pPr>
      <w:r>
        <w:rPr>
          <w:rFonts w:hint="eastAsia" w:ascii="宋体" w:hAnsi="宋体"/>
          <w:kern w:val="0"/>
          <w:szCs w:val="21"/>
        </w:rPr>
        <w:t>合同以中国的汉语简体文字编写、解释和说明。合同当事人在专用合同条款中约定使用两种以上语言时，汉语为优先解释和说明合同的语言。</w:t>
      </w:r>
    </w:p>
    <w:p w14:paraId="696D4ED2">
      <w:pPr>
        <w:pStyle w:val="7"/>
        <w:spacing w:before="0" w:beforeAutospacing="0" w:after="0" w:afterAutospacing="0" w:line="360" w:lineRule="auto"/>
        <w:ind w:firstLine="422" w:firstLineChars="200"/>
        <w:rPr>
          <w:sz w:val="21"/>
          <w:szCs w:val="21"/>
        </w:rPr>
      </w:pPr>
      <w:bookmarkStart w:id="488" w:name="_Toc296346531"/>
      <w:bookmarkStart w:id="489" w:name="_Toc296503030"/>
      <w:bookmarkStart w:id="490" w:name="_Toc532377184"/>
      <w:bookmarkStart w:id="491" w:name="_Toc337558730"/>
      <w:bookmarkStart w:id="492" w:name="_Toc351203498"/>
      <w:r>
        <w:rPr>
          <w:rFonts w:hint="eastAsia"/>
          <w:sz w:val="21"/>
          <w:szCs w:val="21"/>
        </w:rPr>
        <w:t>1.3法律</w:t>
      </w:r>
      <w:bookmarkEnd w:id="488"/>
      <w:bookmarkEnd w:id="489"/>
      <w:bookmarkEnd w:id="490"/>
      <w:bookmarkEnd w:id="491"/>
      <w:bookmarkEnd w:id="492"/>
    </w:p>
    <w:p w14:paraId="7AC4D15F">
      <w:pPr>
        <w:spacing w:line="360" w:lineRule="auto"/>
        <w:ind w:firstLine="420" w:firstLineChars="200"/>
        <w:jc w:val="left"/>
        <w:rPr>
          <w:rFonts w:ascii="宋体" w:hAnsi="宋体"/>
          <w:kern w:val="0"/>
          <w:szCs w:val="21"/>
        </w:rPr>
      </w:pPr>
      <w:r>
        <w:rPr>
          <w:rFonts w:hint="eastAsia" w:ascii="宋体" w:hAnsi="宋体"/>
          <w:kern w:val="0"/>
          <w:szCs w:val="21"/>
        </w:rPr>
        <w:t>合同所称法律是指中华人民共和国法律、行政法规、部门规章，以及工程所在地的地方性法规、自治条例、单行条例和地方政府规章等。</w:t>
      </w:r>
    </w:p>
    <w:p w14:paraId="12100AB2">
      <w:pPr>
        <w:spacing w:line="360" w:lineRule="auto"/>
        <w:ind w:firstLine="420" w:firstLineChars="200"/>
        <w:jc w:val="left"/>
        <w:rPr>
          <w:rFonts w:ascii="宋体" w:hAnsi="宋体"/>
          <w:kern w:val="0"/>
          <w:szCs w:val="21"/>
        </w:rPr>
      </w:pPr>
      <w:r>
        <w:rPr>
          <w:rFonts w:hint="eastAsia" w:ascii="宋体" w:hAnsi="宋体"/>
          <w:kern w:val="0"/>
          <w:szCs w:val="21"/>
        </w:rPr>
        <w:t>合同当事人可以在专用合同条款中约定合同适用的其他规范性文件。</w:t>
      </w:r>
    </w:p>
    <w:p w14:paraId="3B0CCA7E">
      <w:pPr>
        <w:pStyle w:val="7"/>
        <w:spacing w:before="0" w:beforeAutospacing="0" w:after="0" w:afterAutospacing="0" w:line="360" w:lineRule="auto"/>
        <w:ind w:firstLine="422" w:firstLineChars="200"/>
        <w:rPr>
          <w:sz w:val="21"/>
          <w:szCs w:val="21"/>
        </w:rPr>
      </w:pPr>
      <w:bookmarkStart w:id="493" w:name="_Toc532377185"/>
      <w:bookmarkStart w:id="494" w:name="_Toc351203499"/>
      <w:r>
        <w:rPr>
          <w:rFonts w:hint="eastAsia"/>
          <w:sz w:val="21"/>
          <w:szCs w:val="21"/>
        </w:rPr>
        <w:t>1.4 标准和规范</w:t>
      </w:r>
      <w:bookmarkEnd w:id="493"/>
      <w:bookmarkEnd w:id="494"/>
    </w:p>
    <w:p w14:paraId="3B8E2D63">
      <w:pPr>
        <w:spacing w:line="360" w:lineRule="auto"/>
        <w:ind w:firstLine="420" w:firstLineChars="200"/>
        <w:jc w:val="left"/>
        <w:rPr>
          <w:rFonts w:ascii="宋体" w:hAnsi="宋体"/>
          <w:kern w:val="0"/>
          <w:szCs w:val="21"/>
        </w:rPr>
      </w:pPr>
      <w:r>
        <w:rPr>
          <w:rFonts w:hint="eastAsia" w:ascii="宋体" w:hAnsi="宋体"/>
          <w:kern w:val="0"/>
          <w:szCs w:val="21"/>
        </w:rPr>
        <w:t>1.4.1 适用于工程的国家标准、行业标准、工程所在地的地方性标准，以及相应的规范、规程等，合同当事人有特别要求的，应在专用合同条款中约定。</w:t>
      </w:r>
    </w:p>
    <w:p w14:paraId="31054201">
      <w:pPr>
        <w:spacing w:line="360" w:lineRule="auto"/>
        <w:ind w:firstLine="420" w:firstLineChars="200"/>
        <w:jc w:val="left"/>
        <w:rPr>
          <w:rFonts w:ascii="宋体" w:hAnsi="宋体"/>
          <w:kern w:val="0"/>
          <w:szCs w:val="21"/>
        </w:rPr>
      </w:pPr>
      <w:r>
        <w:rPr>
          <w:rFonts w:hint="eastAsia" w:ascii="宋体" w:hAnsi="宋体"/>
          <w:kern w:val="0"/>
          <w:szCs w:val="21"/>
        </w:rPr>
        <w:t>1.4.2 发包人要求使用国外标准、规范的，发包人负责提供原文版本和中文译本，并在专用合同条款中约定提供标准规范的名称、份数和时间。</w:t>
      </w:r>
    </w:p>
    <w:p w14:paraId="03C72CCD">
      <w:pPr>
        <w:spacing w:line="360" w:lineRule="auto"/>
        <w:ind w:firstLine="420" w:firstLineChars="200"/>
        <w:jc w:val="left"/>
        <w:rPr>
          <w:rFonts w:ascii="宋体" w:hAnsi="宋体"/>
          <w:kern w:val="0"/>
          <w:szCs w:val="21"/>
        </w:rPr>
      </w:pPr>
      <w:r>
        <w:rPr>
          <w:rFonts w:hint="eastAsia" w:ascii="宋体" w:hAnsi="宋体"/>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2AAA4C6">
      <w:pPr>
        <w:pStyle w:val="7"/>
        <w:spacing w:before="0" w:beforeAutospacing="0" w:after="0" w:afterAutospacing="0" w:line="360" w:lineRule="auto"/>
        <w:ind w:firstLine="422" w:firstLineChars="200"/>
        <w:rPr>
          <w:sz w:val="21"/>
          <w:szCs w:val="21"/>
        </w:rPr>
      </w:pPr>
      <w:bookmarkStart w:id="495" w:name="_Toc532377186"/>
      <w:bookmarkStart w:id="496" w:name="_Toc351203500"/>
      <w:r>
        <w:rPr>
          <w:rFonts w:hint="eastAsia"/>
          <w:sz w:val="21"/>
          <w:szCs w:val="21"/>
        </w:rPr>
        <w:t>1</w:t>
      </w:r>
      <w:bookmarkStart w:id="497" w:name="_Toc296503031"/>
      <w:bookmarkStart w:id="498" w:name="_Toc296346532"/>
      <w:bookmarkStart w:id="499" w:name="_Toc337558731"/>
      <w:r>
        <w:rPr>
          <w:rFonts w:hint="eastAsia"/>
          <w:sz w:val="21"/>
          <w:szCs w:val="21"/>
        </w:rPr>
        <w:t>.5 合同文件的优先顺序</w:t>
      </w:r>
      <w:bookmarkEnd w:id="495"/>
      <w:bookmarkEnd w:id="496"/>
    </w:p>
    <w:bookmarkEnd w:id="497"/>
    <w:bookmarkEnd w:id="498"/>
    <w:bookmarkEnd w:id="499"/>
    <w:p w14:paraId="33429B7F">
      <w:pPr>
        <w:spacing w:line="360" w:lineRule="auto"/>
        <w:ind w:firstLine="420" w:firstLineChars="200"/>
        <w:jc w:val="left"/>
        <w:rPr>
          <w:rFonts w:ascii="宋体" w:hAnsi="宋体"/>
          <w:kern w:val="0"/>
          <w:szCs w:val="21"/>
        </w:rPr>
      </w:pPr>
      <w:r>
        <w:rPr>
          <w:rFonts w:hint="eastAsia" w:ascii="宋体" w:hAnsi="宋体"/>
          <w:kern w:val="0"/>
          <w:szCs w:val="21"/>
        </w:rPr>
        <w:t>组成合同的各项文件应互相解释，互为说明。除专用合同条款另有约定外，解释合同文件的优先顺序如下：</w:t>
      </w:r>
    </w:p>
    <w:p w14:paraId="579084D7">
      <w:pPr>
        <w:spacing w:line="360" w:lineRule="auto"/>
        <w:ind w:firstLine="420" w:firstLineChars="200"/>
        <w:jc w:val="left"/>
        <w:rPr>
          <w:rFonts w:ascii="宋体" w:hAnsi="宋体"/>
          <w:kern w:val="0"/>
          <w:szCs w:val="21"/>
        </w:rPr>
      </w:pPr>
      <w:r>
        <w:rPr>
          <w:rFonts w:hint="eastAsia" w:ascii="宋体" w:hAnsi="宋体"/>
          <w:kern w:val="0"/>
          <w:szCs w:val="21"/>
        </w:rPr>
        <w:t>（1）合同协议书；</w:t>
      </w:r>
    </w:p>
    <w:p w14:paraId="71018F06">
      <w:pPr>
        <w:spacing w:line="360" w:lineRule="auto"/>
        <w:ind w:firstLine="420" w:firstLineChars="200"/>
        <w:jc w:val="left"/>
        <w:rPr>
          <w:rFonts w:ascii="宋体" w:hAnsi="宋体"/>
          <w:kern w:val="0"/>
          <w:szCs w:val="21"/>
        </w:rPr>
      </w:pPr>
      <w:r>
        <w:rPr>
          <w:rFonts w:hint="eastAsia" w:ascii="宋体" w:hAnsi="宋体"/>
          <w:kern w:val="0"/>
          <w:szCs w:val="21"/>
        </w:rPr>
        <w:t>（2）中标通知书（如有）；</w:t>
      </w:r>
    </w:p>
    <w:p w14:paraId="0BB8164F">
      <w:pPr>
        <w:spacing w:line="360" w:lineRule="auto"/>
        <w:ind w:firstLine="420" w:firstLineChars="200"/>
        <w:jc w:val="left"/>
        <w:rPr>
          <w:rFonts w:ascii="宋体" w:hAnsi="宋体"/>
          <w:kern w:val="0"/>
          <w:szCs w:val="21"/>
        </w:rPr>
      </w:pPr>
      <w:r>
        <w:rPr>
          <w:rFonts w:hint="eastAsia" w:ascii="宋体" w:hAnsi="宋体"/>
          <w:kern w:val="0"/>
          <w:szCs w:val="21"/>
        </w:rPr>
        <w:t>（3）投标函及其附录（如有）；</w:t>
      </w:r>
    </w:p>
    <w:p w14:paraId="1AF2E0C9">
      <w:pPr>
        <w:spacing w:line="360" w:lineRule="auto"/>
        <w:ind w:firstLine="420" w:firstLineChars="200"/>
        <w:jc w:val="left"/>
        <w:rPr>
          <w:rFonts w:ascii="宋体" w:hAnsi="宋体"/>
          <w:kern w:val="0"/>
          <w:szCs w:val="21"/>
        </w:rPr>
      </w:pPr>
      <w:r>
        <w:rPr>
          <w:rFonts w:hint="eastAsia" w:ascii="宋体" w:hAnsi="宋体"/>
          <w:kern w:val="0"/>
          <w:szCs w:val="21"/>
        </w:rPr>
        <w:t>（4）专用合同条款及其附件；</w:t>
      </w:r>
    </w:p>
    <w:p w14:paraId="4CC5EAFD">
      <w:pPr>
        <w:spacing w:line="360" w:lineRule="auto"/>
        <w:ind w:firstLine="420" w:firstLineChars="200"/>
        <w:jc w:val="left"/>
        <w:rPr>
          <w:rFonts w:ascii="宋体" w:hAnsi="宋体"/>
          <w:kern w:val="0"/>
          <w:szCs w:val="21"/>
        </w:rPr>
      </w:pPr>
      <w:r>
        <w:rPr>
          <w:rFonts w:hint="eastAsia" w:ascii="宋体" w:hAnsi="宋体"/>
          <w:kern w:val="0"/>
          <w:szCs w:val="21"/>
        </w:rPr>
        <w:t>（5）通用合同条款；</w:t>
      </w:r>
    </w:p>
    <w:p w14:paraId="2BEA6139">
      <w:pPr>
        <w:spacing w:line="360" w:lineRule="auto"/>
        <w:ind w:firstLine="420" w:firstLineChars="200"/>
        <w:jc w:val="left"/>
        <w:rPr>
          <w:rFonts w:ascii="宋体" w:hAnsi="宋体"/>
          <w:kern w:val="0"/>
          <w:szCs w:val="21"/>
        </w:rPr>
      </w:pPr>
      <w:r>
        <w:rPr>
          <w:rFonts w:hint="eastAsia" w:ascii="宋体" w:hAnsi="宋体"/>
          <w:kern w:val="0"/>
          <w:szCs w:val="21"/>
        </w:rPr>
        <w:t>（6）技术标准和要求；</w:t>
      </w:r>
    </w:p>
    <w:p w14:paraId="297E7E8B">
      <w:pPr>
        <w:spacing w:line="360" w:lineRule="auto"/>
        <w:ind w:firstLine="420" w:firstLineChars="200"/>
        <w:jc w:val="left"/>
        <w:rPr>
          <w:rFonts w:ascii="宋体" w:hAnsi="宋体"/>
          <w:kern w:val="0"/>
          <w:szCs w:val="21"/>
        </w:rPr>
      </w:pPr>
      <w:r>
        <w:rPr>
          <w:rFonts w:hint="eastAsia" w:ascii="宋体" w:hAnsi="宋体"/>
          <w:kern w:val="0"/>
          <w:szCs w:val="21"/>
        </w:rPr>
        <w:t>（7）图纸；</w:t>
      </w:r>
    </w:p>
    <w:p w14:paraId="19D6515F">
      <w:pPr>
        <w:spacing w:line="360" w:lineRule="auto"/>
        <w:ind w:firstLine="420" w:firstLineChars="200"/>
        <w:jc w:val="left"/>
        <w:rPr>
          <w:rFonts w:ascii="宋体" w:hAnsi="宋体"/>
          <w:kern w:val="0"/>
          <w:szCs w:val="21"/>
        </w:rPr>
      </w:pPr>
      <w:r>
        <w:rPr>
          <w:rFonts w:hint="eastAsia" w:ascii="宋体" w:hAnsi="宋体"/>
          <w:kern w:val="0"/>
          <w:szCs w:val="21"/>
        </w:rPr>
        <w:t>（8）已标价工程量清单或预算书；</w:t>
      </w:r>
    </w:p>
    <w:p w14:paraId="019DA8F9">
      <w:pPr>
        <w:spacing w:line="360" w:lineRule="auto"/>
        <w:ind w:firstLine="420" w:firstLineChars="200"/>
        <w:jc w:val="left"/>
        <w:rPr>
          <w:rFonts w:ascii="宋体" w:hAnsi="宋体"/>
          <w:kern w:val="0"/>
          <w:szCs w:val="21"/>
        </w:rPr>
      </w:pPr>
      <w:r>
        <w:rPr>
          <w:rFonts w:hint="eastAsia" w:ascii="宋体" w:hAnsi="宋体"/>
          <w:kern w:val="0"/>
          <w:szCs w:val="21"/>
        </w:rPr>
        <w:t>（9）其他合同文件。</w:t>
      </w:r>
    </w:p>
    <w:p w14:paraId="3D16672A">
      <w:pPr>
        <w:spacing w:line="360" w:lineRule="auto"/>
        <w:ind w:firstLine="420" w:firstLineChars="200"/>
        <w:jc w:val="left"/>
        <w:rPr>
          <w:rFonts w:ascii="宋体" w:hAnsi="宋体"/>
          <w:kern w:val="0"/>
          <w:szCs w:val="21"/>
        </w:rPr>
      </w:pPr>
      <w:r>
        <w:rPr>
          <w:rFonts w:hint="eastAsia" w:ascii="宋体" w:hAnsi="宋体"/>
          <w:kern w:val="0"/>
          <w:szCs w:val="21"/>
        </w:rPr>
        <w:t>上述各项合同文件包括合同当事人就该项合同文件所作出的补充和修改，属于同一类内容的文件，应以最新签署的为准。</w:t>
      </w:r>
    </w:p>
    <w:p w14:paraId="285B74C9">
      <w:pPr>
        <w:spacing w:line="360" w:lineRule="auto"/>
        <w:ind w:firstLine="420" w:firstLineChars="200"/>
        <w:jc w:val="left"/>
        <w:rPr>
          <w:rFonts w:ascii="宋体" w:hAnsi="宋体"/>
          <w:kern w:val="0"/>
          <w:szCs w:val="21"/>
        </w:rPr>
      </w:pPr>
      <w:r>
        <w:rPr>
          <w:rFonts w:hint="eastAsia" w:ascii="宋体" w:hAnsi="宋体"/>
          <w:kern w:val="0"/>
          <w:szCs w:val="21"/>
        </w:rPr>
        <w:t>在合同订立及履行过程中形成的与合同有关的文件均构成合同文件组成部分，并根据其性质确定优先解释顺序。</w:t>
      </w:r>
    </w:p>
    <w:p w14:paraId="554C70D8">
      <w:pPr>
        <w:pStyle w:val="7"/>
        <w:spacing w:before="0" w:beforeAutospacing="0" w:after="0" w:afterAutospacing="0" w:line="360" w:lineRule="auto"/>
        <w:ind w:firstLine="422" w:firstLineChars="200"/>
        <w:rPr>
          <w:sz w:val="21"/>
          <w:szCs w:val="21"/>
        </w:rPr>
      </w:pPr>
      <w:bookmarkStart w:id="500" w:name="_Toc351203501"/>
      <w:bookmarkStart w:id="501" w:name="_Toc532377187"/>
      <w:r>
        <w:rPr>
          <w:rFonts w:hint="eastAsia"/>
          <w:sz w:val="21"/>
          <w:szCs w:val="21"/>
        </w:rPr>
        <w:t>1</w:t>
      </w:r>
      <w:bookmarkStart w:id="502" w:name="_Toc296503032"/>
      <w:bookmarkStart w:id="503" w:name="_Toc337558732"/>
      <w:bookmarkStart w:id="504" w:name="_Toc296346533"/>
      <w:r>
        <w:rPr>
          <w:rFonts w:hint="eastAsia"/>
          <w:sz w:val="21"/>
          <w:szCs w:val="21"/>
        </w:rPr>
        <w:t>.6图纸和承包人文件</w:t>
      </w:r>
      <w:bookmarkEnd w:id="500"/>
      <w:bookmarkEnd w:id="501"/>
    </w:p>
    <w:bookmarkEnd w:id="502"/>
    <w:bookmarkEnd w:id="503"/>
    <w:bookmarkEnd w:id="504"/>
    <w:p w14:paraId="4230CA17">
      <w:pPr>
        <w:spacing w:line="360" w:lineRule="auto"/>
        <w:ind w:firstLine="420" w:firstLineChars="200"/>
        <w:jc w:val="left"/>
        <w:rPr>
          <w:rFonts w:ascii="宋体" w:hAnsi="宋体"/>
          <w:kern w:val="0"/>
          <w:szCs w:val="21"/>
        </w:rPr>
      </w:pPr>
      <w:r>
        <w:rPr>
          <w:rFonts w:hint="eastAsia" w:ascii="宋体" w:hAnsi="宋体"/>
          <w:kern w:val="0"/>
          <w:szCs w:val="21"/>
        </w:rPr>
        <w:t>1.6.1 图纸的提供和交底</w:t>
      </w:r>
    </w:p>
    <w:p w14:paraId="356B7248">
      <w:pPr>
        <w:spacing w:line="360" w:lineRule="auto"/>
        <w:ind w:firstLine="420" w:firstLineChars="200"/>
        <w:jc w:val="left"/>
        <w:rPr>
          <w:rFonts w:ascii="宋体" w:hAnsi="宋体"/>
          <w:kern w:val="0"/>
          <w:szCs w:val="21"/>
        </w:rPr>
      </w:pPr>
      <w:r>
        <w:rPr>
          <w:rFonts w:hint="eastAsia" w:ascii="宋体" w:hAnsi="宋体"/>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4124A8CC">
      <w:pPr>
        <w:spacing w:line="360" w:lineRule="auto"/>
        <w:ind w:firstLine="420" w:firstLineChars="200"/>
        <w:jc w:val="left"/>
        <w:rPr>
          <w:rFonts w:ascii="宋体" w:hAnsi="宋体"/>
          <w:kern w:val="0"/>
          <w:szCs w:val="21"/>
        </w:rPr>
      </w:pPr>
      <w:r>
        <w:rPr>
          <w:rFonts w:hint="eastAsia" w:ascii="宋体" w:hAnsi="宋体"/>
          <w:kern w:val="0"/>
          <w:szCs w:val="21"/>
        </w:rPr>
        <w:t>因发包人未按合同约定提供图纸导致承包人费用增加和（或）工期延误的，按照第7.5.1项〔因发包人原因导致工期延误〕约定办理。</w:t>
      </w:r>
    </w:p>
    <w:p w14:paraId="5EB9D71E">
      <w:pPr>
        <w:spacing w:line="360" w:lineRule="auto"/>
        <w:ind w:firstLine="420" w:firstLineChars="200"/>
        <w:jc w:val="left"/>
        <w:rPr>
          <w:rFonts w:ascii="宋体" w:hAnsi="宋体"/>
          <w:kern w:val="0"/>
          <w:szCs w:val="21"/>
        </w:rPr>
      </w:pPr>
      <w:r>
        <w:rPr>
          <w:rFonts w:hint="eastAsia" w:ascii="宋体" w:hAnsi="宋体"/>
          <w:kern w:val="0"/>
          <w:szCs w:val="21"/>
        </w:rPr>
        <w:t>1.6.2 图纸的错误</w:t>
      </w:r>
    </w:p>
    <w:p w14:paraId="60CEA4B5">
      <w:pPr>
        <w:spacing w:line="360" w:lineRule="auto"/>
        <w:ind w:firstLine="420" w:firstLineChars="200"/>
        <w:jc w:val="left"/>
        <w:rPr>
          <w:rFonts w:ascii="宋体" w:hAnsi="宋体"/>
          <w:kern w:val="0"/>
          <w:szCs w:val="21"/>
        </w:rPr>
      </w:pPr>
      <w:r>
        <w:rPr>
          <w:rFonts w:hint="eastAsia" w:ascii="宋体" w:hAnsi="宋体"/>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74E4049E">
      <w:pPr>
        <w:spacing w:line="360" w:lineRule="auto"/>
        <w:ind w:firstLine="420" w:firstLineChars="200"/>
        <w:jc w:val="left"/>
        <w:rPr>
          <w:rFonts w:ascii="宋体" w:hAnsi="宋体"/>
          <w:kern w:val="0"/>
          <w:szCs w:val="21"/>
        </w:rPr>
      </w:pPr>
      <w:r>
        <w:rPr>
          <w:rFonts w:hint="eastAsia" w:ascii="宋体" w:hAnsi="宋体"/>
          <w:kern w:val="0"/>
          <w:szCs w:val="21"/>
        </w:rPr>
        <w:t>1.6.3 图纸的修改和补充</w:t>
      </w:r>
    </w:p>
    <w:p w14:paraId="4C1D7C15">
      <w:pPr>
        <w:spacing w:line="360" w:lineRule="auto"/>
        <w:ind w:firstLine="420" w:firstLineChars="200"/>
        <w:jc w:val="left"/>
        <w:rPr>
          <w:rFonts w:ascii="宋体" w:hAnsi="宋体"/>
          <w:kern w:val="0"/>
          <w:szCs w:val="21"/>
        </w:rPr>
      </w:pPr>
      <w:r>
        <w:rPr>
          <w:rFonts w:hint="eastAsia" w:ascii="宋体" w:hAnsi="宋体"/>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07EAB531">
      <w:pPr>
        <w:spacing w:line="360" w:lineRule="auto"/>
        <w:ind w:firstLine="420" w:firstLineChars="200"/>
        <w:jc w:val="left"/>
        <w:rPr>
          <w:rFonts w:ascii="宋体" w:hAnsi="宋体"/>
          <w:kern w:val="0"/>
          <w:szCs w:val="21"/>
        </w:rPr>
      </w:pPr>
      <w:r>
        <w:rPr>
          <w:rFonts w:hint="eastAsia" w:ascii="宋体" w:hAnsi="宋体"/>
          <w:kern w:val="0"/>
          <w:szCs w:val="21"/>
        </w:rPr>
        <w:t>1.6.4 承包人文件</w:t>
      </w:r>
    </w:p>
    <w:p w14:paraId="0CD741D2">
      <w:pPr>
        <w:spacing w:line="360" w:lineRule="auto"/>
        <w:ind w:firstLine="420" w:firstLineChars="200"/>
        <w:jc w:val="left"/>
        <w:rPr>
          <w:rFonts w:ascii="宋体" w:hAnsi="宋体"/>
          <w:kern w:val="0"/>
          <w:szCs w:val="21"/>
        </w:rPr>
      </w:pPr>
      <w:r>
        <w:rPr>
          <w:rFonts w:hint="eastAsia" w:ascii="宋体" w:hAnsi="宋体"/>
          <w:kern w:val="0"/>
          <w:szCs w:val="21"/>
        </w:rPr>
        <w:t>承包人应按照专用合同条款的约定提供应当由其编制的与工程施工有关的文件，并按照专用合同条款约定的期限、数量和形式提交监理人，并由监理人报送发包人。</w:t>
      </w:r>
    </w:p>
    <w:p w14:paraId="3DF899AE">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A06DB9C">
      <w:pPr>
        <w:spacing w:line="360" w:lineRule="auto"/>
        <w:ind w:firstLine="420" w:firstLineChars="200"/>
        <w:jc w:val="left"/>
        <w:rPr>
          <w:rFonts w:ascii="宋体" w:hAnsi="宋体"/>
          <w:kern w:val="0"/>
          <w:szCs w:val="21"/>
        </w:rPr>
      </w:pPr>
      <w:r>
        <w:rPr>
          <w:rFonts w:hint="eastAsia" w:ascii="宋体" w:hAnsi="宋体"/>
          <w:kern w:val="0"/>
          <w:szCs w:val="21"/>
        </w:rPr>
        <w:t>1.6.5 图纸和承包人文件的保管</w:t>
      </w:r>
    </w:p>
    <w:p w14:paraId="26CC510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除专用合同条款另有约定外，承包人应在施工现场另外保存一套完整的图纸和承包人文件，供发包人、监理人及有关人员进行工程检查时使用。</w:t>
      </w:r>
    </w:p>
    <w:p w14:paraId="4F5E4BD5">
      <w:pPr>
        <w:pStyle w:val="7"/>
        <w:spacing w:before="0" w:beforeAutospacing="0" w:after="0" w:afterAutospacing="0" w:line="360" w:lineRule="auto"/>
        <w:ind w:firstLine="422" w:firstLineChars="200"/>
        <w:rPr>
          <w:sz w:val="21"/>
          <w:szCs w:val="21"/>
        </w:rPr>
      </w:pPr>
      <w:bookmarkStart w:id="505" w:name="_Toc532377188"/>
      <w:bookmarkStart w:id="506" w:name="_Toc351203502"/>
      <w:r>
        <w:rPr>
          <w:rFonts w:hint="eastAsia"/>
          <w:sz w:val="21"/>
          <w:szCs w:val="21"/>
        </w:rPr>
        <w:t>1</w:t>
      </w:r>
      <w:bookmarkStart w:id="507" w:name="_Toc296346534"/>
      <w:bookmarkStart w:id="508" w:name="_Toc296503033"/>
      <w:bookmarkStart w:id="509" w:name="_Toc337558733"/>
      <w:r>
        <w:rPr>
          <w:rFonts w:hint="eastAsia"/>
          <w:sz w:val="21"/>
          <w:szCs w:val="21"/>
        </w:rPr>
        <w:t>.7联络</w:t>
      </w:r>
      <w:bookmarkEnd w:id="505"/>
      <w:bookmarkEnd w:id="506"/>
    </w:p>
    <w:bookmarkEnd w:id="507"/>
    <w:bookmarkEnd w:id="508"/>
    <w:bookmarkEnd w:id="509"/>
    <w:p w14:paraId="0F90FE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1.7.1 与合同有关的通知、批准、证明、证书、指示、指令、要求、请求、同意、意见、确定和决定等，均应采用书面形式，并应在合同约定的期限内送达接收人和送达地点。</w:t>
      </w:r>
    </w:p>
    <w:p w14:paraId="1C112F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1.7.2 发包人和承包人应在专用合同条款中约定各自的送达接收人和送达地点。任何一方合同当事人指定的接收人或送达地点发生变动的，应提前3天以书面形式通知对方。</w:t>
      </w:r>
    </w:p>
    <w:p w14:paraId="3D1CD4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 发包人和承包人应当及时签收另一方送达至送达地点和指定接收人的来往信函。拒不签收的，由此增加的费用和（或）延误的工期由拒绝接收一方承担。</w:t>
      </w:r>
    </w:p>
    <w:p w14:paraId="35CEBB9B">
      <w:pPr>
        <w:pStyle w:val="7"/>
        <w:spacing w:before="0" w:beforeAutospacing="0" w:after="0" w:afterAutospacing="0" w:line="360" w:lineRule="auto"/>
        <w:ind w:firstLine="422" w:firstLineChars="200"/>
        <w:rPr>
          <w:sz w:val="21"/>
          <w:szCs w:val="21"/>
        </w:rPr>
      </w:pPr>
      <w:bookmarkStart w:id="510" w:name="_Toc351203503"/>
      <w:bookmarkStart w:id="511" w:name="_Toc532377189"/>
      <w:r>
        <w:rPr>
          <w:rFonts w:hint="eastAsia"/>
          <w:sz w:val="21"/>
          <w:szCs w:val="21"/>
        </w:rPr>
        <w:t>1</w:t>
      </w:r>
      <w:bookmarkStart w:id="512" w:name="_Toc337558734"/>
      <w:bookmarkStart w:id="513" w:name="_Toc296346536"/>
      <w:bookmarkStart w:id="514" w:name="_Toc296503035"/>
      <w:r>
        <w:rPr>
          <w:rFonts w:hint="eastAsia"/>
          <w:sz w:val="21"/>
          <w:szCs w:val="21"/>
        </w:rPr>
        <w:t>.8严禁贿赂</w:t>
      </w:r>
      <w:bookmarkEnd w:id="510"/>
      <w:bookmarkEnd w:id="511"/>
    </w:p>
    <w:bookmarkEnd w:id="512"/>
    <w:bookmarkEnd w:id="513"/>
    <w:bookmarkEnd w:id="514"/>
    <w:p w14:paraId="657E772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合同当事人不得以贿赂或变相贿赂的方式，谋取非法利益或损害对方权益。因一方合同当事人的贿赂造成对方损失的，应赔偿损失，并承担相应的法律责任。</w:t>
      </w:r>
    </w:p>
    <w:p w14:paraId="32E0D6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6228F3DA">
      <w:pPr>
        <w:pStyle w:val="7"/>
        <w:spacing w:before="0" w:beforeAutospacing="0" w:after="0" w:afterAutospacing="0" w:line="360" w:lineRule="auto"/>
        <w:ind w:firstLine="422" w:firstLineChars="200"/>
        <w:rPr>
          <w:sz w:val="21"/>
          <w:szCs w:val="21"/>
        </w:rPr>
      </w:pPr>
      <w:bookmarkStart w:id="515" w:name="_Toc351203504"/>
      <w:bookmarkStart w:id="516" w:name="_Toc532377190"/>
      <w:r>
        <w:rPr>
          <w:rFonts w:hint="eastAsia"/>
          <w:sz w:val="21"/>
          <w:szCs w:val="21"/>
        </w:rPr>
        <w:t>1</w:t>
      </w:r>
      <w:bookmarkStart w:id="517" w:name="_Toc296346537"/>
      <w:bookmarkStart w:id="518" w:name="_Toc337558735"/>
      <w:bookmarkStart w:id="519" w:name="_Toc296503036"/>
      <w:r>
        <w:rPr>
          <w:rFonts w:hint="eastAsia"/>
          <w:sz w:val="21"/>
          <w:szCs w:val="21"/>
        </w:rPr>
        <w:t>.9化石、文物</w:t>
      </w:r>
      <w:bookmarkEnd w:id="515"/>
      <w:bookmarkEnd w:id="516"/>
    </w:p>
    <w:bookmarkEnd w:id="517"/>
    <w:bookmarkEnd w:id="518"/>
    <w:bookmarkEnd w:id="519"/>
    <w:p w14:paraId="7906B2F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BEDAE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发包人、监理人和承包人应按有关政府行政管理部门要求采取妥善的保护措施，由此增加的费用和（或）延误的工期由发包人承担。</w:t>
      </w:r>
    </w:p>
    <w:p w14:paraId="1424F49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承包人发现文物后不及时报告或隐瞒不报，致使文物丢失或损坏的，应赔偿损失，并承担相应的法律责任。</w:t>
      </w:r>
    </w:p>
    <w:p w14:paraId="482F242C">
      <w:pPr>
        <w:pStyle w:val="7"/>
        <w:spacing w:before="0" w:beforeAutospacing="0" w:after="0" w:afterAutospacing="0" w:line="360" w:lineRule="auto"/>
        <w:ind w:firstLine="422" w:firstLineChars="200"/>
        <w:rPr>
          <w:sz w:val="21"/>
          <w:szCs w:val="21"/>
        </w:rPr>
      </w:pPr>
      <w:bookmarkStart w:id="520" w:name="_Toc532377191"/>
      <w:bookmarkStart w:id="521" w:name="_Toc351203505"/>
      <w:r>
        <w:rPr>
          <w:rFonts w:hint="eastAsia"/>
          <w:sz w:val="21"/>
          <w:szCs w:val="21"/>
        </w:rPr>
        <w:t>1</w:t>
      </w:r>
      <w:bookmarkStart w:id="522" w:name="_Toc337558736"/>
      <w:r>
        <w:rPr>
          <w:rFonts w:hint="eastAsia"/>
          <w:sz w:val="21"/>
          <w:szCs w:val="21"/>
        </w:rPr>
        <w:t>.10交通运输</w:t>
      </w:r>
      <w:bookmarkEnd w:id="520"/>
      <w:bookmarkEnd w:id="521"/>
    </w:p>
    <w:bookmarkEnd w:id="522"/>
    <w:p w14:paraId="4008C535">
      <w:pPr>
        <w:spacing w:line="360" w:lineRule="auto"/>
        <w:ind w:firstLine="420" w:firstLineChars="200"/>
        <w:jc w:val="left"/>
        <w:rPr>
          <w:rFonts w:ascii="宋体" w:hAnsi="宋体"/>
          <w:kern w:val="0"/>
          <w:szCs w:val="21"/>
        </w:rPr>
      </w:pPr>
      <w:r>
        <w:rPr>
          <w:rFonts w:hint="eastAsia" w:ascii="宋体" w:hAnsi="宋体"/>
          <w:kern w:val="0"/>
          <w:szCs w:val="21"/>
        </w:rPr>
        <w:t>1.10.1 出入现场的权利</w:t>
      </w:r>
    </w:p>
    <w:p w14:paraId="49E4CCB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9B2D4F6">
      <w:pPr>
        <w:spacing w:line="360" w:lineRule="auto"/>
        <w:ind w:firstLine="420" w:firstLineChars="200"/>
        <w:jc w:val="left"/>
        <w:rPr>
          <w:rFonts w:ascii="宋体" w:hAnsi="宋体"/>
          <w:kern w:val="0"/>
          <w:szCs w:val="21"/>
        </w:rPr>
      </w:pPr>
      <w:r>
        <w:rPr>
          <w:rFonts w:hint="eastAsia" w:ascii="宋体" w:hAnsi="宋体"/>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55DBBA8A">
      <w:pPr>
        <w:spacing w:line="360" w:lineRule="auto"/>
        <w:ind w:firstLine="420" w:firstLineChars="200"/>
        <w:jc w:val="left"/>
        <w:rPr>
          <w:rFonts w:ascii="宋体" w:hAnsi="宋体"/>
          <w:kern w:val="0"/>
          <w:szCs w:val="21"/>
        </w:rPr>
      </w:pPr>
      <w:r>
        <w:rPr>
          <w:rFonts w:hint="eastAsia" w:ascii="宋体" w:hAnsi="宋体"/>
          <w:kern w:val="0"/>
          <w:szCs w:val="21"/>
        </w:rPr>
        <w:t>1.10.2 场外交通</w:t>
      </w:r>
    </w:p>
    <w:p w14:paraId="4B0CF65E">
      <w:pPr>
        <w:spacing w:line="360" w:lineRule="auto"/>
        <w:ind w:firstLine="420" w:firstLineChars="200"/>
        <w:jc w:val="left"/>
        <w:rPr>
          <w:rFonts w:ascii="宋体" w:hAnsi="宋体"/>
          <w:kern w:val="0"/>
          <w:szCs w:val="21"/>
        </w:rPr>
      </w:pPr>
      <w:r>
        <w:rPr>
          <w:rFonts w:hint="eastAsia" w:ascii="宋体" w:hAnsi="宋体"/>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CA74DEC">
      <w:pPr>
        <w:spacing w:line="360" w:lineRule="auto"/>
        <w:ind w:firstLine="420" w:firstLineChars="200"/>
        <w:jc w:val="left"/>
        <w:rPr>
          <w:rFonts w:ascii="宋体" w:hAnsi="宋体"/>
          <w:kern w:val="0"/>
          <w:szCs w:val="21"/>
        </w:rPr>
      </w:pPr>
      <w:r>
        <w:rPr>
          <w:rFonts w:hint="eastAsia" w:ascii="宋体" w:hAnsi="宋体"/>
          <w:kern w:val="0"/>
          <w:szCs w:val="21"/>
        </w:rPr>
        <w:t>1.10.3场内交通</w:t>
      </w:r>
    </w:p>
    <w:p w14:paraId="447AABE6">
      <w:pPr>
        <w:spacing w:line="360" w:lineRule="auto"/>
        <w:ind w:firstLine="420" w:firstLineChars="200"/>
        <w:jc w:val="left"/>
        <w:rPr>
          <w:rFonts w:ascii="宋体" w:hAnsi="宋体"/>
          <w:kern w:val="0"/>
          <w:szCs w:val="21"/>
        </w:rPr>
      </w:pPr>
      <w:r>
        <w:rPr>
          <w:rFonts w:hint="eastAsia" w:ascii="宋体" w:hAnsi="宋体"/>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38AD7C0">
      <w:pPr>
        <w:spacing w:line="360" w:lineRule="auto"/>
        <w:ind w:firstLine="420" w:firstLineChars="200"/>
        <w:jc w:val="left"/>
        <w:rPr>
          <w:rFonts w:ascii="宋体" w:hAnsi="宋体"/>
          <w:kern w:val="0"/>
          <w:szCs w:val="21"/>
        </w:rPr>
      </w:pPr>
      <w:r>
        <w:rPr>
          <w:rFonts w:hint="eastAsia" w:ascii="宋体" w:hAnsi="宋体"/>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2DAB9E0">
      <w:pPr>
        <w:spacing w:line="360" w:lineRule="auto"/>
        <w:ind w:firstLine="420" w:firstLineChars="200"/>
        <w:jc w:val="left"/>
        <w:rPr>
          <w:rFonts w:ascii="宋体" w:hAnsi="宋体"/>
          <w:kern w:val="0"/>
          <w:szCs w:val="21"/>
        </w:rPr>
      </w:pPr>
      <w:r>
        <w:rPr>
          <w:rFonts w:hint="eastAsia" w:ascii="宋体" w:hAnsi="宋体"/>
          <w:kern w:val="0"/>
          <w:szCs w:val="21"/>
        </w:rPr>
        <w:t>场外交通和场内交通的边界由合同当事人在专用合同条款中约定。</w:t>
      </w:r>
    </w:p>
    <w:p w14:paraId="72B73592">
      <w:pPr>
        <w:spacing w:line="360" w:lineRule="auto"/>
        <w:ind w:firstLine="420" w:firstLineChars="200"/>
        <w:jc w:val="left"/>
        <w:rPr>
          <w:rFonts w:ascii="宋体" w:hAnsi="宋体"/>
          <w:kern w:val="0"/>
          <w:szCs w:val="21"/>
        </w:rPr>
      </w:pPr>
      <w:r>
        <w:rPr>
          <w:rFonts w:hint="eastAsia" w:ascii="宋体" w:hAnsi="宋体"/>
          <w:kern w:val="0"/>
          <w:szCs w:val="21"/>
        </w:rPr>
        <w:t>1.10.4 超大件和超重件的运输</w:t>
      </w:r>
    </w:p>
    <w:p w14:paraId="0B446C05">
      <w:pPr>
        <w:spacing w:line="360" w:lineRule="auto"/>
        <w:ind w:firstLine="420" w:firstLineChars="200"/>
        <w:jc w:val="left"/>
        <w:rPr>
          <w:rFonts w:ascii="宋体" w:hAnsi="宋体"/>
          <w:kern w:val="0"/>
          <w:szCs w:val="21"/>
        </w:rPr>
      </w:pPr>
      <w:r>
        <w:rPr>
          <w:rFonts w:hint="eastAsia" w:ascii="宋体" w:hAnsi="宋体"/>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C967D9A">
      <w:pPr>
        <w:spacing w:line="360" w:lineRule="auto"/>
        <w:ind w:firstLine="420" w:firstLineChars="200"/>
        <w:jc w:val="left"/>
        <w:rPr>
          <w:rFonts w:ascii="宋体" w:hAnsi="宋体"/>
          <w:kern w:val="0"/>
          <w:szCs w:val="21"/>
        </w:rPr>
      </w:pPr>
      <w:r>
        <w:rPr>
          <w:rFonts w:hint="eastAsia" w:ascii="宋体" w:hAnsi="宋体"/>
          <w:kern w:val="0"/>
          <w:szCs w:val="21"/>
        </w:rPr>
        <w:t>1.10.5 道路和桥梁的损坏责任</w:t>
      </w:r>
    </w:p>
    <w:p w14:paraId="15B243B3">
      <w:pPr>
        <w:spacing w:line="360" w:lineRule="auto"/>
        <w:ind w:firstLine="420" w:firstLineChars="200"/>
        <w:jc w:val="left"/>
        <w:rPr>
          <w:rFonts w:ascii="宋体" w:hAnsi="宋体"/>
          <w:kern w:val="0"/>
          <w:szCs w:val="21"/>
        </w:rPr>
      </w:pPr>
      <w:r>
        <w:rPr>
          <w:rFonts w:hint="eastAsia" w:ascii="宋体" w:hAnsi="宋体"/>
          <w:kern w:val="0"/>
          <w:szCs w:val="21"/>
        </w:rPr>
        <w:t>因承包人运输造成施工场地内外公共道路和桥梁损坏的，由承包人承担修复损坏的全部费用和可能引起的赔偿。</w:t>
      </w:r>
    </w:p>
    <w:p w14:paraId="507EF37D">
      <w:pPr>
        <w:spacing w:line="360" w:lineRule="auto"/>
        <w:ind w:firstLine="420" w:firstLineChars="200"/>
        <w:jc w:val="left"/>
        <w:rPr>
          <w:rFonts w:ascii="宋体" w:hAnsi="宋体"/>
          <w:kern w:val="0"/>
          <w:szCs w:val="21"/>
        </w:rPr>
      </w:pPr>
      <w:r>
        <w:rPr>
          <w:rFonts w:hint="eastAsia" w:ascii="宋体" w:hAnsi="宋体"/>
          <w:kern w:val="0"/>
          <w:szCs w:val="21"/>
        </w:rPr>
        <w:t>1.10.6 水路和航空运输</w:t>
      </w:r>
    </w:p>
    <w:p w14:paraId="48E9D9F9">
      <w:pPr>
        <w:spacing w:line="360" w:lineRule="auto"/>
        <w:ind w:firstLine="420" w:firstLineChars="200"/>
        <w:jc w:val="left"/>
        <w:rPr>
          <w:rFonts w:ascii="宋体" w:hAnsi="宋体"/>
          <w:kern w:val="0"/>
          <w:szCs w:val="21"/>
        </w:rPr>
      </w:pPr>
      <w:r>
        <w:rPr>
          <w:rFonts w:hint="eastAsia" w:ascii="宋体" w:hAnsi="宋体"/>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0139BDDA">
      <w:pPr>
        <w:pStyle w:val="7"/>
        <w:spacing w:before="0" w:beforeAutospacing="0" w:after="0" w:afterAutospacing="0" w:line="360" w:lineRule="auto"/>
        <w:ind w:firstLine="422" w:firstLineChars="200"/>
        <w:rPr>
          <w:sz w:val="21"/>
          <w:szCs w:val="21"/>
        </w:rPr>
      </w:pPr>
      <w:bookmarkStart w:id="523" w:name="_Toc351203506"/>
      <w:bookmarkStart w:id="524" w:name="_Toc532377192"/>
      <w:r>
        <w:rPr>
          <w:rFonts w:hint="eastAsia"/>
          <w:sz w:val="21"/>
          <w:szCs w:val="21"/>
        </w:rPr>
        <w:t>1</w:t>
      </w:r>
      <w:bookmarkStart w:id="525" w:name="_Toc337558737"/>
      <w:bookmarkStart w:id="526" w:name="_Toc296346538"/>
      <w:bookmarkStart w:id="527" w:name="_Toc296503037"/>
      <w:r>
        <w:rPr>
          <w:rFonts w:hint="eastAsia"/>
          <w:sz w:val="21"/>
          <w:szCs w:val="21"/>
        </w:rPr>
        <w:t>.11知识产权</w:t>
      </w:r>
      <w:bookmarkEnd w:id="523"/>
      <w:bookmarkEnd w:id="524"/>
      <w:bookmarkEnd w:id="525"/>
    </w:p>
    <w:bookmarkEnd w:id="526"/>
    <w:bookmarkEnd w:id="527"/>
    <w:p w14:paraId="2A789A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54456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76D0E08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882A18B">
      <w:pPr>
        <w:spacing w:line="360" w:lineRule="auto"/>
        <w:ind w:firstLine="420" w:firstLineChars="200"/>
        <w:jc w:val="left"/>
        <w:rPr>
          <w:rFonts w:ascii="宋体" w:hAnsi="宋体"/>
          <w:kern w:val="0"/>
          <w:szCs w:val="21"/>
        </w:rPr>
      </w:pPr>
      <w:r>
        <w:rPr>
          <w:rFonts w:hint="eastAsia" w:ascii="宋体" w:hAnsi="宋体"/>
          <w:kern w:val="0"/>
          <w:szCs w:val="21"/>
        </w:rPr>
        <w:t>1.11.4 除专用合同条款另有约定外，承包人在合同签订前和签订时已确定采用的专利、专有技术、技术秘密的使用费已包含在签约合同价中。</w:t>
      </w:r>
    </w:p>
    <w:p w14:paraId="61E36642">
      <w:pPr>
        <w:pStyle w:val="7"/>
        <w:spacing w:before="0" w:beforeAutospacing="0" w:after="0" w:afterAutospacing="0" w:line="360" w:lineRule="auto"/>
        <w:ind w:firstLine="422" w:firstLineChars="200"/>
        <w:rPr>
          <w:sz w:val="21"/>
          <w:szCs w:val="21"/>
        </w:rPr>
      </w:pPr>
      <w:bookmarkStart w:id="528" w:name="_Toc532377193"/>
      <w:bookmarkStart w:id="529" w:name="_Toc351203507"/>
      <w:r>
        <w:rPr>
          <w:rFonts w:hint="eastAsia"/>
          <w:sz w:val="21"/>
          <w:szCs w:val="21"/>
        </w:rPr>
        <w:t>1</w:t>
      </w:r>
      <w:bookmarkStart w:id="530" w:name="_Toc337558738"/>
      <w:r>
        <w:rPr>
          <w:rFonts w:hint="eastAsia"/>
          <w:sz w:val="21"/>
          <w:szCs w:val="21"/>
        </w:rPr>
        <w:t>.12保密</w:t>
      </w:r>
      <w:bookmarkEnd w:id="528"/>
      <w:bookmarkEnd w:id="529"/>
    </w:p>
    <w:bookmarkEnd w:id="530"/>
    <w:p w14:paraId="0CA29E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除法律规定或合同另有约定外，未经发包人同意，承包人不得将发包人提供的图纸、文件以及声明需要保密的资料信息等商业秘密泄露给第三方。</w:t>
      </w:r>
    </w:p>
    <w:p w14:paraId="412520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除法律规定或合同另有约定外，未经承包人同意，发包人不得将承包人提供的技术秘密及声明需要保密的资料信息等商业秘密泄露给第三方。</w:t>
      </w:r>
    </w:p>
    <w:p w14:paraId="21DBC981">
      <w:pPr>
        <w:pStyle w:val="7"/>
        <w:spacing w:before="0" w:beforeAutospacing="0" w:after="0" w:afterAutospacing="0" w:line="360" w:lineRule="auto"/>
        <w:ind w:firstLine="422" w:firstLineChars="200"/>
        <w:rPr>
          <w:sz w:val="21"/>
          <w:szCs w:val="21"/>
        </w:rPr>
      </w:pPr>
      <w:bookmarkStart w:id="531" w:name="_Toc532377194"/>
      <w:bookmarkStart w:id="532" w:name="_Toc351203508"/>
      <w:r>
        <w:rPr>
          <w:rFonts w:hint="eastAsia"/>
          <w:sz w:val="21"/>
          <w:szCs w:val="21"/>
        </w:rPr>
        <w:t>1.13工程量清单错误的修正</w:t>
      </w:r>
      <w:bookmarkEnd w:id="531"/>
      <w:bookmarkEnd w:id="532"/>
    </w:p>
    <w:p w14:paraId="514AE7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除专用合同条款另有约定外，发包人提供的工程量清单，应被认为是准确的和完整的。出现下列情形之一时，发包人应予以修正，并相应调整合同价格：</w:t>
      </w:r>
    </w:p>
    <w:p w14:paraId="6DA635B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（1）工程量清单存在缺项、漏项的；</w:t>
      </w:r>
    </w:p>
    <w:p w14:paraId="7C00BF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（2）工程量清单偏差超出专用合同条款约定的工程量偏差范围的；</w:t>
      </w:r>
    </w:p>
    <w:p w14:paraId="6E2E885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（3）未按照国家现行计量规范强制性规定计量的。</w:t>
      </w:r>
    </w:p>
    <w:p w14:paraId="63CBCEDB">
      <w:pPr>
        <w:pStyle w:val="6"/>
        <w:keepNext/>
        <w:keepLines/>
        <w:spacing w:before="156" w:beforeLines="50" w:beforeAutospacing="0" w:after="156" w:afterLines="50" w:afterAutospacing="0" w:line="360" w:lineRule="auto"/>
        <w:jc w:val="both"/>
        <w:rPr>
          <w:kern w:val="2"/>
          <w:sz w:val="21"/>
          <w:szCs w:val="21"/>
        </w:rPr>
      </w:pPr>
      <w:bookmarkStart w:id="533" w:name="_Toc351203509"/>
      <w:bookmarkStart w:id="534" w:name="_Toc532375588"/>
      <w:bookmarkStart w:id="535" w:name="_Toc532377195"/>
      <w:r>
        <w:rPr>
          <w:rFonts w:hint="eastAsia"/>
          <w:kern w:val="2"/>
          <w:sz w:val="21"/>
          <w:szCs w:val="21"/>
        </w:rPr>
        <w:t>2</w:t>
      </w:r>
      <w:bookmarkStart w:id="536" w:name="_Toc296346539"/>
      <w:bookmarkStart w:id="537" w:name="_Toc296503038"/>
      <w:bookmarkStart w:id="538" w:name="_Toc337558739"/>
      <w:bookmarkStart w:id="539" w:name="OLE_LINK2"/>
      <w:r>
        <w:rPr>
          <w:rFonts w:hint="eastAsia"/>
          <w:kern w:val="2"/>
          <w:sz w:val="21"/>
          <w:szCs w:val="21"/>
        </w:rPr>
        <w:t>. 发包人</w:t>
      </w:r>
      <w:bookmarkEnd w:id="533"/>
      <w:bookmarkEnd w:id="534"/>
      <w:bookmarkEnd w:id="535"/>
    </w:p>
    <w:bookmarkEnd w:id="536"/>
    <w:bookmarkEnd w:id="537"/>
    <w:bookmarkEnd w:id="538"/>
    <w:p w14:paraId="4CE9143E">
      <w:pPr>
        <w:pStyle w:val="7"/>
        <w:spacing w:before="0" w:beforeAutospacing="0" w:after="0" w:afterAutospacing="0" w:line="360" w:lineRule="auto"/>
        <w:ind w:firstLine="422" w:firstLineChars="200"/>
        <w:rPr>
          <w:sz w:val="21"/>
          <w:szCs w:val="21"/>
        </w:rPr>
      </w:pPr>
      <w:bookmarkStart w:id="540" w:name="_Toc532377196"/>
      <w:bookmarkStart w:id="541" w:name="_Toc351203510"/>
      <w:r>
        <w:rPr>
          <w:rFonts w:hint="eastAsia"/>
          <w:sz w:val="21"/>
          <w:szCs w:val="21"/>
        </w:rPr>
        <w:t>2</w:t>
      </w:r>
      <w:bookmarkStart w:id="542" w:name="_Toc296503039"/>
      <w:bookmarkStart w:id="543" w:name="_Toc296346540"/>
      <w:bookmarkStart w:id="544" w:name="_Toc337558740"/>
      <w:r>
        <w:rPr>
          <w:rFonts w:hint="eastAsia"/>
          <w:sz w:val="21"/>
          <w:szCs w:val="21"/>
        </w:rPr>
        <w:t>.1 许可或批准</w:t>
      </w:r>
      <w:bookmarkEnd w:id="540"/>
      <w:bookmarkEnd w:id="541"/>
    </w:p>
    <w:p w14:paraId="717B8833">
      <w:pPr>
        <w:autoSpaceDE w:val="0"/>
        <w:autoSpaceDN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发包人应遵守法律，并办理法律规定由其办理的许可、批准或备案。施工所需临时用水、临时用电、中断道路交通、临时占道的许可或批准由承包人负责办理，发包人协助。</w:t>
      </w:r>
    </w:p>
    <w:p w14:paraId="50219590">
      <w:pPr>
        <w:pStyle w:val="7"/>
        <w:spacing w:before="0" w:beforeAutospacing="0" w:after="0" w:afterAutospacing="0" w:line="360" w:lineRule="auto"/>
        <w:ind w:firstLine="422" w:firstLineChars="200"/>
        <w:rPr>
          <w:sz w:val="21"/>
          <w:szCs w:val="21"/>
        </w:rPr>
      </w:pPr>
      <w:bookmarkStart w:id="545" w:name="_Toc532377197"/>
      <w:bookmarkStart w:id="546" w:name="_Toc351203511"/>
      <w:r>
        <w:rPr>
          <w:rFonts w:hint="eastAsia"/>
          <w:sz w:val="21"/>
          <w:szCs w:val="21"/>
        </w:rPr>
        <w:t>2.2 发包人代表</w:t>
      </w:r>
      <w:bookmarkEnd w:id="545"/>
      <w:bookmarkEnd w:id="546"/>
    </w:p>
    <w:p w14:paraId="0ADF9B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E44A9AC">
      <w:pPr>
        <w:spacing w:line="360" w:lineRule="auto"/>
        <w:ind w:firstLine="420" w:firstLineChars="200"/>
        <w:jc w:val="left"/>
        <w:rPr>
          <w:rFonts w:ascii="宋体" w:hAnsi="宋体"/>
          <w:kern w:val="0"/>
          <w:szCs w:val="21"/>
        </w:rPr>
      </w:pPr>
      <w:r>
        <w:rPr>
          <w:rFonts w:hint="eastAsia" w:ascii="宋体" w:hAnsi="宋体"/>
          <w:kern w:val="0"/>
          <w:szCs w:val="21"/>
        </w:rPr>
        <w:t>发包人代表不能按照合同约定履行其职责及义务，并导致合同无法继续正常履行的，承包人可以要求发包人撤换发包人代表。</w:t>
      </w:r>
    </w:p>
    <w:p w14:paraId="3DB2D0ED">
      <w:pPr>
        <w:spacing w:line="360" w:lineRule="auto"/>
        <w:ind w:firstLine="420" w:firstLineChars="200"/>
        <w:jc w:val="left"/>
        <w:rPr>
          <w:rFonts w:ascii="宋体" w:hAnsi="宋体"/>
          <w:kern w:val="0"/>
          <w:szCs w:val="21"/>
        </w:rPr>
      </w:pPr>
      <w:r>
        <w:rPr>
          <w:rFonts w:hint="eastAsia" w:ascii="宋体" w:hAnsi="宋体"/>
          <w:kern w:val="0"/>
          <w:szCs w:val="21"/>
        </w:rPr>
        <w:t>不属于法定必须监理的工程，监理人的职权可以由发包人代表或发包人指定的其他人员行使。</w:t>
      </w:r>
    </w:p>
    <w:p w14:paraId="68B44A89">
      <w:pPr>
        <w:pStyle w:val="7"/>
        <w:spacing w:before="0" w:beforeAutospacing="0" w:after="0" w:afterAutospacing="0" w:line="360" w:lineRule="auto"/>
        <w:ind w:firstLine="422" w:firstLineChars="200"/>
        <w:rPr>
          <w:sz w:val="21"/>
          <w:szCs w:val="21"/>
        </w:rPr>
      </w:pPr>
      <w:bookmarkStart w:id="547" w:name="_Toc351203512"/>
      <w:bookmarkStart w:id="548" w:name="_Toc532377198"/>
      <w:r>
        <w:rPr>
          <w:rFonts w:hint="eastAsia"/>
          <w:sz w:val="21"/>
          <w:szCs w:val="21"/>
        </w:rPr>
        <w:t>2.3 发包人人员</w:t>
      </w:r>
      <w:bookmarkEnd w:id="547"/>
      <w:bookmarkEnd w:id="548"/>
    </w:p>
    <w:p w14:paraId="488F19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发包人应要求在施工现场的发包人人员遵守法律及有关安全、质量、环境保护、文明施工等规定，并保障承包人免于承受因发包人人员未遵守上述要求给承包人造成的损失和责任。</w:t>
      </w:r>
    </w:p>
    <w:p w14:paraId="0B1B4A44">
      <w:pPr>
        <w:spacing w:line="360" w:lineRule="auto"/>
        <w:ind w:firstLine="420" w:firstLineChars="200"/>
        <w:jc w:val="left"/>
        <w:rPr>
          <w:rFonts w:ascii="宋体" w:hAnsi="宋体"/>
          <w:kern w:val="0"/>
          <w:szCs w:val="21"/>
        </w:rPr>
      </w:pPr>
      <w:r>
        <w:rPr>
          <w:rFonts w:hint="eastAsia" w:ascii="宋体" w:hAnsi="宋体"/>
          <w:kern w:val="0"/>
          <w:szCs w:val="21"/>
        </w:rPr>
        <w:t>发包人人员包括发包人代表及其他由发包人派驻施工现场的人员。</w:t>
      </w:r>
      <w:bookmarkEnd w:id="542"/>
      <w:bookmarkEnd w:id="543"/>
      <w:bookmarkEnd w:id="544"/>
    </w:p>
    <w:p w14:paraId="6DCC9AC4">
      <w:pPr>
        <w:pStyle w:val="7"/>
        <w:spacing w:before="0" w:beforeAutospacing="0" w:after="0" w:afterAutospacing="0" w:line="360" w:lineRule="auto"/>
        <w:ind w:firstLine="422" w:firstLineChars="200"/>
        <w:rPr>
          <w:sz w:val="21"/>
          <w:szCs w:val="21"/>
        </w:rPr>
      </w:pPr>
      <w:bookmarkStart w:id="549" w:name="_Toc351203513"/>
      <w:bookmarkStart w:id="550" w:name="_Toc532377199"/>
      <w:r>
        <w:rPr>
          <w:rFonts w:hint="eastAsia"/>
          <w:sz w:val="21"/>
          <w:szCs w:val="21"/>
        </w:rPr>
        <w:t>2</w:t>
      </w:r>
      <w:bookmarkStart w:id="551" w:name="_Toc337558741"/>
      <w:bookmarkStart w:id="552" w:name="_Toc296346541"/>
      <w:bookmarkStart w:id="553" w:name="_Toc296503040"/>
      <w:r>
        <w:rPr>
          <w:rFonts w:hint="eastAsia"/>
          <w:sz w:val="21"/>
          <w:szCs w:val="21"/>
        </w:rPr>
        <w:t>.4 施工现场、施工条件和基础资料的提供</w:t>
      </w:r>
      <w:bookmarkEnd w:id="549"/>
      <w:bookmarkEnd w:id="550"/>
      <w:bookmarkEnd w:id="551"/>
      <w:bookmarkEnd w:id="552"/>
      <w:bookmarkEnd w:id="553"/>
    </w:p>
    <w:p w14:paraId="17061B7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2.4.1 提供施工现场</w:t>
      </w:r>
    </w:p>
    <w:p w14:paraId="0EB247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w:t>
      </w:r>
      <w:bookmarkEnd w:id="539"/>
      <w:r>
        <w:rPr>
          <w:rFonts w:hint="eastAsia" w:ascii="宋体" w:hAnsi="宋体"/>
          <w:kern w:val="0"/>
          <w:szCs w:val="21"/>
        </w:rPr>
        <w:t>专用合同条款另有约定外，发包人应最迟于开工日期7天前向承包人移交施工现场。</w:t>
      </w:r>
    </w:p>
    <w:p w14:paraId="494231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2.4.2 提供施工条件</w:t>
      </w:r>
    </w:p>
    <w:p w14:paraId="7716DB1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除专用合同条款另有约定外，发包人应负责提供施工所需要的条件，包括：</w:t>
      </w:r>
    </w:p>
    <w:p w14:paraId="6FB0F3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（1）将施工用水、电力、通讯线路等施工所必需的条件接至施工现场内；</w:t>
      </w:r>
    </w:p>
    <w:p w14:paraId="393C3C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（2）保证向承包人提供正常施工所需要的进入施工现场的交通条件；</w:t>
      </w:r>
    </w:p>
    <w:p w14:paraId="3A62CCF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（3）协调处理施工现场周围地下管线和邻近建筑物、构筑物、古树名木的保护工作，并承担相关费用；</w:t>
      </w:r>
    </w:p>
    <w:p w14:paraId="439C7E1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（4）按照专用合同条款约定应提供的其他设施和条件。</w:t>
      </w:r>
    </w:p>
    <w:p w14:paraId="324AAB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2.4.3 提供基础资料</w:t>
      </w:r>
    </w:p>
    <w:p w14:paraId="4E914B5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396F88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按照法律规定确需在开工后方能提供的基础资料，发包人应尽其努力及时地在相应工程施工前的合理期限内提供，合理期限应以不影响承包人的正常施工为限。</w:t>
      </w:r>
    </w:p>
    <w:p w14:paraId="73DA55AB">
      <w:pPr>
        <w:spacing w:line="360" w:lineRule="auto"/>
        <w:ind w:firstLine="420" w:firstLineChars="200"/>
        <w:jc w:val="left"/>
        <w:rPr>
          <w:rFonts w:ascii="宋体" w:hAnsi="宋体"/>
          <w:kern w:val="0"/>
          <w:szCs w:val="21"/>
        </w:rPr>
      </w:pPr>
      <w:r>
        <w:rPr>
          <w:rFonts w:hint="eastAsia" w:ascii="宋体" w:hAnsi="宋体"/>
          <w:kern w:val="0"/>
          <w:szCs w:val="21"/>
        </w:rPr>
        <w:t>2.4.4 逾期提供的责任</w:t>
      </w:r>
    </w:p>
    <w:p w14:paraId="1D14D545">
      <w:pPr>
        <w:spacing w:line="360" w:lineRule="auto"/>
        <w:ind w:firstLine="420" w:firstLineChars="200"/>
        <w:jc w:val="left"/>
        <w:rPr>
          <w:rFonts w:ascii="宋体" w:hAnsi="宋体"/>
          <w:kern w:val="0"/>
          <w:szCs w:val="21"/>
        </w:rPr>
      </w:pPr>
      <w:r>
        <w:rPr>
          <w:rFonts w:hint="eastAsia" w:ascii="宋体" w:hAnsi="宋体"/>
          <w:kern w:val="0"/>
          <w:szCs w:val="21"/>
        </w:rPr>
        <w:t>因发包人原因未能按合同约定及时向承包人提供施工现场、施工条件、基础资料的，由发包人承担由此增加的费用和（或）延误的工期。</w:t>
      </w:r>
    </w:p>
    <w:p w14:paraId="5D30E9C8">
      <w:pPr>
        <w:pStyle w:val="7"/>
        <w:spacing w:before="0" w:beforeAutospacing="0" w:after="0" w:afterAutospacing="0" w:line="360" w:lineRule="auto"/>
        <w:ind w:firstLine="422" w:firstLineChars="200"/>
        <w:rPr>
          <w:sz w:val="21"/>
          <w:szCs w:val="21"/>
        </w:rPr>
      </w:pPr>
      <w:bookmarkStart w:id="554" w:name="_Toc351203514"/>
      <w:bookmarkStart w:id="555" w:name="_Toc532377200"/>
      <w:r>
        <w:rPr>
          <w:rFonts w:hint="eastAsia"/>
          <w:sz w:val="21"/>
          <w:szCs w:val="21"/>
        </w:rPr>
        <w:t>2</w:t>
      </w:r>
      <w:bookmarkStart w:id="556" w:name="_Toc337558745"/>
      <w:bookmarkStart w:id="557" w:name="_Toc296503042"/>
      <w:bookmarkStart w:id="558" w:name="_Toc296346543"/>
      <w:r>
        <w:rPr>
          <w:rFonts w:hint="eastAsia"/>
          <w:sz w:val="21"/>
          <w:szCs w:val="21"/>
        </w:rPr>
        <w:t>.5 资</w:t>
      </w:r>
      <w:bookmarkEnd w:id="556"/>
      <w:bookmarkEnd w:id="557"/>
      <w:bookmarkEnd w:id="558"/>
      <w:r>
        <w:rPr>
          <w:rFonts w:hint="eastAsia"/>
          <w:sz w:val="21"/>
          <w:szCs w:val="21"/>
        </w:rPr>
        <w:t>金来源证明及支付担保</w:t>
      </w:r>
      <w:bookmarkEnd w:id="554"/>
      <w:bookmarkEnd w:id="555"/>
    </w:p>
    <w:p w14:paraId="1DE15DA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除专用合同条款另有约定外，发包人应在收到承包人要求提供资金来源证明的书面通知后28天内，向承包人提供能够按照合同约定支付合同价款的相应资金来源证明。</w:t>
      </w:r>
    </w:p>
    <w:p w14:paraId="743F1C4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4ADA435A">
      <w:pPr>
        <w:pStyle w:val="7"/>
        <w:spacing w:before="0" w:beforeAutospacing="0" w:after="0" w:afterAutospacing="0" w:line="360" w:lineRule="auto"/>
        <w:ind w:firstLine="422" w:firstLineChars="200"/>
        <w:rPr>
          <w:sz w:val="21"/>
          <w:szCs w:val="21"/>
        </w:rPr>
      </w:pPr>
      <w:bookmarkStart w:id="559" w:name="_Toc351203515"/>
      <w:bookmarkStart w:id="560" w:name="_Toc532377201"/>
      <w:r>
        <w:rPr>
          <w:rFonts w:hint="eastAsia"/>
          <w:sz w:val="21"/>
          <w:szCs w:val="21"/>
        </w:rPr>
        <w:t>2.6 支付合同价款</w:t>
      </w:r>
      <w:bookmarkEnd w:id="559"/>
      <w:bookmarkEnd w:id="560"/>
    </w:p>
    <w:p w14:paraId="68A311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发包人应按合同约定向承包人及时支付合同价款。</w:t>
      </w:r>
    </w:p>
    <w:p w14:paraId="2C878C7E">
      <w:pPr>
        <w:pStyle w:val="7"/>
        <w:spacing w:before="0" w:beforeAutospacing="0" w:after="0" w:afterAutospacing="0" w:line="360" w:lineRule="auto"/>
        <w:ind w:firstLine="422" w:firstLineChars="200"/>
        <w:rPr>
          <w:sz w:val="21"/>
          <w:szCs w:val="21"/>
        </w:rPr>
      </w:pPr>
      <w:bookmarkStart w:id="561" w:name="_Toc532377202"/>
      <w:bookmarkStart w:id="562" w:name="_Toc351203516"/>
      <w:r>
        <w:rPr>
          <w:rFonts w:hint="eastAsia"/>
          <w:sz w:val="21"/>
          <w:szCs w:val="21"/>
        </w:rPr>
        <w:t>2.7 组织竣工验收</w:t>
      </w:r>
      <w:bookmarkEnd w:id="561"/>
      <w:bookmarkEnd w:id="562"/>
    </w:p>
    <w:p w14:paraId="65FB36F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发包人应按合同约定及时组织竣工验收。</w:t>
      </w:r>
    </w:p>
    <w:p w14:paraId="1F8EB1B5">
      <w:pPr>
        <w:pStyle w:val="7"/>
        <w:spacing w:before="0" w:beforeAutospacing="0" w:after="0" w:afterAutospacing="0" w:line="360" w:lineRule="auto"/>
        <w:ind w:firstLine="422" w:firstLineChars="200"/>
        <w:rPr>
          <w:sz w:val="21"/>
          <w:szCs w:val="21"/>
        </w:rPr>
      </w:pPr>
      <w:bookmarkStart w:id="563" w:name="_Toc351203517"/>
      <w:bookmarkStart w:id="564" w:name="_Toc532377203"/>
      <w:r>
        <w:rPr>
          <w:rFonts w:hint="eastAsia"/>
          <w:sz w:val="21"/>
          <w:szCs w:val="21"/>
        </w:rPr>
        <w:t>2.8 现场统一管理协议</w:t>
      </w:r>
      <w:bookmarkEnd w:id="563"/>
      <w:bookmarkEnd w:id="564"/>
    </w:p>
    <w:p w14:paraId="23161C82">
      <w:pPr>
        <w:spacing w:line="360" w:lineRule="auto"/>
        <w:ind w:firstLine="420" w:firstLineChars="200"/>
        <w:jc w:val="left"/>
        <w:rPr>
          <w:rFonts w:ascii="宋体" w:hAnsi="宋体"/>
          <w:kern w:val="0"/>
          <w:szCs w:val="21"/>
        </w:rPr>
      </w:pPr>
      <w:r>
        <w:rPr>
          <w:rFonts w:hint="eastAsia" w:ascii="宋体" w:hAnsi="宋体"/>
          <w:kern w:val="0"/>
          <w:szCs w:val="21"/>
        </w:rPr>
        <w:t>发包人应与承包人、由发包人直接发包的专业工程的承包人签订施工现场统一管理协议，明确各方的权利义务。施工现场统一管理协议作为专用合同条款的附件。</w:t>
      </w:r>
    </w:p>
    <w:p w14:paraId="02D0CD7F">
      <w:pPr>
        <w:pStyle w:val="6"/>
        <w:keepNext/>
        <w:keepLines/>
        <w:spacing w:before="156" w:beforeLines="50" w:beforeAutospacing="0" w:after="156" w:afterLines="50" w:afterAutospacing="0" w:line="360" w:lineRule="auto"/>
        <w:jc w:val="both"/>
        <w:rPr>
          <w:bCs w:val="0"/>
          <w:kern w:val="2"/>
          <w:sz w:val="21"/>
          <w:szCs w:val="21"/>
        </w:rPr>
      </w:pPr>
      <w:bookmarkStart w:id="565" w:name="_Toc532377204"/>
      <w:bookmarkStart w:id="566" w:name="_Toc532375589"/>
      <w:bookmarkStart w:id="567" w:name="_Toc351203518"/>
      <w:r>
        <w:rPr>
          <w:rFonts w:hint="eastAsia"/>
          <w:kern w:val="2"/>
          <w:sz w:val="21"/>
          <w:szCs w:val="21"/>
        </w:rPr>
        <w:t>3</w:t>
      </w:r>
      <w:bookmarkStart w:id="568" w:name="_Toc296503045"/>
      <w:bookmarkStart w:id="569" w:name="_Toc296346546"/>
      <w:bookmarkStart w:id="570" w:name="_Toc337558746"/>
      <w:r>
        <w:rPr>
          <w:rFonts w:hint="eastAsia"/>
          <w:kern w:val="2"/>
          <w:sz w:val="21"/>
          <w:szCs w:val="21"/>
        </w:rPr>
        <w:t>. 承包人</w:t>
      </w:r>
      <w:bookmarkEnd w:id="565"/>
      <w:bookmarkEnd w:id="566"/>
      <w:bookmarkEnd w:id="567"/>
    </w:p>
    <w:bookmarkEnd w:id="568"/>
    <w:bookmarkEnd w:id="569"/>
    <w:bookmarkEnd w:id="570"/>
    <w:p w14:paraId="6FE87D5A">
      <w:pPr>
        <w:pStyle w:val="7"/>
        <w:spacing w:before="0" w:beforeAutospacing="0" w:after="0" w:afterAutospacing="0" w:line="360" w:lineRule="auto"/>
        <w:ind w:firstLine="422" w:firstLineChars="200"/>
        <w:rPr>
          <w:sz w:val="21"/>
          <w:szCs w:val="21"/>
        </w:rPr>
      </w:pPr>
      <w:bookmarkStart w:id="571" w:name="_Toc351203519"/>
      <w:bookmarkStart w:id="572" w:name="_Toc532377205"/>
      <w:r>
        <w:rPr>
          <w:rFonts w:hint="eastAsia"/>
          <w:sz w:val="21"/>
          <w:szCs w:val="21"/>
        </w:rPr>
        <w:t>3</w:t>
      </w:r>
      <w:bookmarkStart w:id="573" w:name="_Toc296503046"/>
      <w:bookmarkStart w:id="574" w:name="_Toc296346547"/>
      <w:bookmarkStart w:id="575" w:name="_Toc337558747"/>
      <w:r>
        <w:rPr>
          <w:rFonts w:hint="eastAsia"/>
          <w:sz w:val="21"/>
          <w:szCs w:val="21"/>
        </w:rPr>
        <w:t>.1 承包人的一般义务</w:t>
      </w:r>
      <w:bookmarkEnd w:id="571"/>
      <w:bookmarkEnd w:id="572"/>
    </w:p>
    <w:bookmarkEnd w:id="573"/>
    <w:bookmarkEnd w:id="574"/>
    <w:bookmarkEnd w:id="575"/>
    <w:p w14:paraId="1EA574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承包人在履行合同过程中应遵守法律和工程建设标准规范，并履行以下义务：</w:t>
      </w:r>
    </w:p>
    <w:p w14:paraId="4A938716">
      <w:pPr>
        <w:numPr>
          <w:ilvl w:val="0"/>
          <w:numId w:val="2"/>
        </w:num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办理法律规定应由承包人办理的许可和批准，并将办理结果书面报送发包人留存；</w:t>
      </w:r>
    </w:p>
    <w:p w14:paraId="0FF4FB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（2）按法律规定和合同约定完成工程，并在保修期内承担保修义务；</w:t>
      </w:r>
    </w:p>
    <w:p w14:paraId="77AE34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（3）按法律规定和合同约定采取施工安全和环境保护措施，办理工伤保险，确保工程及人员、材料、设备和设施的安全；</w:t>
      </w:r>
    </w:p>
    <w:p w14:paraId="3970A4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（4）按合同约定的工作内容和施工进度要求，编制施工组织设计和施工措施计划，并对所有施工作业和施工方法的完备性和安全可靠性负责；</w:t>
      </w:r>
    </w:p>
    <w:p w14:paraId="7B3C4F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6C11E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（6）按照第6.3款〔环境保护〕约定负责施工场地及其周边环境与生态的保护工作；</w:t>
      </w:r>
    </w:p>
    <w:p w14:paraId="0E3640E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（7）按第6.1款〔安全文明施工〕约定采取施工安全措施，确保工程及其人员、材料、设备和设施的安全，防止因工程施工造成的人身伤害和财产损失；</w:t>
      </w:r>
    </w:p>
    <w:p w14:paraId="61F91E6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（8）将发包人按合同约定支付的各项价款专用于合同工程，且应及时支付其雇用人员工资，并及时向分包人支付合同价款；</w:t>
      </w:r>
    </w:p>
    <w:p w14:paraId="349226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（9）按照法律规定和合同约定编制竣工资料，完成竣工资料立卷及归档，并按专用合同条款约定的竣工资料的套数、内容、时间等要求移交发包人；</w:t>
      </w:r>
    </w:p>
    <w:p w14:paraId="32403B9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（10）应履行的其他义务。</w:t>
      </w:r>
    </w:p>
    <w:p w14:paraId="2C858D65">
      <w:pPr>
        <w:pStyle w:val="7"/>
        <w:spacing w:before="0" w:beforeAutospacing="0" w:after="0" w:afterAutospacing="0" w:line="360" w:lineRule="auto"/>
        <w:ind w:firstLine="422" w:firstLineChars="200"/>
        <w:rPr>
          <w:sz w:val="21"/>
          <w:szCs w:val="21"/>
        </w:rPr>
      </w:pPr>
      <w:bookmarkStart w:id="576" w:name="_Toc351203520"/>
      <w:bookmarkStart w:id="577" w:name="_Toc532377206"/>
      <w:r>
        <w:rPr>
          <w:rFonts w:hint="eastAsia"/>
          <w:sz w:val="21"/>
          <w:szCs w:val="21"/>
        </w:rPr>
        <w:t>3</w:t>
      </w:r>
      <w:bookmarkStart w:id="578" w:name="_Toc337558748"/>
      <w:bookmarkStart w:id="579" w:name="_Toc296346548"/>
      <w:bookmarkStart w:id="580" w:name="_Toc296503047"/>
      <w:r>
        <w:rPr>
          <w:rFonts w:hint="eastAsia"/>
          <w:sz w:val="21"/>
          <w:szCs w:val="21"/>
        </w:rPr>
        <w:t xml:space="preserve">.2 </w:t>
      </w:r>
      <w:bookmarkEnd w:id="576"/>
      <w:r>
        <w:rPr>
          <w:rFonts w:hint="eastAsia"/>
          <w:sz w:val="21"/>
          <w:szCs w:val="21"/>
        </w:rPr>
        <w:t>项目经理</w:t>
      </w:r>
      <w:bookmarkEnd w:id="577"/>
    </w:p>
    <w:bookmarkEnd w:id="578"/>
    <w:bookmarkEnd w:id="579"/>
    <w:bookmarkEnd w:id="580"/>
    <w:p w14:paraId="1D77ED2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4D5BB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26B0B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承包人违反上述约定的，应按照专用合同条款的约定，承担违约责任。</w:t>
      </w:r>
    </w:p>
    <w:p w14:paraId="008F00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7E3EF0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2D15F1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7B5ADB0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64E34646">
      <w:pPr>
        <w:pStyle w:val="7"/>
        <w:spacing w:before="0" w:beforeAutospacing="0" w:after="0" w:afterAutospacing="0" w:line="360" w:lineRule="auto"/>
        <w:ind w:firstLine="422" w:firstLineChars="200"/>
        <w:rPr>
          <w:sz w:val="21"/>
          <w:szCs w:val="21"/>
        </w:rPr>
      </w:pPr>
      <w:bookmarkStart w:id="581" w:name="_Toc532377207"/>
      <w:bookmarkStart w:id="582" w:name="_Toc351203521"/>
      <w:r>
        <w:rPr>
          <w:rFonts w:hint="eastAsia"/>
          <w:sz w:val="21"/>
          <w:szCs w:val="21"/>
        </w:rPr>
        <w:t>3</w:t>
      </w:r>
      <w:bookmarkStart w:id="583" w:name="_Toc296503048"/>
      <w:bookmarkStart w:id="584" w:name="_Toc296346549"/>
      <w:bookmarkStart w:id="585" w:name="_Toc337558749"/>
      <w:r>
        <w:rPr>
          <w:rFonts w:hint="eastAsia"/>
          <w:sz w:val="21"/>
          <w:szCs w:val="21"/>
        </w:rPr>
        <w:t xml:space="preserve">.3 </w:t>
      </w:r>
      <w:bookmarkEnd w:id="583"/>
      <w:bookmarkEnd w:id="584"/>
      <w:r>
        <w:rPr>
          <w:rFonts w:hint="eastAsia"/>
          <w:sz w:val="21"/>
          <w:szCs w:val="21"/>
        </w:rPr>
        <w:t>承包人人员</w:t>
      </w:r>
      <w:bookmarkEnd w:id="581"/>
      <w:bookmarkEnd w:id="582"/>
    </w:p>
    <w:bookmarkEnd w:id="585"/>
    <w:p w14:paraId="485BA3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43860E9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784DEFD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特殊工种作业人员均应持有相应的资格证明，监理人可以随时检查。</w:t>
      </w:r>
    </w:p>
    <w:p w14:paraId="7BA3CF7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F028A5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4142C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3.3.5 承包人擅自更换主要施工管理人员，或前述人员未经监理人或发包人同意擅自离开施工现场的，应按照专用合同条款约定承担违约责任。</w:t>
      </w:r>
    </w:p>
    <w:p w14:paraId="6ED5499A">
      <w:pPr>
        <w:pStyle w:val="7"/>
        <w:spacing w:before="0" w:beforeAutospacing="0" w:after="0" w:afterAutospacing="0" w:line="360" w:lineRule="auto"/>
        <w:ind w:firstLine="422" w:firstLineChars="200"/>
        <w:rPr>
          <w:sz w:val="21"/>
          <w:szCs w:val="21"/>
        </w:rPr>
      </w:pPr>
      <w:bookmarkStart w:id="586" w:name="_Toc351203522"/>
      <w:bookmarkStart w:id="587" w:name="_Toc532377208"/>
      <w:r>
        <w:rPr>
          <w:rFonts w:hint="eastAsia"/>
          <w:sz w:val="21"/>
          <w:szCs w:val="21"/>
        </w:rPr>
        <w:t>3</w:t>
      </w:r>
      <w:bookmarkStart w:id="588" w:name="_Toc296346551"/>
      <w:bookmarkStart w:id="589" w:name="_Toc337558750"/>
      <w:bookmarkStart w:id="590" w:name="_Toc296503050"/>
      <w:r>
        <w:rPr>
          <w:rFonts w:hint="eastAsia"/>
          <w:sz w:val="21"/>
          <w:szCs w:val="21"/>
        </w:rPr>
        <w:t>.4 承包人现场查勘</w:t>
      </w:r>
      <w:bookmarkEnd w:id="586"/>
      <w:bookmarkEnd w:id="587"/>
    </w:p>
    <w:bookmarkEnd w:id="588"/>
    <w:bookmarkEnd w:id="589"/>
    <w:bookmarkEnd w:id="590"/>
    <w:p w14:paraId="4BDCF8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承包人应对基于发包人按照第2.4.3项〔提供基础资料〕提交的基础资料所做出的解释和推断负责，但因基础资料存在错误、遗漏导致承包人解释或推断失实的，由发包人承担责任。</w:t>
      </w:r>
    </w:p>
    <w:p w14:paraId="50A504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C7E3D9C">
      <w:pPr>
        <w:pStyle w:val="7"/>
        <w:spacing w:before="0" w:beforeAutospacing="0" w:after="0" w:afterAutospacing="0" w:line="360" w:lineRule="auto"/>
        <w:ind w:firstLine="422" w:firstLineChars="200"/>
        <w:rPr>
          <w:sz w:val="21"/>
          <w:szCs w:val="21"/>
        </w:rPr>
      </w:pPr>
      <w:bookmarkStart w:id="591" w:name="_Toc532377209"/>
      <w:bookmarkStart w:id="592" w:name="_Toc351203523"/>
      <w:r>
        <w:rPr>
          <w:rFonts w:hint="eastAsia"/>
          <w:sz w:val="21"/>
          <w:szCs w:val="21"/>
        </w:rPr>
        <w:t>3</w:t>
      </w:r>
      <w:bookmarkStart w:id="593" w:name="_Toc296503051"/>
      <w:bookmarkStart w:id="594" w:name="_Toc296346552"/>
      <w:bookmarkStart w:id="595" w:name="_Toc337558751"/>
      <w:r>
        <w:rPr>
          <w:rFonts w:hint="eastAsia"/>
          <w:sz w:val="21"/>
          <w:szCs w:val="21"/>
        </w:rPr>
        <w:t>.5 分包</w:t>
      </w:r>
      <w:bookmarkEnd w:id="591"/>
      <w:bookmarkEnd w:id="592"/>
    </w:p>
    <w:bookmarkEnd w:id="593"/>
    <w:bookmarkEnd w:id="594"/>
    <w:bookmarkEnd w:id="595"/>
    <w:p w14:paraId="420FF39F">
      <w:pPr>
        <w:spacing w:line="360" w:lineRule="auto"/>
        <w:ind w:firstLine="420" w:firstLineChars="200"/>
        <w:jc w:val="left"/>
        <w:rPr>
          <w:rFonts w:ascii="宋体" w:hAnsi="宋体"/>
          <w:kern w:val="0"/>
          <w:szCs w:val="21"/>
        </w:rPr>
      </w:pPr>
      <w:r>
        <w:rPr>
          <w:rFonts w:hint="eastAsia" w:ascii="宋体" w:hAnsi="宋体"/>
          <w:kern w:val="0"/>
          <w:szCs w:val="21"/>
        </w:rPr>
        <w:t>3.5.1 分包的一般约定</w:t>
      </w:r>
    </w:p>
    <w:p w14:paraId="6FDBD144">
      <w:pPr>
        <w:spacing w:line="360" w:lineRule="auto"/>
        <w:ind w:firstLine="420" w:firstLineChars="200"/>
        <w:jc w:val="left"/>
        <w:rPr>
          <w:rFonts w:ascii="宋体" w:hAnsi="宋体"/>
          <w:kern w:val="0"/>
          <w:szCs w:val="21"/>
        </w:rPr>
      </w:pPr>
      <w:r>
        <w:rPr>
          <w:rFonts w:hint="eastAsia" w:ascii="宋体" w:hAnsi="宋体"/>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CD11874">
      <w:pPr>
        <w:spacing w:line="360" w:lineRule="auto"/>
        <w:ind w:firstLine="420" w:firstLineChars="200"/>
        <w:jc w:val="left"/>
        <w:rPr>
          <w:rFonts w:ascii="宋体" w:hAnsi="宋体"/>
          <w:kern w:val="0"/>
          <w:szCs w:val="21"/>
        </w:rPr>
      </w:pPr>
      <w:r>
        <w:rPr>
          <w:rFonts w:hint="eastAsia" w:ascii="宋体" w:hAnsi="宋体"/>
          <w:kern w:val="0"/>
          <w:szCs w:val="21"/>
        </w:rPr>
        <w:t>承包人不得以劳务分包的名义转包或违法分包工程。</w:t>
      </w:r>
    </w:p>
    <w:p w14:paraId="4EA02FC4">
      <w:pPr>
        <w:spacing w:line="360" w:lineRule="auto"/>
        <w:ind w:firstLine="420" w:firstLineChars="200"/>
        <w:jc w:val="left"/>
        <w:rPr>
          <w:rFonts w:ascii="宋体" w:hAnsi="宋体"/>
          <w:kern w:val="0"/>
          <w:szCs w:val="21"/>
        </w:rPr>
      </w:pPr>
      <w:r>
        <w:rPr>
          <w:rFonts w:hint="eastAsia" w:ascii="宋体" w:hAnsi="宋体"/>
          <w:kern w:val="0"/>
          <w:szCs w:val="21"/>
        </w:rPr>
        <w:t>3.5.2 分包的确定</w:t>
      </w:r>
    </w:p>
    <w:p w14:paraId="47CE92DD">
      <w:pPr>
        <w:spacing w:line="360" w:lineRule="auto"/>
        <w:ind w:firstLine="420" w:firstLineChars="200"/>
        <w:jc w:val="left"/>
        <w:rPr>
          <w:rFonts w:ascii="宋体" w:hAnsi="宋体"/>
          <w:kern w:val="0"/>
          <w:szCs w:val="21"/>
        </w:rPr>
      </w:pPr>
      <w:r>
        <w:rPr>
          <w:rFonts w:hint="eastAsia" w:ascii="宋体" w:hAnsi="宋体"/>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C375488">
      <w:pPr>
        <w:spacing w:line="360" w:lineRule="auto"/>
        <w:ind w:firstLine="420" w:firstLineChars="200"/>
        <w:jc w:val="left"/>
        <w:rPr>
          <w:rFonts w:ascii="宋体" w:hAnsi="宋体"/>
          <w:kern w:val="0"/>
          <w:szCs w:val="21"/>
        </w:rPr>
      </w:pPr>
      <w:r>
        <w:rPr>
          <w:rFonts w:hint="eastAsia" w:ascii="宋体" w:hAnsi="宋体"/>
          <w:kern w:val="0"/>
          <w:szCs w:val="21"/>
        </w:rPr>
        <w:t>3.5.3 分包管理</w:t>
      </w:r>
    </w:p>
    <w:p w14:paraId="71158692">
      <w:pPr>
        <w:spacing w:line="360" w:lineRule="auto"/>
        <w:ind w:firstLine="420" w:firstLineChars="200"/>
        <w:jc w:val="left"/>
        <w:rPr>
          <w:rFonts w:ascii="宋体" w:hAnsi="宋体"/>
          <w:kern w:val="0"/>
          <w:szCs w:val="21"/>
        </w:rPr>
      </w:pPr>
      <w:r>
        <w:rPr>
          <w:rFonts w:hint="eastAsia" w:ascii="宋体" w:hAnsi="宋体"/>
          <w:kern w:val="0"/>
          <w:szCs w:val="21"/>
        </w:rPr>
        <w:t>承包人应向监理人提交分包人的主要施工管理人员表，并对分包人的施工人员进行实名制管理，包括但不限于进出场管理、登记造册以及各种证照的办理。</w:t>
      </w:r>
    </w:p>
    <w:p w14:paraId="06ED5F14">
      <w:pPr>
        <w:spacing w:line="360" w:lineRule="auto"/>
        <w:ind w:firstLine="420" w:firstLineChars="200"/>
        <w:jc w:val="left"/>
        <w:rPr>
          <w:rFonts w:ascii="宋体" w:hAnsi="宋体"/>
          <w:kern w:val="0"/>
          <w:szCs w:val="21"/>
        </w:rPr>
      </w:pPr>
      <w:r>
        <w:rPr>
          <w:rFonts w:hint="eastAsia" w:ascii="宋体" w:hAnsi="宋体"/>
          <w:kern w:val="0"/>
          <w:szCs w:val="21"/>
        </w:rPr>
        <w:t>3.5.4 分包合同价款</w:t>
      </w:r>
    </w:p>
    <w:p w14:paraId="692A6D57">
      <w:pPr>
        <w:spacing w:line="360" w:lineRule="auto"/>
        <w:ind w:firstLine="420" w:firstLineChars="200"/>
        <w:jc w:val="left"/>
        <w:rPr>
          <w:rFonts w:ascii="宋体" w:hAnsi="宋体"/>
          <w:kern w:val="0"/>
          <w:szCs w:val="21"/>
        </w:rPr>
      </w:pPr>
      <w:r>
        <w:rPr>
          <w:rFonts w:hint="eastAsia" w:ascii="宋体" w:hAnsi="宋体"/>
          <w:kern w:val="0"/>
          <w:szCs w:val="21"/>
        </w:rPr>
        <w:t>（1）除本项第（2）目约定的情况或专用合同条款另有约定外，分包合同价款由承包人与分包人结算，未经承包人同意，发包人不得向分包人支付分包工程价款；</w:t>
      </w:r>
    </w:p>
    <w:p w14:paraId="22A2F8FF">
      <w:pPr>
        <w:spacing w:line="360" w:lineRule="auto"/>
        <w:ind w:firstLine="420" w:firstLineChars="200"/>
        <w:jc w:val="left"/>
        <w:rPr>
          <w:rFonts w:ascii="宋体" w:hAnsi="宋体"/>
          <w:kern w:val="0"/>
          <w:szCs w:val="21"/>
        </w:rPr>
      </w:pPr>
      <w:r>
        <w:rPr>
          <w:rFonts w:hint="eastAsia" w:ascii="宋体" w:hAnsi="宋体"/>
          <w:kern w:val="0"/>
          <w:szCs w:val="21"/>
        </w:rPr>
        <w:t>（2）生效法律文书要求发包人向分包人支付分包合同价款的，发包人有权从应付承包人工程款中扣除该部分款项。</w:t>
      </w:r>
    </w:p>
    <w:p w14:paraId="1BA88A2B">
      <w:pPr>
        <w:spacing w:line="360" w:lineRule="auto"/>
        <w:ind w:firstLine="420" w:firstLineChars="200"/>
        <w:jc w:val="left"/>
        <w:rPr>
          <w:rFonts w:ascii="宋体" w:hAnsi="宋体"/>
          <w:kern w:val="0"/>
          <w:szCs w:val="21"/>
        </w:rPr>
      </w:pPr>
      <w:r>
        <w:rPr>
          <w:rFonts w:hint="eastAsia" w:ascii="宋体" w:hAnsi="宋体"/>
          <w:kern w:val="0"/>
          <w:szCs w:val="21"/>
        </w:rPr>
        <w:t>3.5.5 分包合同权益的转让</w:t>
      </w:r>
    </w:p>
    <w:p w14:paraId="77616A01">
      <w:pPr>
        <w:spacing w:line="360" w:lineRule="auto"/>
        <w:ind w:firstLine="420" w:firstLineChars="200"/>
        <w:jc w:val="left"/>
        <w:rPr>
          <w:rFonts w:ascii="宋体" w:hAnsi="宋体"/>
          <w:kern w:val="0"/>
          <w:szCs w:val="21"/>
        </w:rPr>
      </w:pPr>
      <w:r>
        <w:rPr>
          <w:rFonts w:hint="eastAsia" w:ascii="宋体" w:hAnsi="宋体"/>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596" w:name="_Toc351203524"/>
    </w:p>
    <w:p w14:paraId="4F464AD9">
      <w:pPr>
        <w:pStyle w:val="7"/>
        <w:spacing w:before="0" w:beforeAutospacing="0" w:after="0" w:afterAutospacing="0" w:line="360" w:lineRule="auto"/>
        <w:ind w:firstLine="422" w:firstLineChars="200"/>
        <w:rPr>
          <w:sz w:val="21"/>
          <w:szCs w:val="21"/>
        </w:rPr>
      </w:pPr>
      <w:bookmarkStart w:id="597" w:name="_Toc532377210"/>
      <w:r>
        <w:rPr>
          <w:rFonts w:hint="eastAsia"/>
          <w:sz w:val="21"/>
          <w:szCs w:val="21"/>
        </w:rPr>
        <w:t>3.6 工程照管与成品、半成品保护</w:t>
      </w:r>
      <w:bookmarkEnd w:id="596"/>
      <w:bookmarkEnd w:id="597"/>
    </w:p>
    <w:p w14:paraId="70EC5316">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（1）除专用合同条款另有约定外，自发包人向承包人移交施工现场之日起，承包人应负责照管工程及工程相关的材料、工程设备，直到颁发工程接收证书之日止。</w:t>
      </w:r>
    </w:p>
    <w:p w14:paraId="673C4BED">
      <w:pPr>
        <w:spacing w:line="360" w:lineRule="auto"/>
        <w:ind w:firstLine="420" w:firstLineChars="200"/>
        <w:jc w:val="left"/>
        <w:rPr>
          <w:rFonts w:ascii="宋体" w:hAnsi="宋体"/>
          <w:kern w:val="0"/>
          <w:szCs w:val="21"/>
        </w:rPr>
      </w:pPr>
      <w:r>
        <w:rPr>
          <w:rFonts w:hint="eastAsia" w:ascii="宋体" w:hAnsi="宋体"/>
          <w:kern w:val="0"/>
          <w:szCs w:val="21"/>
        </w:rPr>
        <w:t>（2）在承包人负责照管期间，因承包人原因造成工程、材料、工程设备损坏的，由承包人负责修复或更换，并承担由此增加的费用和（或）延误的工期。</w:t>
      </w:r>
    </w:p>
    <w:p w14:paraId="5F2A0F91">
      <w:pPr>
        <w:spacing w:line="360" w:lineRule="auto"/>
        <w:ind w:firstLine="420" w:firstLineChars="200"/>
        <w:jc w:val="left"/>
        <w:rPr>
          <w:rFonts w:ascii="宋体" w:hAnsi="宋体"/>
          <w:kern w:val="0"/>
          <w:szCs w:val="21"/>
        </w:rPr>
      </w:pPr>
      <w:r>
        <w:rPr>
          <w:rFonts w:hint="eastAsia" w:ascii="宋体" w:hAnsi="宋体"/>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6C5CBEAE">
      <w:pPr>
        <w:pStyle w:val="7"/>
        <w:spacing w:before="0" w:beforeAutospacing="0" w:after="0" w:afterAutospacing="0" w:line="360" w:lineRule="auto"/>
        <w:ind w:firstLine="422" w:firstLineChars="200"/>
        <w:rPr>
          <w:sz w:val="21"/>
          <w:szCs w:val="21"/>
        </w:rPr>
      </w:pPr>
      <w:bookmarkStart w:id="598" w:name="_Toc351203525"/>
      <w:bookmarkStart w:id="599" w:name="_Toc532377211"/>
      <w:r>
        <w:rPr>
          <w:rFonts w:hint="eastAsia"/>
          <w:sz w:val="21"/>
          <w:szCs w:val="21"/>
        </w:rPr>
        <w:t>3</w:t>
      </w:r>
      <w:bookmarkStart w:id="600" w:name="_Toc296346553"/>
      <w:bookmarkStart w:id="601" w:name="_Toc296503052"/>
      <w:bookmarkStart w:id="602" w:name="_Toc337558752"/>
      <w:r>
        <w:rPr>
          <w:rFonts w:hint="eastAsia"/>
          <w:sz w:val="21"/>
          <w:szCs w:val="21"/>
        </w:rPr>
        <w:t>.7 履约担保</w:t>
      </w:r>
      <w:bookmarkEnd w:id="598"/>
      <w:bookmarkEnd w:id="599"/>
    </w:p>
    <w:bookmarkEnd w:id="600"/>
    <w:bookmarkEnd w:id="601"/>
    <w:bookmarkEnd w:id="602"/>
    <w:p w14:paraId="76329A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9601A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因承包人原因导致工期延长的，继续提供履约担保所增加的费用由承包人承担；非因承包人原因导致工期延长的，继续提供履约担保所增加的费用由发包人承担。</w:t>
      </w:r>
    </w:p>
    <w:p w14:paraId="2244DFD7">
      <w:pPr>
        <w:pStyle w:val="7"/>
        <w:spacing w:before="0" w:beforeAutospacing="0" w:after="0" w:afterAutospacing="0" w:line="360" w:lineRule="auto"/>
        <w:ind w:firstLine="422" w:firstLineChars="200"/>
        <w:rPr>
          <w:sz w:val="21"/>
          <w:szCs w:val="21"/>
        </w:rPr>
      </w:pPr>
      <w:bookmarkStart w:id="603" w:name="_Toc351203526"/>
      <w:bookmarkStart w:id="604" w:name="_Toc532377212"/>
      <w:r>
        <w:rPr>
          <w:rFonts w:hint="eastAsia"/>
          <w:sz w:val="21"/>
          <w:szCs w:val="21"/>
        </w:rPr>
        <w:t>3.8 联合体</w:t>
      </w:r>
      <w:bookmarkEnd w:id="603"/>
      <w:bookmarkEnd w:id="604"/>
    </w:p>
    <w:p w14:paraId="6947C96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3.8.1 联合体各方应共同与发包人签订合同协议书。联合体各方应为履行合同向发包人承担连带责任。</w:t>
      </w:r>
    </w:p>
    <w:p w14:paraId="7BD8EC8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3.8.2 联合体协议经发包人确认后作为合同附件。在履行合同过程中，未经发包人同意，不得修改联合体协议。</w:t>
      </w:r>
    </w:p>
    <w:p w14:paraId="721ED56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3.8.3 联合体牵头人负责与发包人和监理人联系，并接受指示，负责组织联合体各成员全面履行合同。</w:t>
      </w:r>
    </w:p>
    <w:p w14:paraId="248362BB">
      <w:pPr>
        <w:pStyle w:val="6"/>
        <w:keepNext/>
        <w:keepLines/>
        <w:spacing w:before="156" w:beforeLines="50" w:beforeAutospacing="0" w:after="156" w:afterLines="50" w:afterAutospacing="0" w:line="360" w:lineRule="auto"/>
        <w:jc w:val="both"/>
        <w:rPr>
          <w:bCs w:val="0"/>
          <w:kern w:val="2"/>
          <w:sz w:val="21"/>
          <w:szCs w:val="21"/>
        </w:rPr>
      </w:pPr>
      <w:bookmarkStart w:id="605" w:name="_Toc532377213"/>
      <w:bookmarkStart w:id="606" w:name="_Toc351203527"/>
      <w:bookmarkStart w:id="607" w:name="_Toc532375590"/>
      <w:r>
        <w:rPr>
          <w:rFonts w:hint="eastAsia"/>
          <w:kern w:val="2"/>
          <w:sz w:val="21"/>
          <w:szCs w:val="21"/>
        </w:rPr>
        <w:t>4</w:t>
      </w:r>
      <w:bookmarkStart w:id="608" w:name="_Toc296346554"/>
      <w:bookmarkStart w:id="609" w:name="_Toc296503053"/>
      <w:bookmarkStart w:id="610" w:name="_Toc337558753"/>
      <w:r>
        <w:rPr>
          <w:rFonts w:hint="eastAsia"/>
          <w:kern w:val="2"/>
          <w:sz w:val="21"/>
          <w:szCs w:val="21"/>
        </w:rPr>
        <w:t>. 监</w:t>
      </w:r>
      <w:bookmarkEnd w:id="608"/>
      <w:bookmarkEnd w:id="609"/>
      <w:r>
        <w:rPr>
          <w:rFonts w:hint="eastAsia"/>
          <w:kern w:val="2"/>
          <w:sz w:val="21"/>
          <w:szCs w:val="21"/>
        </w:rPr>
        <w:t>理人</w:t>
      </w:r>
      <w:bookmarkEnd w:id="605"/>
      <w:bookmarkEnd w:id="606"/>
      <w:bookmarkEnd w:id="607"/>
    </w:p>
    <w:bookmarkEnd w:id="610"/>
    <w:p w14:paraId="31DE092B">
      <w:pPr>
        <w:pStyle w:val="7"/>
        <w:spacing w:before="0" w:beforeAutospacing="0" w:after="0" w:afterAutospacing="0" w:line="360" w:lineRule="auto"/>
        <w:ind w:firstLine="422" w:firstLineChars="200"/>
        <w:rPr>
          <w:sz w:val="21"/>
          <w:szCs w:val="21"/>
        </w:rPr>
      </w:pPr>
      <w:bookmarkStart w:id="611" w:name="_Toc351203528"/>
      <w:bookmarkStart w:id="612" w:name="_Toc532377214"/>
      <w:r>
        <w:rPr>
          <w:rFonts w:hint="eastAsia"/>
          <w:sz w:val="21"/>
          <w:szCs w:val="21"/>
        </w:rPr>
        <w:t>4</w:t>
      </w:r>
      <w:bookmarkStart w:id="613" w:name="_Toc296503054"/>
      <w:bookmarkStart w:id="614" w:name="_Toc337558754"/>
      <w:bookmarkStart w:id="615" w:name="_Toc296346555"/>
      <w:r>
        <w:rPr>
          <w:rFonts w:hint="eastAsia"/>
          <w:sz w:val="21"/>
          <w:szCs w:val="21"/>
        </w:rPr>
        <w:t>.1监理人的一般规定</w:t>
      </w:r>
      <w:bookmarkEnd w:id="611"/>
      <w:bookmarkEnd w:id="612"/>
    </w:p>
    <w:bookmarkEnd w:id="613"/>
    <w:bookmarkEnd w:id="614"/>
    <w:bookmarkEnd w:id="615"/>
    <w:p w14:paraId="1BBE459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25F00E4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除专用合同条款另有约定外，监理人在施工现场的办公场所、生活场所由承包人提供，所发生的费用由发包人承担。</w:t>
      </w:r>
    </w:p>
    <w:p w14:paraId="35E420C8">
      <w:pPr>
        <w:pStyle w:val="7"/>
        <w:spacing w:before="0" w:beforeAutospacing="0" w:after="0" w:afterAutospacing="0" w:line="360" w:lineRule="auto"/>
        <w:ind w:firstLine="422" w:firstLineChars="200"/>
        <w:rPr>
          <w:sz w:val="21"/>
          <w:szCs w:val="21"/>
        </w:rPr>
      </w:pPr>
      <w:bookmarkStart w:id="616" w:name="_Toc532377215"/>
      <w:bookmarkStart w:id="617" w:name="_Toc351203529"/>
      <w:r>
        <w:rPr>
          <w:rFonts w:hint="eastAsia"/>
          <w:sz w:val="21"/>
          <w:szCs w:val="21"/>
        </w:rPr>
        <w:t>4</w:t>
      </w:r>
      <w:bookmarkStart w:id="618" w:name="_Toc337558755"/>
      <w:r>
        <w:rPr>
          <w:rFonts w:hint="eastAsia"/>
          <w:sz w:val="21"/>
          <w:szCs w:val="21"/>
        </w:rPr>
        <w:t>.2监理人员</w:t>
      </w:r>
      <w:bookmarkEnd w:id="616"/>
      <w:bookmarkEnd w:id="617"/>
    </w:p>
    <w:bookmarkEnd w:id="618"/>
    <w:p w14:paraId="6999BFC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539ABD0">
      <w:pPr>
        <w:pStyle w:val="7"/>
        <w:spacing w:before="0" w:beforeAutospacing="0" w:after="0" w:afterAutospacing="0" w:line="360" w:lineRule="auto"/>
        <w:ind w:firstLine="422" w:firstLineChars="200"/>
        <w:rPr>
          <w:sz w:val="21"/>
          <w:szCs w:val="21"/>
        </w:rPr>
      </w:pPr>
      <w:bookmarkStart w:id="619" w:name="_Toc351203530"/>
      <w:bookmarkStart w:id="620" w:name="_Toc532377216"/>
      <w:r>
        <w:rPr>
          <w:rFonts w:hint="eastAsia"/>
          <w:sz w:val="21"/>
          <w:szCs w:val="21"/>
        </w:rPr>
        <w:t>4</w:t>
      </w:r>
      <w:bookmarkStart w:id="621" w:name="_Toc296346556"/>
      <w:bookmarkStart w:id="622" w:name="_Toc296503055"/>
      <w:bookmarkStart w:id="623" w:name="_Toc337558756"/>
      <w:r>
        <w:rPr>
          <w:rFonts w:hint="eastAsia"/>
          <w:sz w:val="21"/>
          <w:szCs w:val="21"/>
        </w:rPr>
        <w:t>.3</w:t>
      </w:r>
      <w:bookmarkEnd w:id="621"/>
      <w:bookmarkEnd w:id="622"/>
      <w:r>
        <w:rPr>
          <w:rFonts w:hint="eastAsia"/>
          <w:sz w:val="21"/>
          <w:szCs w:val="21"/>
        </w:rPr>
        <w:t>监理人的指</w:t>
      </w:r>
      <w:bookmarkEnd w:id="623"/>
      <w:r>
        <w:rPr>
          <w:rFonts w:hint="eastAsia"/>
          <w:sz w:val="21"/>
          <w:szCs w:val="21"/>
        </w:rPr>
        <w:t>示</w:t>
      </w:r>
      <w:bookmarkEnd w:id="619"/>
      <w:bookmarkEnd w:id="620"/>
    </w:p>
    <w:p w14:paraId="0F57CC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04785C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178B17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承包人对监理人发出的指示有疑问的，应向监理人提出书面异议，监理人应在48小时内对该指示予以确认、更改或撤销，监理人逾期未回复的，承包人有权拒绝执行上述指示。</w:t>
      </w:r>
    </w:p>
    <w:p w14:paraId="76592E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60690821">
      <w:pPr>
        <w:pStyle w:val="7"/>
        <w:spacing w:before="0" w:beforeAutospacing="0" w:after="0" w:afterAutospacing="0" w:line="360" w:lineRule="auto"/>
        <w:ind w:firstLine="422" w:firstLineChars="200"/>
        <w:rPr>
          <w:sz w:val="21"/>
          <w:szCs w:val="21"/>
        </w:rPr>
      </w:pPr>
      <w:bookmarkStart w:id="624" w:name="_Toc351203531"/>
      <w:bookmarkStart w:id="625" w:name="_Toc532377217"/>
      <w:r>
        <w:rPr>
          <w:rFonts w:hint="eastAsia"/>
          <w:sz w:val="21"/>
          <w:szCs w:val="21"/>
        </w:rPr>
        <w:t>4</w:t>
      </w:r>
      <w:bookmarkStart w:id="626" w:name="_Toc296503057"/>
      <w:bookmarkStart w:id="627" w:name="_Toc337558757"/>
      <w:bookmarkStart w:id="628" w:name="_Toc296346558"/>
      <w:r>
        <w:rPr>
          <w:rFonts w:hint="eastAsia"/>
          <w:sz w:val="21"/>
          <w:szCs w:val="21"/>
        </w:rPr>
        <w:t>.4 商定或确定</w:t>
      </w:r>
      <w:bookmarkEnd w:id="624"/>
      <w:bookmarkEnd w:id="625"/>
    </w:p>
    <w:bookmarkEnd w:id="626"/>
    <w:bookmarkEnd w:id="627"/>
    <w:bookmarkEnd w:id="628"/>
    <w:p w14:paraId="46BECE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合同当事人进行商定或确定时，总监理工程师应当会同合同当事人尽量通过协商达成一致，不能达成一致的，由总监理工程师按照合同约定审慎做出公正的确定。</w:t>
      </w:r>
    </w:p>
    <w:p w14:paraId="7DD7349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25AA8DBF">
      <w:pPr>
        <w:pStyle w:val="6"/>
        <w:keepNext/>
        <w:keepLines/>
        <w:spacing w:before="156" w:beforeLines="50" w:beforeAutospacing="0" w:after="156" w:afterLines="50" w:afterAutospacing="0" w:line="360" w:lineRule="auto"/>
        <w:jc w:val="both"/>
        <w:rPr>
          <w:bCs w:val="0"/>
          <w:kern w:val="2"/>
          <w:sz w:val="21"/>
          <w:szCs w:val="21"/>
        </w:rPr>
      </w:pPr>
      <w:bookmarkStart w:id="629" w:name="_Toc351203532"/>
      <w:bookmarkStart w:id="630" w:name="_Toc532375591"/>
      <w:bookmarkStart w:id="631" w:name="_Toc532377218"/>
      <w:r>
        <w:rPr>
          <w:rFonts w:hint="eastAsia"/>
          <w:kern w:val="2"/>
          <w:sz w:val="21"/>
          <w:szCs w:val="21"/>
        </w:rPr>
        <w:t>5</w:t>
      </w:r>
      <w:bookmarkStart w:id="632" w:name="_Toc337558758"/>
      <w:r>
        <w:rPr>
          <w:rFonts w:hint="eastAsia"/>
          <w:kern w:val="2"/>
          <w:sz w:val="21"/>
          <w:szCs w:val="21"/>
        </w:rPr>
        <w:t>. 工程质量</w:t>
      </w:r>
      <w:bookmarkEnd w:id="629"/>
      <w:bookmarkEnd w:id="630"/>
      <w:bookmarkEnd w:id="631"/>
    </w:p>
    <w:bookmarkEnd w:id="632"/>
    <w:p w14:paraId="3C00CBAB">
      <w:pPr>
        <w:pStyle w:val="7"/>
        <w:spacing w:before="0" w:beforeAutospacing="0" w:after="0" w:afterAutospacing="0" w:line="360" w:lineRule="auto"/>
        <w:ind w:firstLine="422" w:firstLineChars="200"/>
        <w:rPr>
          <w:sz w:val="21"/>
          <w:szCs w:val="21"/>
        </w:rPr>
      </w:pPr>
      <w:bookmarkStart w:id="633" w:name="_Toc351203533"/>
      <w:bookmarkStart w:id="634" w:name="_Toc532377219"/>
      <w:r>
        <w:rPr>
          <w:rFonts w:hint="eastAsia"/>
          <w:sz w:val="21"/>
          <w:szCs w:val="21"/>
        </w:rPr>
        <w:t>5</w:t>
      </w:r>
      <w:bookmarkStart w:id="635" w:name="_Toc337558759"/>
      <w:r>
        <w:rPr>
          <w:rFonts w:hint="eastAsia"/>
          <w:sz w:val="21"/>
          <w:szCs w:val="21"/>
        </w:rPr>
        <w:t>.1质量要求</w:t>
      </w:r>
      <w:bookmarkEnd w:id="633"/>
      <w:bookmarkEnd w:id="634"/>
    </w:p>
    <w:bookmarkEnd w:id="635"/>
    <w:p w14:paraId="18D68D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5.1.1 工程质量标准必须符合现行国家有关工程施工质量验收规范和标准的要求。有关工程质量的特殊标准或要求由合同当事人在专用合同条款中约定。</w:t>
      </w:r>
    </w:p>
    <w:p w14:paraId="7C0723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5.1.2 因发包人原因造成工程质量未达到合同约定标准的，由发包人承担由此增加的费用和（或）延误的工期，并支付承包人合理的利润。</w:t>
      </w:r>
    </w:p>
    <w:p w14:paraId="1E664A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5.1.3 因承包人原因造成工程质量未达到合同约定标准的，发包人有权要求承包人返工直至工程质量达到合同约定的标准为止，并由承包人承担由此增加的费用和（或）延误的工期。</w:t>
      </w:r>
    </w:p>
    <w:p w14:paraId="266AF6D0">
      <w:pPr>
        <w:pStyle w:val="7"/>
        <w:spacing w:before="0" w:beforeAutospacing="0" w:after="0" w:afterAutospacing="0" w:line="360" w:lineRule="auto"/>
        <w:ind w:firstLine="422" w:firstLineChars="200"/>
        <w:rPr>
          <w:sz w:val="21"/>
          <w:szCs w:val="21"/>
        </w:rPr>
      </w:pPr>
      <w:bookmarkStart w:id="636" w:name="_Toc532377220"/>
      <w:bookmarkStart w:id="637" w:name="_Toc351203534"/>
      <w:r>
        <w:rPr>
          <w:rFonts w:hint="eastAsia"/>
          <w:sz w:val="21"/>
          <w:szCs w:val="21"/>
        </w:rPr>
        <w:t>5</w:t>
      </w:r>
      <w:bookmarkStart w:id="638" w:name="_Toc337558760"/>
      <w:r>
        <w:rPr>
          <w:rFonts w:hint="eastAsia"/>
          <w:sz w:val="21"/>
          <w:szCs w:val="21"/>
        </w:rPr>
        <w:t>.2质量保证措施</w:t>
      </w:r>
      <w:bookmarkEnd w:id="636"/>
      <w:bookmarkEnd w:id="637"/>
    </w:p>
    <w:bookmarkEnd w:id="638"/>
    <w:p w14:paraId="2BAD34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5.2.1 发包人的质量管理</w:t>
      </w:r>
    </w:p>
    <w:p w14:paraId="4C1912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发包人应按照法律规定及合同约定完成与工程质量有关的各项工作。</w:t>
      </w:r>
    </w:p>
    <w:p w14:paraId="4AEB51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5.2.2 承包人的质量管理</w:t>
      </w:r>
    </w:p>
    <w:p w14:paraId="218D5A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743EA4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承包人应对施工人员进行质量教育和技术培训，定期考核施工人员的劳动技能，严格执行施工规范和操作规程。</w:t>
      </w:r>
    </w:p>
    <w:p w14:paraId="375A69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8779BB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5.2.3 监理人的质量检查和检验</w:t>
      </w:r>
    </w:p>
    <w:p w14:paraId="3A8ACA7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865A16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B9C104E">
      <w:pPr>
        <w:pStyle w:val="7"/>
        <w:spacing w:before="0" w:beforeAutospacing="0" w:after="0" w:afterAutospacing="0" w:line="360" w:lineRule="auto"/>
        <w:ind w:firstLine="422" w:firstLineChars="200"/>
        <w:rPr>
          <w:sz w:val="21"/>
          <w:szCs w:val="21"/>
        </w:rPr>
      </w:pPr>
      <w:bookmarkStart w:id="639" w:name="_Toc532377221"/>
      <w:bookmarkStart w:id="640" w:name="_Toc351203535"/>
      <w:r>
        <w:rPr>
          <w:rFonts w:hint="eastAsia"/>
          <w:sz w:val="21"/>
          <w:szCs w:val="21"/>
        </w:rPr>
        <w:t>5</w:t>
      </w:r>
      <w:bookmarkStart w:id="641" w:name="_Toc337558761"/>
      <w:r>
        <w:rPr>
          <w:rFonts w:hint="eastAsia"/>
          <w:sz w:val="21"/>
          <w:szCs w:val="21"/>
        </w:rPr>
        <w:t>.3 隐蔽工程检查</w:t>
      </w:r>
      <w:bookmarkEnd w:id="639"/>
      <w:bookmarkEnd w:id="640"/>
    </w:p>
    <w:bookmarkEnd w:id="641"/>
    <w:p w14:paraId="08F5F12C">
      <w:pPr>
        <w:spacing w:line="360" w:lineRule="auto"/>
        <w:ind w:firstLine="420" w:firstLineChars="200"/>
        <w:jc w:val="left"/>
        <w:rPr>
          <w:rFonts w:ascii="宋体" w:hAnsi="宋体"/>
          <w:kern w:val="0"/>
          <w:szCs w:val="21"/>
        </w:rPr>
      </w:pPr>
      <w:r>
        <w:rPr>
          <w:rFonts w:hint="eastAsia" w:ascii="宋体" w:hAnsi="宋体"/>
          <w:kern w:val="0"/>
          <w:szCs w:val="21"/>
        </w:rPr>
        <w:t>5.3.1承包人自检</w:t>
      </w:r>
    </w:p>
    <w:p w14:paraId="04C2AAFB">
      <w:pPr>
        <w:spacing w:line="360" w:lineRule="auto"/>
        <w:ind w:firstLine="420" w:firstLineChars="200"/>
        <w:jc w:val="left"/>
        <w:rPr>
          <w:rFonts w:ascii="宋体" w:hAnsi="宋体"/>
          <w:kern w:val="0"/>
          <w:szCs w:val="21"/>
        </w:rPr>
      </w:pPr>
      <w:r>
        <w:rPr>
          <w:rFonts w:hint="eastAsia" w:ascii="宋体" w:hAnsi="宋体"/>
          <w:kern w:val="0"/>
          <w:szCs w:val="21"/>
        </w:rPr>
        <w:t>承包人应当对工程隐蔽部位进行自检，并经自检确认是否具备覆盖条件。</w:t>
      </w:r>
    </w:p>
    <w:p w14:paraId="2522C32F">
      <w:pPr>
        <w:spacing w:line="360" w:lineRule="auto"/>
        <w:ind w:firstLine="420" w:firstLineChars="200"/>
        <w:jc w:val="left"/>
        <w:rPr>
          <w:rFonts w:ascii="宋体" w:hAnsi="宋体"/>
          <w:kern w:val="0"/>
          <w:szCs w:val="21"/>
        </w:rPr>
      </w:pPr>
      <w:r>
        <w:rPr>
          <w:rFonts w:hint="eastAsia" w:ascii="宋体" w:hAnsi="宋体"/>
          <w:kern w:val="0"/>
          <w:szCs w:val="21"/>
        </w:rPr>
        <w:t>5.3.2检查程序</w:t>
      </w:r>
    </w:p>
    <w:p w14:paraId="7B827E49">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416EB46">
      <w:pPr>
        <w:spacing w:line="360" w:lineRule="auto"/>
        <w:ind w:firstLine="420" w:firstLineChars="200"/>
        <w:jc w:val="left"/>
        <w:rPr>
          <w:rFonts w:ascii="宋体" w:hAnsi="宋体"/>
          <w:kern w:val="0"/>
          <w:szCs w:val="21"/>
        </w:rPr>
      </w:pPr>
      <w:r>
        <w:rPr>
          <w:rFonts w:hint="eastAsia" w:ascii="宋体" w:hAnsi="宋体"/>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5C27B6D">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2712EC6">
      <w:pPr>
        <w:spacing w:line="360" w:lineRule="auto"/>
        <w:ind w:firstLine="420" w:firstLineChars="200"/>
        <w:jc w:val="left"/>
        <w:rPr>
          <w:rFonts w:ascii="宋体" w:hAnsi="宋体"/>
          <w:kern w:val="0"/>
          <w:szCs w:val="21"/>
        </w:rPr>
      </w:pPr>
      <w:r>
        <w:rPr>
          <w:rFonts w:hint="eastAsia" w:ascii="宋体" w:hAnsi="宋体"/>
          <w:kern w:val="0"/>
          <w:szCs w:val="21"/>
        </w:rPr>
        <w:t>5.3.3 重新检查</w:t>
      </w:r>
    </w:p>
    <w:p w14:paraId="731D424F">
      <w:pPr>
        <w:spacing w:line="360" w:lineRule="auto"/>
        <w:ind w:firstLine="420" w:firstLineChars="200"/>
        <w:jc w:val="left"/>
        <w:rPr>
          <w:rFonts w:ascii="宋体" w:hAnsi="宋体"/>
          <w:kern w:val="0"/>
          <w:szCs w:val="21"/>
        </w:rPr>
      </w:pPr>
      <w:r>
        <w:rPr>
          <w:rFonts w:hint="eastAsia" w:ascii="宋体" w:hAnsi="宋体"/>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4133E44">
      <w:pPr>
        <w:spacing w:line="360" w:lineRule="auto"/>
        <w:ind w:firstLine="420" w:firstLineChars="200"/>
        <w:jc w:val="left"/>
        <w:rPr>
          <w:rFonts w:ascii="宋体" w:hAnsi="宋体"/>
          <w:kern w:val="0"/>
          <w:szCs w:val="21"/>
        </w:rPr>
      </w:pPr>
      <w:r>
        <w:rPr>
          <w:rFonts w:hint="eastAsia" w:ascii="宋体" w:hAnsi="宋体"/>
          <w:kern w:val="0"/>
          <w:szCs w:val="21"/>
        </w:rPr>
        <w:t>5.3.4 承包人私自覆盖</w:t>
      </w:r>
    </w:p>
    <w:p w14:paraId="7FC5929C">
      <w:pPr>
        <w:spacing w:line="360" w:lineRule="auto"/>
        <w:ind w:firstLine="420" w:firstLineChars="200"/>
        <w:jc w:val="left"/>
        <w:rPr>
          <w:rFonts w:ascii="宋体" w:hAnsi="宋体"/>
          <w:kern w:val="0"/>
          <w:szCs w:val="21"/>
        </w:rPr>
      </w:pPr>
      <w:r>
        <w:rPr>
          <w:rFonts w:hint="eastAsia" w:ascii="宋体" w:hAnsi="宋体"/>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655697A2">
      <w:pPr>
        <w:pStyle w:val="7"/>
        <w:spacing w:before="0" w:beforeAutospacing="0" w:after="0" w:afterAutospacing="0" w:line="360" w:lineRule="auto"/>
        <w:ind w:firstLine="422" w:firstLineChars="200"/>
        <w:rPr>
          <w:sz w:val="21"/>
          <w:szCs w:val="21"/>
        </w:rPr>
      </w:pPr>
      <w:bookmarkStart w:id="642" w:name="_Toc532377222"/>
      <w:r>
        <w:rPr>
          <w:rFonts w:hint="eastAsia"/>
          <w:sz w:val="21"/>
          <w:szCs w:val="21"/>
        </w:rPr>
        <w:t>5.4不合格工程的处理</w:t>
      </w:r>
      <w:bookmarkEnd w:id="642"/>
    </w:p>
    <w:p w14:paraId="09E01FEA">
      <w:pPr>
        <w:spacing w:line="360" w:lineRule="auto"/>
        <w:ind w:firstLine="420" w:firstLineChars="200"/>
        <w:jc w:val="left"/>
        <w:rPr>
          <w:rFonts w:ascii="宋体" w:hAnsi="宋体"/>
          <w:kern w:val="0"/>
          <w:szCs w:val="21"/>
        </w:rPr>
      </w:pPr>
      <w:r>
        <w:rPr>
          <w:rFonts w:hint="eastAsia" w:ascii="宋体" w:hAnsi="宋体"/>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44766883">
      <w:pPr>
        <w:spacing w:line="360" w:lineRule="auto"/>
        <w:ind w:firstLine="420" w:firstLineChars="200"/>
        <w:jc w:val="left"/>
        <w:rPr>
          <w:rFonts w:ascii="宋体" w:hAnsi="宋体"/>
          <w:kern w:val="0"/>
          <w:szCs w:val="21"/>
        </w:rPr>
      </w:pPr>
      <w:r>
        <w:rPr>
          <w:rFonts w:hint="eastAsia" w:ascii="宋体" w:hAnsi="宋体"/>
          <w:kern w:val="0"/>
          <w:szCs w:val="21"/>
        </w:rPr>
        <w:t>5.4.2 因发包人原因造成工程不合格的，由此增加的费用和（或）延误的工期由发包人承担，并支付承包人合理的利润。</w:t>
      </w:r>
    </w:p>
    <w:p w14:paraId="7C5FC3A5">
      <w:pPr>
        <w:pStyle w:val="7"/>
        <w:spacing w:before="0" w:beforeAutospacing="0" w:after="0" w:afterAutospacing="0" w:line="360" w:lineRule="auto"/>
        <w:ind w:firstLine="422" w:firstLineChars="200"/>
        <w:rPr>
          <w:sz w:val="21"/>
          <w:szCs w:val="21"/>
        </w:rPr>
      </w:pPr>
      <w:bookmarkStart w:id="643" w:name="_Toc532377223"/>
      <w:bookmarkStart w:id="644" w:name="_Toc351203537"/>
      <w:r>
        <w:rPr>
          <w:rFonts w:hint="eastAsia"/>
          <w:sz w:val="21"/>
          <w:szCs w:val="21"/>
        </w:rPr>
        <w:t>5.5 质量争议检测</w:t>
      </w:r>
      <w:bookmarkEnd w:id="643"/>
      <w:bookmarkEnd w:id="644"/>
    </w:p>
    <w:p w14:paraId="218630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合同当事人对工程质量有争议的，由双方协商确定的工程质量检测机构鉴定，由此产生的费用及因此造成的损失，由责任方承担。</w:t>
      </w:r>
    </w:p>
    <w:p w14:paraId="54FD6D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合同当事人均有责任的，由双方根据其责任分别承担。合同当事人无法达成一致的，按照第4.4款〔商定或确定〕执行。</w:t>
      </w:r>
    </w:p>
    <w:p w14:paraId="6EE98612">
      <w:pPr>
        <w:pStyle w:val="6"/>
        <w:keepNext/>
        <w:keepLines/>
        <w:spacing w:before="156" w:beforeLines="50" w:beforeAutospacing="0" w:after="156" w:afterLines="50" w:afterAutospacing="0" w:line="360" w:lineRule="auto"/>
        <w:jc w:val="both"/>
        <w:rPr>
          <w:bCs w:val="0"/>
          <w:kern w:val="2"/>
          <w:sz w:val="21"/>
          <w:szCs w:val="21"/>
        </w:rPr>
      </w:pPr>
      <w:bookmarkStart w:id="645" w:name="_Toc532377224"/>
      <w:bookmarkStart w:id="646" w:name="_Toc351203538"/>
      <w:bookmarkStart w:id="647" w:name="_Toc532375592"/>
      <w:r>
        <w:rPr>
          <w:rFonts w:hint="eastAsia"/>
          <w:kern w:val="2"/>
          <w:sz w:val="21"/>
          <w:szCs w:val="21"/>
        </w:rPr>
        <w:t>6</w:t>
      </w:r>
      <w:bookmarkStart w:id="648" w:name="_Toc337558763"/>
      <w:r>
        <w:rPr>
          <w:rFonts w:hint="eastAsia"/>
          <w:kern w:val="2"/>
          <w:sz w:val="21"/>
          <w:szCs w:val="21"/>
        </w:rPr>
        <w:t>. 安全文明施工与环境保护</w:t>
      </w:r>
      <w:bookmarkEnd w:id="645"/>
      <w:bookmarkEnd w:id="646"/>
      <w:bookmarkEnd w:id="647"/>
    </w:p>
    <w:bookmarkEnd w:id="648"/>
    <w:p w14:paraId="79E91CF9">
      <w:pPr>
        <w:pStyle w:val="7"/>
        <w:spacing w:before="0" w:beforeAutospacing="0" w:after="0" w:afterAutospacing="0" w:line="360" w:lineRule="auto"/>
        <w:ind w:firstLine="422" w:firstLineChars="200"/>
        <w:rPr>
          <w:sz w:val="21"/>
          <w:szCs w:val="21"/>
        </w:rPr>
      </w:pPr>
      <w:bookmarkStart w:id="649" w:name="_Toc532377225"/>
      <w:bookmarkStart w:id="650" w:name="_Toc351203539"/>
      <w:r>
        <w:rPr>
          <w:rFonts w:hint="eastAsia"/>
          <w:sz w:val="21"/>
          <w:szCs w:val="21"/>
        </w:rPr>
        <w:t>6</w:t>
      </w:r>
      <w:bookmarkStart w:id="651" w:name="_Toc337558764"/>
      <w:r>
        <w:rPr>
          <w:rFonts w:hint="eastAsia"/>
          <w:sz w:val="21"/>
          <w:szCs w:val="21"/>
        </w:rPr>
        <w:t>.1安全文明施工</w:t>
      </w:r>
      <w:bookmarkEnd w:id="649"/>
      <w:bookmarkEnd w:id="650"/>
    </w:p>
    <w:bookmarkEnd w:id="651"/>
    <w:p w14:paraId="5E508BF0">
      <w:pPr>
        <w:spacing w:line="360" w:lineRule="auto"/>
        <w:ind w:firstLine="420" w:firstLineChars="200"/>
        <w:jc w:val="left"/>
        <w:rPr>
          <w:rFonts w:ascii="宋体" w:hAnsi="宋体"/>
          <w:kern w:val="0"/>
          <w:szCs w:val="21"/>
        </w:rPr>
      </w:pPr>
      <w:r>
        <w:rPr>
          <w:rFonts w:hint="eastAsia" w:ascii="宋体" w:hAnsi="宋体"/>
          <w:kern w:val="0"/>
          <w:szCs w:val="21"/>
        </w:rPr>
        <w:t>6.1.1安全生产要求</w:t>
      </w:r>
    </w:p>
    <w:p w14:paraId="70862187">
      <w:pPr>
        <w:spacing w:line="360" w:lineRule="auto"/>
        <w:ind w:firstLine="420" w:firstLineChars="200"/>
        <w:jc w:val="left"/>
        <w:rPr>
          <w:rFonts w:ascii="宋体" w:hAnsi="宋体"/>
          <w:kern w:val="0"/>
          <w:szCs w:val="21"/>
        </w:rPr>
      </w:pPr>
      <w:r>
        <w:rPr>
          <w:rFonts w:hint="eastAsia" w:ascii="宋体" w:hAnsi="宋体"/>
          <w:kern w:val="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6C9571B4">
      <w:pPr>
        <w:spacing w:line="360" w:lineRule="auto"/>
        <w:ind w:firstLine="420" w:firstLineChars="200"/>
        <w:jc w:val="left"/>
        <w:rPr>
          <w:rFonts w:ascii="宋体" w:hAnsi="宋体"/>
          <w:kern w:val="0"/>
          <w:szCs w:val="21"/>
        </w:rPr>
      </w:pPr>
      <w:r>
        <w:rPr>
          <w:rFonts w:hint="eastAsia" w:ascii="宋体" w:hAnsi="宋体"/>
          <w:kern w:val="0"/>
          <w:szCs w:val="21"/>
        </w:rPr>
        <w:t>在施工过程中，如遇到突发的地质变动、事先未知的地下施工障碍等影响施工安全的紧急情况，承包人应及时报告监理人和发包人，发包人应当及时下令停工并报政府有关行政管理部门采取应急措施。</w:t>
      </w:r>
    </w:p>
    <w:p w14:paraId="1C021FCB">
      <w:pPr>
        <w:spacing w:line="360" w:lineRule="auto"/>
        <w:ind w:firstLine="420" w:firstLineChars="200"/>
        <w:jc w:val="left"/>
        <w:rPr>
          <w:rFonts w:ascii="宋体" w:hAnsi="宋体"/>
          <w:kern w:val="0"/>
          <w:szCs w:val="21"/>
        </w:rPr>
      </w:pPr>
      <w:r>
        <w:rPr>
          <w:rFonts w:hint="eastAsia" w:ascii="宋体" w:hAnsi="宋体"/>
          <w:kern w:val="0"/>
          <w:szCs w:val="21"/>
        </w:rPr>
        <w:t>因安全生产需要暂停施工的，按照第7.8款〔暂停施工〕的约定执行。</w:t>
      </w:r>
    </w:p>
    <w:p w14:paraId="66DA323D">
      <w:pPr>
        <w:spacing w:line="360" w:lineRule="auto"/>
        <w:ind w:firstLine="420" w:firstLineChars="200"/>
        <w:jc w:val="left"/>
        <w:rPr>
          <w:rFonts w:ascii="宋体" w:hAnsi="宋体"/>
          <w:kern w:val="0"/>
          <w:szCs w:val="21"/>
        </w:rPr>
      </w:pPr>
      <w:r>
        <w:rPr>
          <w:rFonts w:hint="eastAsia" w:ascii="宋体" w:hAnsi="宋体"/>
          <w:kern w:val="0"/>
          <w:szCs w:val="21"/>
        </w:rPr>
        <w:t>6.1.2 安全生产保证措施</w:t>
      </w:r>
    </w:p>
    <w:p w14:paraId="62E662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29608C0">
      <w:pPr>
        <w:spacing w:line="360" w:lineRule="auto"/>
        <w:ind w:firstLine="420" w:firstLineChars="200"/>
        <w:jc w:val="left"/>
        <w:rPr>
          <w:rFonts w:ascii="宋体" w:hAnsi="宋体"/>
          <w:kern w:val="0"/>
          <w:szCs w:val="21"/>
        </w:rPr>
      </w:pPr>
      <w:r>
        <w:rPr>
          <w:rFonts w:hint="eastAsia" w:ascii="宋体" w:hAnsi="宋体"/>
          <w:kern w:val="0"/>
          <w:szCs w:val="21"/>
        </w:rPr>
        <w:t>6.1.3特别安全生产事项</w:t>
      </w:r>
    </w:p>
    <w:p w14:paraId="57E27F28">
      <w:pPr>
        <w:spacing w:line="360" w:lineRule="auto"/>
        <w:ind w:firstLine="420" w:firstLineChars="200"/>
        <w:jc w:val="left"/>
        <w:rPr>
          <w:rFonts w:ascii="宋体" w:hAnsi="宋体"/>
          <w:kern w:val="0"/>
          <w:szCs w:val="21"/>
        </w:rPr>
      </w:pPr>
      <w:r>
        <w:rPr>
          <w:rFonts w:hint="eastAsia" w:ascii="宋体" w:hAnsi="宋体"/>
          <w:kern w:val="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E7465FD">
      <w:pPr>
        <w:spacing w:line="360" w:lineRule="auto"/>
        <w:ind w:firstLine="420" w:firstLineChars="200"/>
        <w:jc w:val="left"/>
        <w:rPr>
          <w:rFonts w:ascii="宋体" w:hAnsi="宋体"/>
          <w:kern w:val="0"/>
          <w:szCs w:val="21"/>
        </w:rPr>
      </w:pPr>
      <w:r>
        <w:rPr>
          <w:rFonts w:hint="eastAsia" w:ascii="宋体" w:hAnsi="宋体"/>
          <w:kern w:val="0"/>
          <w:szCs w:val="21"/>
        </w:rPr>
        <w:t xml:space="preserve">承包人在动力设备、输电线路、地下管道、密封防震车间、易燃易爆地段以及临街交通要道附近施工时，施工开始前应向发包人和监理人提出安全防护措施，经发包人认可后实施。 </w:t>
      </w:r>
    </w:p>
    <w:p w14:paraId="7AC9F498">
      <w:pPr>
        <w:spacing w:line="360" w:lineRule="auto"/>
        <w:ind w:firstLine="420" w:firstLineChars="200"/>
        <w:jc w:val="left"/>
        <w:rPr>
          <w:rFonts w:ascii="宋体" w:hAnsi="宋体"/>
          <w:kern w:val="0"/>
          <w:szCs w:val="21"/>
        </w:rPr>
      </w:pPr>
      <w:r>
        <w:rPr>
          <w:rFonts w:hint="eastAsia" w:ascii="宋体" w:hAnsi="宋体"/>
          <w:kern w:val="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5D109AAC">
      <w:pPr>
        <w:spacing w:line="360" w:lineRule="auto"/>
        <w:ind w:firstLine="420" w:firstLineChars="200"/>
        <w:jc w:val="left"/>
        <w:rPr>
          <w:rFonts w:ascii="宋体" w:hAnsi="宋体"/>
          <w:kern w:val="0"/>
          <w:szCs w:val="21"/>
        </w:rPr>
      </w:pPr>
      <w:r>
        <w:rPr>
          <w:rFonts w:hint="eastAsia" w:ascii="宋体" w:hAnsi="宋体"/>
          <w:kern w:val="0"/>
          <w:szCs w:val="21"/>
        </w:rPr>
        <w:t>需单独编制危险性较大分部分项专项工程施工方案的，及要求进行专家论证的超过一定规模的危险性较大的分部分项工程，承包人应及时编制和组织论证。</w:t>
      </w:r>
    </w:p>
    <w:p w14:paraId="09183995">
      <w:pPr>
        <w:spacing w:line="360" w:lineRule="auto"/>
        <w:ind w:firstLine="420" w:firstLineChars="200"/>
        <w:jc w:val="left"/>
        <w:rPr>
          <w:rFonts w:ascii="宋体" w:hAnsi="宋体"/>
          <w:kern w:val="0"/>
          <w:szCs w:val="21"/>
        </w:rPr>
      </w:pPr>
      <w:r>
        <w:rPr>
          <w:rFonts w:hint="eastAsia" w:ascii="宋体" w:hAnsi="宋体"/>
          <w:kern w:val="0"/>
          <w:szCs w:val="21"/>
        </w:rPr>
        <w:t>6.1.4 治安保卫</w:t>
      </w:r>
    </w:p>
    <w:p w14:paraId="324B5BF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除专用合同条款另有约定外，发包人应与当地公安部门协商，在现场建立治安管理机构或联防组织，统一管理施工场地的治安保卫事项，履行合同工程的治安保卫职责。</w:t>
      </w:r>
    </w:p>
    <w:p w14:paraId="7E2B0801">
      <w:pPr>
        <w:spacing w:line="360" w:lineRule="auto"/>
        <w:ind w:firstLine="420" w:firstLineChars="200"/>
        <w:jc w:val="left"/>
        <w:rPr>
          <w:rFonts w:ascii="宋体" w:hAnsi="宋体"/>
          <w:kern w:val="0"/>
          <w:szCs w:val="21"/>
        </w:rPr>
      </w:pPr>
      <w:r>
        <w:rPr>
          <w:rFonts w:hint="eastAsia" w:ascii="宋体" w:hAnsi="宋体"/>
          <w:kern w:val="0"/>
          <w:szCs w:val="21"/>
        </w:rPr>
        <w:t>发包人和承包人除应协助现场治安管理机构或联防组织维护施工场地的社会治安外，还应做好包括生活区在内的各自管辖区的治安保卫工作。</w:t>
      </w:r>
    </w:p>
    <w:p w14:paraId="5A6F9395">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EE1FE1F">
      <w:pPr>
        <w:spacing w:line="360" w:lineRule="auto"/>
        <w:ind w:firstLine="420" w:firstLineChars="200"/>
        <w:jc w:val="left"/>
        <w:rPr>
          <w:rFonts w:ascii="宋体" w:hAnsi="宋体"/>
          <w:kern w:val="0"/>
          <w:szCs w:val="21"/>
        </w:rPr>
      </w:pPr>
      <w:r>
        <w:rPr>
          <w:rFonts w:hint="eastAsia" w:ascii="宋体" w:hAnsi="宋体"/>
          <w:kern w:val="0"/>
          <w:szCs w:val="21"/>
        </w:rPr>
        <w:t>6.1.5 文明施工</w:t>
      </w:r>
    </w:p>
    <w:p w14:paraId="1CB103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B03A8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FEE0DA9">
      <w:pPr>
        <w:spacing w:line="360" w:lineRule="auto"/>
        <w:ind w:firstLine="420" w:firstLineChars="200"/>
        <w:jc w:val="left"/>
        <w:rPr>
          <w:rFonts w:ascii="宋体" w:hAnsi="宋体"/>
          <w:kern w:val="0"/>
          <w:szCs w:val="21"/>
        </w:rPr>
      </w:pPr>
      <w:r>
        <w:rPr>
          <w:rFonts w:hint="eastAsia" w:ascii="宋体" w:hAnsi="宋体"/>
          <w:kern w:val="0"/>
          <w:szCs w:val="21"/>
        </w:rPr>
        <w:t>6.1.6 安全文明施工费</w:t>
      </w:r>
    </w:p>
    <w:p w14:paraId="14CBD4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安全文明施工费由发包人承担，发包人不得以任何形式扣减该部分费用。因基准日期后合同所适用的法律或政府有关规定发生变化，增加的安全文明施工费由发包人承担。</w:t>
      </w:r>
    </w:p>
    <w:p w14:paraId="510A93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03B9F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660155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FB7361F">
      <w:pPr>
        <w:spacing w:line="360" w:lineRule="auto"/>
        <w:ind w:firstLine="420" w:firstLineChars="200"/>
        <w:jc w:val="left"/>
        <w:rPr>
          <w:rFonts w:ascii="宋体" w:hAnsi="宋体"/>
          <w:kern w:val="0"/>
          <w:szCs w:val="21"/>
        </w:rPr>
      </w:pPr>
      <w:r>
        <w:rPr>
          <w:rFonts w:hint="eastAsia" w:ascii="宋体" w:hAnsi="宋体"/>
          <w:kern w:val="0"/>
          <w:szCs w:val="21"/>
        </w:rPr>
        <w:t>6.1.7 紧急情况处理</w:t>
      </w:r>
    </w:p>
    <w:p w14:paraId="1CD60BBF">
      <w:pPr>
        <w:spacing w:line="360" w:lineRule="auto"/>
        <w:ind w:firstLine="420" w:firstLineChars="200"/>
        <w:jc w:val="left"/>
        <w:rPr>
          <w:rFonts w:ascii="宋体" w:hAnsi="宋体"/>
          <w:kern w:val="0"/>
          <w:szCs w:val="21"/>
        </w:rPr>
      </w:pPr>
      <w:r>
        <w:rPr>
          <w:rFonts w:hint="eastAsia" w:ascii="宋体" w:hAnsi="宋体"/>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361ED3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6.1.8 事故处理</w:t>
      </w:r>
    </w:p>
    <w:p w14:paraId="186F31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B95EEE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 安全生产责任</w:t>
      </w:r>
    </w:p>
    <w:p w14:paraId="2CFB6B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6.1.9.1 发包人的安全责任</w:t>
      </w:r>
    </w:p>
    <w:p w14:paraId="31F23597">
      <w:pPr>
        <w:spacing w:line="360" w:lineRule="auto"/>
        <w:ind w:firstLine="420" w:firstLineChars="200"/>
        <w:jc w:val="left"/>
        <w:rPr>
          <w:rFonts w:ascii="宋体" w:hAnsi="宋体"/>
          <w:kern w:val="0"/>
          <w:szCs w:val="21"/>
        </w:rPr>
      </w:pPr>
      <w:r>
        <w:rPr>
          <w:rFonts w:hint="eastAsia" w:ascii="宋体" w:hAnsi="宋体"/>
          <w:kern w:val="0"/>
          <w:szCs w:val="21"/>
        </w:rPr>
        <w:t>发包人应负责赔偿以下各种情况造成的损失：</w:t>
      </w:r>
    </w:p>
    <w:p w14:paraId="00D5D15A">
      <w:pPr>
        <w:spacing w:line="360" w:lineRule="auto"/>
        <w:ind w:firstLine="420" w:firstLineChars="200"/>
        <w:jc w:val="left"/>
        <w:rPr>
          <w:rFonts w:ascii="宋体" w:hAnsi="宋体"/>
          <w:kern w:val="0"/>
          <w:szCs w:val="21"/>
        </w:rPr>
      </w:pPr>
      <w:r>
        <w:rPr>
          <w:rFonts w:hint="eastAsia" w:ascii="宋体" w:hAnsi="宋体"/>
          <w:kern w:val="0"/>
          <w:szCs w:val="21"/>
        </w:rPr>
        <w:t>（1）工程或工程的任何部分对土地的占用所造成的第三者财产损失；</w:t>
      </w:r>
    </w:p>
    <w:p w14:paraId="528A0393">
      <w:pPr>
        <w:spacing w:line="360" w:lineRule="auto"/>
        <w:ind w:firstLine="420" w:firstLineChars="200"/>
        <w:jc w:val="left"/>
        <w:rPr>
          <w:rFonts w:ascii="宋体" w:hAnsi="宋体"/>
          <w:kern w:val="0"/>
          <w:szCs w:val="21"/>
        </w:rPr>
      </w:pPr>
      <w:r>
        <w:rPr>
          <w:rFonts w:hint="eastAsia" w:ascii="宋体" w:hAnsi="宋体"/>
          <w:kern w:val="0"/>
          <w:szCs w:val="21"/>
        </w:rPr>
        <w:t>（2）由于发包人原因在施工场地及其毗邻地带造成的第三者人身伤亡和财产损失；</w:t>
      </w:r>
    </w:p>
    <w:p w14:paraId="3F4C89C6">
      <w:pPr>
        <w:spacing w:line="360" w:lineRule="auto"/>
        <w:ind w:firstLine="420" w:firstLineChars="200"/>
        <w:jc w:val="left"/>
        <w:rPr>
          <w:rFonts w:ascii="宋体" w:hAnsi="宋体"/>
          <w:kern w:val="0"/>
          <w:szCs w:val="21"/>
        </w:rPr>
      </w:pPr>
      <w:r>
        <w:rPr>
          <w:rFonts w:hint="eastAsia" w:ascii="宋体" w:hAnsi="宋体"/>
          <w:kern w:val="0"/>
          <w:szCs w:val="21"/>
        </w:rPr>
        <w:t>（3）由于发包人原因对承包人、监理人造成的人员人身伤亡和财产损失；</w:t>
      </w:r>
    </w:p>
    <w:p w14:paraId="2D40F1DE">
      <w:pPr>
        <w:spacing w:line="360" w:lineRule="auto"/>
        <w:ind w:firstLine="420" w:firstLineChars="200"/>
        <w:jc w:val="left"/>
        <w:rPr>
          <w:rFonts w:ascii="宋体" w:hAnsi="宋体"/>
          <w:kern w:val="0"/>
          <w:szCs w:val="21"/>
        </w:rPr>
      </w:pPr>
      <w:r>
        <w:rPr>
          <w:rFonts w:hint="eastAsia" w:ascii="宋体" w:hAnsi="宋体"/>
          <w:kern w:val="0"/>
          <w:szCs w:val="21"/>
        </w:rPr>
        <w:t>（4）由于发包人原因造成的发包人自身人员的人身伤害以及财产损失。</w:t>
      </w:r>
    </w:p>
    <w:p w14:paraId="1360FB0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6.1.9.2 承包人的安全责任</w:t>
      </w:r>
    </w:p>
    <w:p w14:paraId="13DDA89A">
      <w:pPr>
        <w:spacing w:line="360" w:lineRule="auto"/>
        <w:ind w:firstLine="420" w:firstLineChars="200"/>
        <w:jc w:val="left"/>
        <w:rPr>
          <w:rFonts w:ascii="宋体" w:hAnsi="宋体"/>
          <w:kern w:val="0"/>
          <w:szCs w:val="21"/>
        </w:rPr>
      </w:pPr>
      <w:r>
        <w:rPr>
          <w:rFonts w:hint="eastAsia" w:ascii="宋体" w:hAnsi="宋体"/>
          <w:kern w:val="0"/>
          <w:szCs w:val="21"/>
        </w:rPr>
        <w:t>由于承包人原因在施工场地内及其毗邻地带造成的发包人、监理人以及第三者人员伤亡和财产损失，由承包人负责赔偿。</w:t>
      </w:r>
    </w:p>
    <w:p w14:paraId="14112199">
      <w:pPr>
        <w:pStyle w:val="7"/>
        <w:spacing w:before="0" w:beforeAutospacing="0" w:after="0" w:afterAutospacing="0" w:line="360" w:lineRule="auto"/>
        <w:ind w:firstLine="422" w:firstLineChars="200"/>
        <w:rPr>
          <w:sz w:val="21"/>
          <w:szCs w:val="21"/>
        </w:rPr>
      </w:pPr>
      <w:bookmarkStart w:id="652" w:name="_Toc351203540"/>
      <w:bookmarkStart w:id="653" w:name="_Toc532377226"/>
      <w:r>
        <w:rPr>
          <w:rFonts w:hint="eastAsia"/>
          <w:sz w:val="21"/>
          <w:szCs w:val="21"/>
        </w:rPr>
        <w:t>6</w:t>
      </w:r>
      <w:bookmarkStart w:id="654" w:name="_Toc337558765"/>
      <w:r>
        <w:rPr>
          <w:rFonts w:hint="eastAsia"/>
          <w:sz w:val="21"/>
          <w:szCs w:val="21"/>
        </w:rPr>
        <w:t>.2 职业健康</w:t>
      </w:r>
      <w:bookmarkEnd w:id="652"/>
      <w:bookmarkEnd w:id="653"/>
    </w:p>
    <w:bookmarkEnd w:id="654"/>
    <w:p w14:paraId="60F65D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6.2.1 劳动保护</w:t>
      </w:r>
    </w:p>
    <w:p w14:paraId="14F46DA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346B5C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5F5034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63DA81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6.2.2 生活条件</w:t>
      </w:r>
    </w:p>
    <w:p w14:paraId="33E3162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72530BD">
      <w:pPr>
        <w:pStyle w:val="7"/>
        <w:spacing w:before="0" w:beforeAutospacing="0" w:after="0" w:afterAutospacing="0" w:line="360" w:lineRule="auto"/>
        <w:ind w:firstLine="422" w:firstLineChars="200"/>
        <w:rPr>
          <w:sz w:val="21"/>
          <w:szCs w:val="21"/>
        </w:rPr>
      </w:pPr>
      <w:bookmarkStart w:id="655" w:name="_Toc351203541"/>
      <w:bookmarkStart w:id="656" w:name="_Toc532377227"/>
      <w:r>
        <w:rPr>
          <w:rFonts w:hint="eastAsia"/>
          <w:sz w:val="21"/>
          <w:szCs w:val="21"/>
        </w:rPr>
        <w:t>6</w:t>
      </w:r>
      <w:bookmarkStart w:id="657" w:name="_Toc337558766"/>
      <w:r>
        <w:rPr>
          <w:rFonts w:hint="eastAsia"/>
          <w:sz w:val="21"/>
          <w:szCs w:val="21"/>
        </w:rPr>
        <w:t>.3 环境保护</w:t>
      </w:r>
      <w:bookmarkEnd w:id="655"/>
      <w:bookmarkEnd w:id="656"/>
    </w:p>
    <w:bookmarkEnd w:id="657"/>
    <w:p w14:paraId="645FA51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D60BE4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承包人应当承担因其原因引起的环境污染侵权损害赔偿责任，因上述环境污染引起纠纷而导致暂停施工的，由此增加的费用和（或）延误的工期由承包人承担。</w:t>
      </w:r>
    </w:p>
    <w:p w14:paraId="77D90734">
      <w:pPr>
        <w:pStyle w:val="6"/>
        <w:keepNext/>
        <w:keepLines/>
        <w:spacing w:before="156" w:beforeLines="50" w:beforeAutospacing="0" w:after="156" w:afterLines="50" w:afterAutospacing="0" w:line="360" w:lineRule="auto"/>
        <w:jc w:val="both"/>
        <w:rPr>
          <w:bCs w:val="0"/>
          <w:kern w:val="2"/>
          <w:sz w:val="21"/>
          <w:szCs w:val="21"/>
        </w:rPr>
      </w:pPr>
      <w:bookmarkStart w:id="658" w:name="_Toc532377228"/>
      <w:bookmarkStart w:id="659" w:name="_Toc532375593"/>
      <w:bookmarkStart w:id="660" w:name="_Toc351203542"/>
      <w:r>
        <w:rPr>
          <w:rFonts w:hint="eastAsia"/>
          <w:kern w:val="2"/>
          <w:sz w:val="21"/>
          <w:szCs w:val="21"/>
        </w:rPr>
        <w:t>7</w:t>
      </w:r>
      <w:bookmarkStart w:id="661" w:name="_Toc337558767"/>
      <w:r>
        <w:rPr>
          <w:rFonts w:hint="eastAsia"/>
          <w:kern w:val="2"/>
          <w:sz w:val="21"/>
          <w:szCs w:val="21"/>
        </w:rPr>
        <w:t>. 工期和进度</w:t>
      </w:r>
      <w:bookmarkEnd w:id="658"/>
      <w:bookmarkEnd w:id="659"/>
      <w:bookmarkEnd w:id="660"/>
    </w:p>
    <w:bookmarkEnd w:id="661"/>
    <w:p w14:paraId="6B1E301C">
      <w:pPr>
        <w:pStyle w:val="7"/>
        <w:spacing w:before="0" w:beforeAutospacing="0" w:after="0" w:afterAutospacing="0" w:line="360" w:lineRule="auto"/>
        <w:ind w:firstLine="422" w:firstLineChars="200"/>
        <w:rPr>
          <w:sz w:val="21"/>
          <w:szCs w:val="21"/>
        </w:rPr>
      </w:pPr>
      <w:bookmarkStart w:id="662" w:name="_Toc532377229"/>
      <w:bookmarkStart w:id="663" w:name="_Toc351203543"/>
      <w:r>
        <w:rPr>
          <w:rFonts w:hint="eastAsia"/>
          <w:sz w:val="21"/>
          <w:szCs w:val="21"/>
        </w:rPr>
        <w:t>7</w:t>
      </w:r>
      <w:bookmarkStart w:id="664" w:name="_Toc337558768"/>
      <w:bookmarkStart w:id="665" w:name="_Toc296503066"/>
      <w:bookmarkStart w:id="666" w:name="_Toc296346567"/>
      <w:r>
        <w:rPr>
          <w:rFonts w:hint="eastAsia"/>
          <w:sz w:val="21"/>
          <w:szCs w:val="21"/>
        </w:rPr>
        <w:t>.1施工组织设计</w:t>
      </w:r>
      <w:bookmarkEnd w:id="662"/>
      <w:bookmarkEnd w:id="663"/>
    </w:p>
    <w:bookmarkEnd w:id="664"/>
    <w:p w14:paraId="3F4DF7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7.1.1 施工组织设计的内容</w:t>
      </w:r>
    </w:p>
    <w:p w14:paraId="095D3FA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施工组织设计应包含以下内容：</w:t>
      </w:r>
    </w:p>
    <w:p w14:paraId="6CA0FF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（1）施工方案； </w:t>
      </w:r>
    </w:p>
    <w:p w14:paraId="13C19B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（2）施工现场平面布置图；</w:t>
      </w:r>
    </w:p>
    <w:p w14:paraId="3475AA5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（3）施工进度计划和保证措施； </w:t>
      </w:r>
    </w:p>
    <w:p w14:paraId="76C7E0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（4）劳动力及材料供应计划；</w:t>
      </w:r>
    </w:p>
    <w:p w14:paraId="060A75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（5）施工机械设备的选用；</w:t>
      </w:r>
    </w:p>
    <w:p w14:paraId="51A528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（6）质量保证体系及措施；</w:t>
      </w:r>
    </w:p>
    <w:p w14:paraId="0C35C8B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（7）安全生产、文明施工措施；</w:t>
      </w:r>
    </w:p>
    <w:p w14:paraId="7E4492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（8）环境保护、成本控制措施；</w:t>
      </w:r>
    </w:p>
    <w:p w14:paraId="71DB08B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（9）合同当事人约定的其他内容。</w:t>
      </w:r>
    </w:p>
    <w:p w14:paraId="252A47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7.1.2 施工组织设计的提交和修改</w:t>
      </w:r>
    </w:p>
    <w:p w14:paraId="46E7C64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7159AE2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施工进度计划的编制和修改按照第7.2款〔施工进度计划〕执行。</w:t>
      </w:r>
    </w:p>
    <w:p w14:paraId="6D367722">
      <w:pPr>
        <w:pStyle w:val="7"/>
        <w:spacing w:before="0" w:beforeAutospacing="0" w:after="0" w:afterAutospacing="0" w:line="360" w:lineRule="auto"/>
        <w:ind w:firstLine="422" w:firstLineChars="200"/>
        <w:rPr>
          <w:sz w:val="21"/>
          <w:szCs w:val="21"/>
        </w:rPr>
      </w:pPr>
      <w:bookmarkStart w:id="667" w:name="_Toc532377230"/>
      <w:bookmarkStart w:id="668" w:name="_Toc351203544"/>
      <w:r>
        <w:rPr>
          <w:rFonts w:hint="eastAsia"/>
          <w:sz w:val="21"/>
          <w:szCs w:val="21"/>
        </w:rPr>
        <w:t>7</w:t>
      </w:r>
      <w:bookmarkStart w:id="669" w:name="_Toc337558769"/>
      <w:r>
        <w:rPr>
          <w:rFonts w:hint="eastAsia"/>
          <w:sz w:val="21"/>
          <w:szCs w:val="21"/>
        </w:rPr>
        <w:t>.2 施工进度计划</w:t>
      </w:r>
      <w:bookmarkEnd w:id="667"/>
      <w:bookmarkEnd w:id="668"/>
    </w:p>
    <w:bookmarkEnd w:id="669"/>
    <w:p w14:paraId="3DACF0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7.2.1 施工进度计划的编制</w:t>
      </w:r>
    </w:p>
    <w:p w14:paraId="27AC8C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9C056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7.2.2 施工进度计划的修订</w:t>
      </w:r>
    </w:p>
    <w:p w14:paraId="1AC871A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18578A9">
      <w:pPr>
        <w:pStyle w:val="7"/>
        <w:spacing w:before="0" w:beforeAutospacing="0" w:after="0" w:afterAutospacing="0" w:line="360" w:lineRule="auto"/>
        <w:ind w:firstLine="422" w:firstLineChars="200"/>
        <w:rPr>
          <w:sz w:val="21"/>
          <w:szCs w:val="21"/>
        </w:rPr>
      </w:pPr>
      <w:bookmarkStart w:id="670" w:name="_Toc532377231"/>
      <w:bookmarkStart w:id="671" w:name="_Toc351203545"/>
      <w:r>
        <w:rPr>
          <w:rFonts w:hint="eastAsia"/>
          <w:sz w:val="21"/>
          <w:szCs w:val="21"/>
        </w:rPr>
        <w:t>7</w:t>
      </w:r>
      <w:bookmarkStart w:id="672" w:name="_Toc337558770"/>
      <w:r>
        <w:rPr>
          <w:rFonts w:hint="eastAsia"/>
          <w:sz w:val="21"/>
          <w:szCs w:val="21"/>
        </w:rPr>
        <w:t>.3 开工</w:t>
      </w:r>
      <w:bookmarkEnd w:id="670"/>
      <w:bookmarkEnd w:id="671"/>
    </w:p>
    <w:p w14:paraId="6532F059">
      <w:pPr>
        <w:spacing w:line="360" w:lineRule="auto"/>
        <w:ind w:firstLine="420" w:firstLineChars="200"/>
        <w:jc w:val="left"/>
        <w:rPr>
          <w:rFonts w:ascii="宋体" w:hAnsi="宋体"/>
          <w:kern w:val="0"/>
          <w:szCs w:val="21"/>
        </w:rPr>
      </w:pPr>
      <w:r>
        <w:rPr>
          <w:rFonts w:hint="eastAsia" w:ascii="宋体" w:hAnsi="宋体"/>
          <w:kern w:val="0"/>
          <w:szCs w:val="21"/>
        </w:rPr>
        <w:t>7.3.1 开工准备</w:t>
      </w:r>
    </w:p>
    <w:p w14:paraId="04E75C9F">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1934E8B4">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除专用合同条款另有约定外，合同当事人应按约定完成开工准备工作。</w:t>
      </w:r>
    </w:p>
    <w:p w14:paraId="5E68C63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7.3.2 开工通知</w:t>
      </w:r>
    </w:p>
    <w:bookmarkEnd w:id="672"/>
    <w:p w14:paraId="361CEE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F27EFD2">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408963F">
      <w:pPr>
        <w:pStyle w:val="7"/>
        <w:spacing w:before="0" w:beforeAutospacing="0" w:after="0" w:afterAutospacing="0" w:line="360" w:lineRule="auto"/>
        <w:ind w:firstLine="422" w:firstLineChars="200"/>
        <w:rPr>
          <w:sz w:val="21"/>
          <w:szCs w:val="21"/>
        </w:rPr>
      </w:pPr>
      <w:bookmarkStart w:id="673" w:name="_Toc351203546"/>
      <w:bookmarkStart w:id="674" w:name="_Toc532377232"/>
      <w:r>
        <w:rPr>
          <w:rFonts w:hint="eastAsia"/>
          <w:sz w:val="21"/>
          <w:szCs w:val="21"/>
        </w:rPr>
        <w:t>7.4测量放线</w:t>
      </w:r>
      <w:bookmarkEnd w:id="673"/>
      <w:bookmarkEnd w:id="674"/>
    </w:p>
    <w:p w14:paraId="36410C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52F8EAB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F22F35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6C1AB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施工过程中对施工现场内水准点等测量标志物的保护工作由承包人负责。</w:t>
      </w:r>
      <w:bookmarkStart w:id="675" w:name="_Toc351203547"/>
    </w:p>
    <w:p w14:paraId="4712AD89">
      <w:pPr>
        <w:pStyle w:val="7"/>
        <w:spacing w:before="0" w:beforeAutospacing="0" w:after="0" w:afterAutospacing="0" w:line="360" w:lineRule="auto"/>
        <w:ind w:firstLine="422" w:firstLineChars="200"/>
        <w:rPr>
          <w:sz w:val="21"/>
          <w:szCs w:val="21"/>
        </w:rPr>
      </w:pPr>
      <w:bookmarkStart w:id="676" w:name="_Toc532377233"/>
      <w:r>
        <w:rPr>
          <w:rFonts w:hint="eastAsia"/>
          <w:sz w:val="21"/>
          <w:szCs w:val="21"/>
        </w:rPr>
        <w:t>7</w:t>
      </w:r>
      <w:bookmarkEnd w:id="665"/>
      <w:bookmarkEnd w:id="666"/>
      <w:bookmarkStart w:id="677" w:name="_Toc337558772"/>
      <w:bookmarkStart w:id="678" w:name="_Toc296346574"/>
      <w:bookmarkStart w:id="679" w:name="_Toc296503073"/>
      <w:r>
        <w:rPr>
          <w:rFonts w:hint="eastAsia"/>
          <w:sz w:val="21"/>
          <w:szCs w:val="21"/>
        </w:rPr>
        <w:t>.5 工期延误</w:t>
      </w:r>
      <w:bookmarkEnd w:id="675"/>
      <w:bookmarkEnd w:id="676"/>
    </w:p>
    <w:bookmarkEnd w:id="677"/>
    <w:bookmarkEnd w:id="678"/>
    <w:bookmarkEnd w:id="679"/>
    <w:p w14:paraId="167580A0">
      <w:pPr>
        <w:spacing w:line="360" w:lineRule="auto"/>
        <w:ind w:firstLine="420" w:firstLineChars="200"/>
        <w:jc w:val="left"/>
        <w:rPr>
          <w:rFonts w:ascii="宋体" w:hAnsi="宋体"/>
          <w:kern w:val="0"/>
          <w:szCs w:val="21"/>
        </w:rPr>
      </w:pPr>
      <w:r>
        <w:rPr>
          <w:rFonts w:hint="eastAsia" w:ascii="宋体" w:hAnsi="宋体"/>
          <w:kern w:val="0"/>
          <w:szCs w:val="21"/>
        </w:rPr>
        <w:t>7.5.1 因发包人原因导致工期延误</w:t>
      </w:r>
    </w:p>
    <w:p w14:paraId="0230612E">
      <w:pPr>
        <w:spacing w:line="360" w:lineRule="auto"/>
        <w:ind w:firstLine="420" w:firstLineChars="200"/>
        <w:jc w:val="left"/>
        <w:rPr>
          <w:rFonts w:ascii="宋体" w:hAnsi="宋体"/>
          <w:kern w:val="0"/>
          <w:szCs w:val="21"/>
        </w:rPr>
      </w:pPr>
      <w:r>
        <w:rPr>
          <w:rFonts w:hint="eastAsia" w:ascii="宋体" w:hAnsi="宋体"/>
          <w:kern w:val="0"/>
          <w:szCs w:val="21"/>
        </w:rPr>
        <w:t xml:space="preserve">在合同履行过程中，因下列情况导致工期延误和（或）费用增加的，由发包人承担由此延误的工期和（或）增加的费用，且发包人应支付承包人合理的利润： </w:t>
      </w:r>
    </w:p>
    <w:p w14:paraId="5719F227">
      <w:pPr>
        <w:spacing w:line="360" w:lineRule="auto"/>
        <w:ind w:firstLine="420" w:firstLineChars="200"/>
        <w:jc w:val="left"/>
        <w:rPr>
          <w:rFonts w:ascii="宋体" w:hAnsi="宋体"/>
          <w:kern w:val="0"/>
          <w:szCs w:val="21"/>
        </w:rPr>
      </w:pPr>
      <w:r>
        <w:rPr>
          <w:rFonts w:hint="eastAsia" w:ascii="宋体" w:hAnsi="宋体"/>
          <w:kern w:val="0"/>
          <w:szCs w:val="21"/>
        </w:rPr>
        <w:t>（1）发包人未能按合同约定提供图纸或所提供图纸不符合合同约定的；</w:t>
      </w:r>
    </w:p>
    <w:p w14:paraId="0D4E52FD">
      <w:pPr>
        <w:spacing w:line="360" w:lineRule="auto"/>
        <w:ind w:firstLine="420" w:firstLineChars="200"/>
        <w:jc w:val="left"/>
        <w:rPr>
          <w:rFonts w:ascii="宋体" w:hAnsi="宋体"/>
          <w:kern w:val="0"/>
          <w:szCs w:val="21"/>
        </w:rPr>
      </w:pPr>
      <w:r>
        <w:rPr>
          <w:rFonts w:hint="eastAsia" w:ascii="宋体" w:hAnsi="宋体"/>
          <w:kern w:val="0"/>
          <w:szCs w:val="21"/>
        </w:rPr>
        <w:t>（2）发包人未能按合同约定提供施工现场、施工条件、基础资料、许可、批准等开工条件的；</w:t>
      </w:r>
    </w:p>
    <w:p w14:paraId="10DF14C7">
      <w:pPr>
        <w:spacing w:line="360" w:lineRule="auto"/>
        <w:ind w:firstLine="420" w:firstLineChars="200"/>
        <w:jc w:val="left"/>
        <w:rPr>
          <w:rFonts w:ascii="宋体" w:hAnsi="宋体"/>
          <w:kern w:val="0"/>
          <w:szCs w:val="21"/>
        </w:rPr>
      </w:pPr>
      <w:r>
        <w:rPr>
          <w:rFonts w:hint="eastAsia" w:ascii="宋体" w:hAnsi="宋体"/>
          <w:kern w:val="0"/>
          <w:szCs w:val="21"/>
        </w:rPr>
        <w:t>（3）发包人提供的测量基准点、基准线和水准点及其书面资料存在错误或疏漏的；</w:t>
      </w:r>
    </w:p>
    <w:p w14:paraId="203DFF1F">
      <w:pPr>
        <w:spacing w:line="360" w:lineRule="auto"/>
        <w:ind w:firstLine="420" w:firstLineChars="200"/>
        <w:jc w:val="left"/>
        <w:rPr>
          <w:rFonts w:ascii="宋体" w:hAnsi="宋体"/>
          <w:kern w:val="0"/>
          <w:szCs w:val="21"/>
        </w:rPr>
      </w:pPr>
      <w:r>
        <w:rPr>
          <w:rFonts w:hint="eastAsia" w:ascii="宋体" w:hAnsi="宋体"/>
          <w:kern w:val="0"/>
          <w:szCs w:val="21"/>
        </w:rPr>
        <w:t>（4）发包人未能在计划开工日期之日起7天内同意下达开工通知的；</w:t>
      </w:r>
    </w:p>
    <w:p w14:paraId="2473B4F6">
      <w:pPr>
        <w:spacing w:line="360" w:lineRule="auto"/>
        <w:ind w:firstLine="420" w:firstLineChars="200"/>
        <w:jc w:val="left"/>
        <w:rPr>
          <w:rFonts w:ascii="宋体" w:hAnsi="宋体"/>
          <w:kern w:val="0"/>
          <w:szCs w:val="21"/>
        </w:rPr>
      </w:pPr>
      <w:r>
        <w:rPr>
          <w:rFonts w:hint="eastAsia" w:ascii="宋体" w:hAnsi="宋体"/>
          <w:kern w:val="0"/>
          <w:szCs w:val="21"/>
        </w:rPr>
        <w:t>（5）发包人未能按合同约定日期支付工程预付款、进度款或竣工结算款的；</w:t>
      </w:r>
    </w:p>
    <w:p w14:paraId="0BB89851">
      <w:pPr>
        <w:spacing w:line="360" w:lineRule="auto"/>
        <w:ind w:firstLine="420" w:firstLineChars="200"/>
        <w:jc w:val="left"/>
        <w:rPr>
          <w:rFonts w:ascii="宋体" w:hAnsi="宋体"/>
          <w:kern w:val="0"/>
          <w:szCs w:val="21"/>
        </w:rPr>
      </w:pPr>
      <w:r>
        <w:rPr>
          <w:rFonts w:hint="eastAsia" w:ascii="宋体" w:hAnsi="宋体"/>
          <w:kern w:val="0"/>
          <w:szCs w:val="21"/>
        </w:rPr>
        <w:t>（6）监理人未按合同约定发出指示、批准等文件的；</w:t>
      </w:r>
    </w:p>
    <w:p w14:paraId="1DC212B7">
      <w:pPr>
        <w:spacing w:line="360" w:lineRule="auto"/>
        <w:ind w:firstLine="420" w:firstLineChars="200"/>
        <w:jc w:val="left"/>
        <w:rPr>
          <w:rFonts w:ascii="宋体" w:hAnsi="宋体"/>
          <w:kern w:val="0"/>
          <w:szCs w:val="21"/>
        </w:rPr>
      </w:pPr>
      <w:r>
        <w:rPr>
          <w:rFonts w:hint="eastAsia" w:ascii="宋体" w:hAnsi="宋体"/>
          <w:kern w:val="0"/>
          <w:szCs w:val="21"/>
        </w:rPr>
        <w:t>（7）专用合同条款中约定的其他情形。</w:t>
      </w:r>
    </w:p>
    <w:p w14:paraId="5010E652">
      <w:pPr>
        <w:spacing w:line="360" w:lineRule="auto"/>
        <w:ind w:firstLine="420" w:firstLineChars="200"/>
        <w:jc w:val="left"/>
        <w:rPr>
          <w:rFonts w:ascii="宋体" w:hAnsi="宋体"/>
          <w:kern w:val="0"/>
          <w:szCs w:val="21"/>
        </w:rPr>
      </w:pPr>
      <w:r>
        <w:rPr>
          <w:rFonts w:hint="eastAsia" w:ascii="宋体" w:hAnsi="宋体"/>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217834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7.5.2 因承包人原因导致工期延误</w:t>
      </w:r>
    </w:p>
    <w:p w14:paraId="3E18D77D">
      <w:pPr>
        <w:autoSpaceDE w:val="0"/>
        <w:autoSpaceDN w:val="0"/>
        <w:spacing w:line="360" w:lineRule="auto"/>
        <w:ind w:firstLine="420" w:firstLineChars="200"/>
        <w:jc w:val="left"/>
        <w:rPr>
          <w:rFonts w:ascii="宋体" w:hAnsi="宋体"/>
          <w:kern w:val="0"/>
          <w:szCs w:val="21"/>
        </w:rPr>
      </w:pPr>
      <w:bookmarkStart w:id="680" w:name="_Toc296346577"/>
      <w:bookmarkStart w:id="681" w:name="_Toc296503076"/>
      <w:r>
        <w:rPr>
          <w:rFonts w:hint="eastAsia" w:ascii="宋体" w:hAnsi="宋体"/>
          <w:kern w:val="0"/>
          <w:szCs w:val="21"/>
        </w:rPr>
        <w:t>因</w:t>
      </w:r>
      <w:bookmarkEnd w:id="680"/>
      <w:bookmarkEnd w:id="681"/>
      <w:r>
        <w:rPr>
          <w:rFonts w:hint="eastAsia" w:ascii="宋体" w:hAnsi="宋体"/>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670569D6">
      <w:pPr>
        <w:pStyle w:val="7"/>
        <w:spacing w:before="0" w:beforeAutospacing="0" w:after="0" w:afterAutospacing="0" w:line="360" w:lineRule="auto"/>
        <w:ind w:firstLine="422" w:firstLineChars="200"/>
        <w:rPr>
          <w:sz w:val="21"/>
          <w:szCs w:val="21"/>
        </w:rPr>
      </w:pPr>
      <w:bookmarkStart w:id="682" w:name="_Toc532377234"/>
      <w:bookmarkStart w:id="683" w:name="_Toc351203548"/>
      <w:r>
        <w:rPr>
          <w:rFonts w:hint="eastAsia"/>
          <w:sz w:val="21"/>
          <w:szCs w:val="21"/>
        </w:rPr>
        <w:t>7</w:t>
      </w:r>
      <w:bookmarkStart w:id="684" w:name="_Toc296503074"/>
      <w:bookmarkStart w:id="685" w:name="_Toc337558773"/>
      <w:bookmarkStart w:id="686" w:name="_Toc296346575"/>
      <w:bookmarkStart w:id="687" w:name="_Toc296346578"/>
      <w:bookmarkStart w:id="688" w:name="_Toc296503077"/>
      <w:r>
        <w:rPr>
          <w:rFonts w:hint="eastAsia"/>
          <w:sz w:val="21"/>
          <w:szCs w:val="21"/>
        </w:rPr>
        <w:t>.6 不利物质条件</w:t>
      </w:r>
      <w:bookmarkEnd w:id="682"/>
      <w:bookmarkEnd w:id="683"/>
    </w:p>
    <w:bookmarkEnd w:id="684"/>
    <w:bookmarkEnd w:id="685"/>
    <w:bookmarkEnd w:id="686"/>
    <w:p w14:paraId="2D658C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CEC1F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133865">
      <w:pPr>
        <w:pStyle w:val="7"/>
        <w:spacing w:before="0" w:beforeAutospacing="0" w:after="0" w:afterAutospacing="0" w:line="360" w:lineRule="auto"/>
        <w:ind w:firstLine="422" w:firstLineChars="200"/>
        <w:rPr>
          <w:sz w:val="21"/>
          <w:szCs w:val="21"/>
        </w:rPr>
      </w:pPr>
      <w:bookmarkStart w:id="689" w:name="_Toc351203549"/>
      <w:bookmarkStart w:id="690" w:name="_Toc532377235"/>
      <w:r>
        <w:rPr>
          <w:rFonts w:hint="eastAsia"/>
          <w:sz w:val="21"/>
          <w:szCs w:val="21"/>
        </w:rPr>
        <w:t>7</w:t>
      </w:r>
      <w:bookmarkStart w:id="691" w:name="_Toc296346576"/>
      <w:bookmarkStart w:id="692" w:name="_Toc296503075"/>
      <w:bookmarkStart w:id="693" w:name="_Toc337558774"/>
      <w:r>
        <w:rPr>
          <w:rFonts w:hint="eastAsia"/>
          <w:sz w:val="21"/>
          <w:szCs w:val="21"/>
        </w:rPr>
        <w:t>.7 异常恶劣的气候条件</w:t>
      </w:r>
      <w:bookmarkEnd w:id="689"/>
      <w:bookmarkEnd w:id="690"/>
    </w:p>
    <w:bookmarkEnd w:id="691"/>
    <w:bookmarkEnd w:id="692"/>
    <w:bookmarkEnd w:id="693"/>
    <w:p w14:paraId="75E9ACC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5F128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694" w:name="_Toc351203550"/>
    </w:p>
    <w:p w14:paraId="36A2F73A">
      <w:pPr>
        <w:pStyle w:val="7"/>
        <w:spacing w:before="0" w:beforeAutospacing="0" w:after="0" w:afterAutospacing="0" w:line="360" w:lineRule="auto"/>
        <w:ind w:firstLine="422" w:firstLineChars="200"/>
        <w:rPr>
          <w:sz w:val="21"/>
          <w:szCs w:val="21"/>
        </w:rPr>
      </w:pPr>
      <w:bookmarkStart w:id="695" w:name="_Toc532377236"/>
      <w:r>
        <w:rPr>
          <w:rFonts w:hint="eastAsia"/>
          <w:sz w:val="21"/>
          <w:szCs w:val="21"/>
        </w:rPr>
        <w:t>7</w:t>
      </w:r>
      <w:bookmarkStart w:id="696" w:name="_Toc337558775"/>
      <w:r>
        <w:rPr>
          <w:rFonts w:hint="eastAsia"/>
          <w:sz w:val="21"/>
          <w:szCs w:val="21"/>
        </w:rPr>
        <w:t>.8 暂停施工</w:t>
      </w:r>
      <w:bookmarkEnd w:id="694"/>
      <w:bookmarkEnd w:id="695"/>
    </w:p>
    <w:bookmarkEnd w:id="687"/>
    <w:bookmarkEnd w:id="688"/>
    <w:bookmarkEnd w:id="696"/>
    <w:p w14:paraId="48AFB0FE">
      <w:pPr>
        <w:spacing w:line="360" w:lineRule="auto"/>
        <w:ind w:firstLine="420" w:firstLineChars="200"/>
        <w:jc w:val="left"/>
        <w:rPr>
          <w:rFonts w:ascii="宋体" w:hAnsi="宋体"/>
          <w:kern w:val="0"/>
          <w:szCs w:val="21"/>
        </w:rPr>
      </w:pPr>
      <w:r>
        <w:rPr>
          <w:rFonts w:hint="eastAsia" w:ascii="宋体" w:hAnsi="宋体"/>
          <w:kern w:val="0"/>
          <w:szCs w:val="21"/>
        </w:rPr>
        <w:t>7.8.1发包人原因引起的暂停施工</w:t>
      </w:r>
    </w:p>
    <w:p w14:paraId="3265E71E">
      <w:pPr>
        <w:spacing w:line="360" w:lineRule="auto"/>
        <w:ind w:firstLine="420" w:firstLineChars="200"/>
        <w:jc w:val="left"/>
        <w:rPr>
          <w:rFonts w:ascii="宋体" w:hAnsi="宋体"/>
          <w:kern w:val="0"/>
          <w:szCs w:val="21"/>
        </w:rPr>
      </w:pPr>
      <w:r>
        <w:rPr>
          <w:rFonts w:hint="eastAsia" w:ascii="宋体" w:hAnsi="宋体"/>
          <w:kern w:val="0"/>
          <w:szCs w:val="21"/>
        </w:rPr>
        <w:t>因发包人原因引起暂停施工的，监理人经发包人同意后，应及时下达暂停施工指示。情况紧急且监理人未及时下达暂停施工指示的，按照第7.8.4项〔紧急情况下的暂停施工〕执行。</w:t>
      </w:r>
    </w:p>
    <w:p w14:paraId="05C6393D">
      <w:pPr>
        <w:spacing w:line="360" w:lineRule="auto"/>
        <w:ind w:firstLine="420" w:firstLineChars="200"/>
        <w:jc w:val="left"/>
        <w:rPr>
          <w:rFonts w:ascii="宋体" w:hAnsi="宋体"/>
          <w:kern w:val="0"/>
          <w:szCs w:val="21"/>
        </w:rPr>
      </w:pPr>
      <w:r>
        <w:rPr>
          <w:rFonts w:hint="eastAsia" w:ascii="宋体" w:hAnsi="宋体"/>
          <w:kern w:val="0"/>
          <w:szCs w:val="21"/>
        </w:rPr>
        <w:t>因发包人原因引起的暂停施工，发包人应承担由此增加的费用和（或）延误的工期，并支付承包人合理的利润。</w:t>
      </w:r>
    </w:p>
    <w:p w14:paraId="3593BB24">
      <w:pPr>
        <w:spacing w:line="360" w:lineRule="auto"/>
        <w:ind w:firstLine="420" w:firstLineChars="200"/>
        <w:jc w:val="left"/>
        <w:rPr>
          <w:rFonts w:ascii="宋体" w:hAnsi="宋体"/>
          <w:kern w:val="0"/>
          <w:szCs w:val="21"/>
        </w:rPr>
      </w:pPr>
      <w:r>
        <w:rPr>
          <w:rFonts w:hint="eastAsia" w:ascii="宋体" w:hAnsi="宋体"/>
          <w:kern w:val="0"/>
          <w:szCs w:val="21"/>
        </w:rPr>
        <w:t>7.8.2 承包人原因引起的暂停施工</w:t>
      </w:r>
    </w:p>
    <w:p w14:paraId="3712D905">
      <w:pPr>
        <w:spacing w:line="360" w:lineRule="auto"/>
        <w:ind w:firstLine="420" w:firstLineChars="200"/>
        <w:jc w:val="left"/>
        <w:rPr>
          <w:rFonts w:ascii="宋体" w:hAnsi="宋体"/>
          <w:kern w:val="0"/>
          <w:szCs w:val="21"/>
        </w:rPr>
      </w:pPr>
      <w:r>
        <w:rPr>
          <w:rFonts w:hint="eastAsia" w:ascii="宋体" w:hAnsi="宋体"/>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7FF66B4">
      <w:pPr>
        <w:spacing w:line="360" w:lineRule="auto"/>
        <w:ind w:firstLine="420" w:firstLineChars="200"/>
        <w:jc w:val="left"/>
        <w:rPr>
          <w:rFonts w:ascii="宋体" w:hAnsi="宋体"/>
          <w:kern w:val="0"/>
          <w:szCs w:val="21"/>
        </w:rPr>
      </w:pPr>
      <w:r>
        <w:rPr>
          <w:rFonts w:hint="eastAsia" w:ascii="宋体" w:hAnsi="宋体"/>
          <w:kern w:val="0"/>
          <w:szCs w:val="21"/>
        </w:rPr>
        <w:t>7.8.3 指示暂停施工</w:t>
      </w:r>
    </w:p>
    <w:p w14:paraId="691494A1">
      <w:pPr>
        <w:spacing w:line="360" w:lineRule="auto"/>
        <w:ind w:firstLine="420" w:firstLineChars="200"/>
        <w:jc w:val="left"/>
        <w:rPr>
          <w:rFonts w:ascii="宋体" w:hAnsi="宋体"/>
          <w:kern w:val="0"/>
          <w:szCs w:val="21"/>
        </w:rPr>
      </w:pPr>
      <w:r>
        <w:rPr>
          <w:rFonts w:hint="eastAsia" w:ascii="宋体" w:hAnsi="宋体"/>
          <w:kern w:val="0"/>
          <w:szCs w:val="21"/>
        </w:rPr>
        <w:t>监理人认为有必要时，并经发包人批准后，可向承包人作出暂停施工的指示，承包人应按监理人指示暂停施工。</w:t>
      </w:r>
    </w:p>
    <w:p w14:paraId="01694BEC">
      <w:pPr>
        <w:spacing w:line="360" w:lineRule="auto"/>
        <w:ind w:firstLine="420" w:firstLineChars="200"/>
        <w:jc w:val="left"/>
        <w:rPr>
          <w:rFonts w:ascii="宋体" w:hAnsi="宋体"/>
          <w:kern w:val="0"/>
          <w:szCs w:val="21"/>
        </w:rPr>
      </w:pPr>
      <w:r>
        <w:rPr>
          <w:rFonts w:hint="eastAsia" w:ascii="宋体" w:hAnsi="宋体"/>
          <w:kern w:val="0"/>
          <w:szCs w:val="21"/>
        </w:rPr>
        <w:t>7.8.4 紧急情况下的暂停施工</w:t>
      </w:r>
    </w:p>
    <w:p w14:paraId="26118F96">
      <w:pPr>
        <w:spacing w:line="360" w:lineRule="auto"/>
        <w:ind w:firstLine="420" w:firstLineChars="200"/>
        <w:jc w:val="left"/>
        <w:rPr>
          <w:rFonts w:ascii="宋体" w:hAnsi="宋体"/>
          <w:kern w:val="0"/>
          <w:szCs w:val="21"/>
        </w:rPr>
      </w:pPr>
      <w:r>
        <w:rPr>
          <w:rFonts w:hint="eastAsia" w:ascii="宋体" w:hAnsi="宋体"/>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13928142">
      <w:pPr>
        <w:spacing w:line="360" w:lineRule="auto"/>
        <w:ind w:firstLine="420" w:firstLineChars="200"/>
        <w:jc w:val="left"/>
        <w:rPr>
          <w:rFonts w:ascii="宋体" w:hAnsi="宋体"/>
          <w:kern w:val="0"/>
          <w:szCs w:val="21"/>
        </w:rPr>
      </w:pPr>
      <w:r>
        <w:rPr>
          <w:rFonts w:hint="eastAsia" w:ascii="宋体" w:hAnsi="宋体"/>
          <w:kern w:val="0"/>
          <w:szCs w:val="21"/>
        </w:rPr>
        <w:t>7.8.5 暂停施工后的复工</w:t>
      </w:r>
    </w:p>
    <w:p w14:paraId="55AD23D7">
      <w:pPr>
        <w:spacing w:line="360" w:lineRule="auto"/>
        <w:ind w:firstLine="420" w:firstLineChars="200"/>
        <w:jc w:val="left"/>
        <w:rPr>
          <w:rFonts w:ascii="宋体" w:hAnsi="宋体"/>
          <w:kern w:val="0"/>
          <w:szCs w:val="21"/>
        </w:rPr>
      </w:pPr>
      <w:r>
        <w:rPr>
          <w:rFonts w:hint="eastAsia" w:ascii="宋体" w:hAnsi="宋体"/>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40557C3">
      <w:pPr>
        <w:spacing w:line="360" w:lineRule="auto"/>
        <w:ind w:firstLine="420" w:firstLineChars="200"/>
        <w:jc w:val="left"/>
        <w:rPr>
          <w:rFonts w:ascii="宋体" w:hAnsi="宋体"/>
          <w:kern w:val="0"/>
          <w:szCs w:val="21"/>
        </w:rPr>
      </w:pPr>
      <w:r>
        <w:rPr>
          <w:rFonts w:hint="eastAsia" w:ascii="宋体" w:hAnsi="宋体"/>
          <w:kern w:val="0"/>
          <w:szCs w:val="21"/>
        </w:rPr>
        <w:t>承包人无故拖延和拒绝复工的，承包人承担由此增加的费用和（或）延误的工期；因发包人原因无法按时复工的，按照第7.5.1项〔因发包人原因导致工期延误〕约定办理。</w:t>
      </w:r>
    </w:p>
    <w:p w14:paraId="7B1725DC">
      <w:pPr>
        <w:spacing w:line="360" w:lineRule="auto"/>
        <w:ind w:firstLine="420" w:firstLineChars="200"/>
        <w:jc w:val="left"/>
        <w:rPr>
          <w:rFonts w:ascii="宋体" w:hAnsi="宋体"/>
          <w:kern w:val="0"/>
          <w:szCs w:val="21"/>
        </w:rPr>
      </w:pPr>
      <w:r>
        <w:rPr>
          <w:rFonts w:hint="eastAsia" w:ascii="宋体" w:hAnsi="宋体"/>
          <w:kern w:val="0"/>
          <w:szCs w:val="21"/>
        </w:rPr>
        <w:t>7.8.6 暂停施工持续56天以上</w:t>
      </w:r>
    </w:p>
    <w:p w14:paraId="5AA6BF0A">
      <w:pPr>
        <w:spacing w:line="360" w:lineRule="auto"/>
        <w:ind w:firstLine="420" w:firstLineChars="200"/>
        <w:jc w:val="left"/>
        <w:rPr>
          <w:rFonts w:ascii="宋体" w:hAnsi="宋体"/>
          <w:kern w:val="0"/>
          <w:szCs w:val="21"/>
        </w:rPr>
      </w:pPr>
      <w:r>
        <w:rPr>
          <w:rFonts w:hint="eastAsia" w:ascii="宋体" w:hAnsi="宋体"/>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451B5F0">
      <w:pPr>
        <w:spacing w:line="360" w:lineRule="auto"/>
        <w:ind w:firstLine="420" w:firstLineChars="200"/>
        <w:jc w:val="left"/>
        <w:rPr>
          <w:rFonts w:ascii="宋体" w:hAnsi="宋体"/>
          <w:kern w:val="0"/>
          <w:szCs w:val="21"/>
        </w:rPr>
      </w:pPr>
      <w:r>
        <w:rPr>
          <w:rFonts w:hint="eastAsia" w:ascii="宋体" w:hAnsi="宋体"/>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C1F0992">
      <w:pPr>
        <w:spacing w:line="360" w:lineRule="auto"/>
        <w:ind w:firstLine="420" w:firstLineChars="200"/>
        <w:jc w:val="left"/>
        <w:rPr>
          <w:rFonts w:ascii="宋体" w:hAnsi="宋体"/>
          <w:kern w:val="0"/>
          <w:szCs w:val="21"/>
        </w:rPr>
      </w:pPr>
      <w:r>
        <w:rPr>
          <w:rFonts w:hint="eastAsia" w:ascii="宋体" w:hAnsi="宋体"/>
          <w:kern w:val="0"/>
          <w:szCs w:val="21"/>
        </w:rPr>
        <w:t>7.8.7 暂停施工期间的工程照管</w:t>
      </w:r>
    </w:p>
    <w:p w14:paraId="07C4B8C8">
      <w:pPr>
        <w:spacing w:line="360" w:lineRule="auto"/>
        <w:ind w:firstLine="420" w:firstLineChars="200"/>
        <w:jc w:val="left"/>
        <w:rPr>
          <w:rFonts w:ascii="宋体" w:hAnsi="宋体"/>
          <w:kern w:val="0"/>
          <w:szCs w:val="21"/>
        </w:rPr>
      </w:pPr>
      <w:r>
        <w:rPr>
          <w:rFonts w:hint="eastAsia" w:ascii="宋体" w:hAnsi="宋体"/>
          <w:kern w:val="0"/>
          <w:szCs w:val="21"/>
        </w:rPr>
        <w:t>暂停施工期间，承包人应负责妥善照管工程并提供安全保障，由此增加的费用由责任方承担。</w:t>
      </w:r>
    </w:p>
    <w:p w14:paraId="564FEC0E">
      <w:pPr>
        <w:spacing w:line="360" w:lineRule="auto"/>
        <w:ind w:firstLine="420" w:firstLineChars="200"/>
        <w:jc w:val="left"/>
        <w:rPr>
          <w:rFonts w:ascii="宋体" w:hAnsi="宋体"/>
          <w:kern w:val="0"/>
          <w:szCs w:val="21"/>
        </w:rPr>
      </w:pPr>
      <w:r>
        <w:rPr>
          <w:rFonts w:hint="eastAsia" w:ascii="宋体" w:hAnsi="宋体"/>
          <w:kern w:val="0"/>
          <w:szCs w:val="21"/>
        </w:rPr>
        <w:t>7.8.8 暂停施工的措施</w:t>
      </w:r>
    </w:p>
    <w:p w14:paraId="5A01522C">
      <w:pPr>
        <w:spacing w:line="360" w:lineRule="auto"/>
        <w:ind w:firstLine="420" w:firstLineChars="200"/>
        <w:jc w:val="left"/>
        <w:rPr>
          <w:rFonts w:ascii="宋体" w:hAnsi="宋体"/>
          <w:kern w:val="0"/>
          <w:szCs w:val="21"/>
        </w:rPr>
      </w:pPr>
      <w:r>
        <w:rPr>
          <w:rFonts w:hint="eastAsia" w:ascii="宋体" w:hAnsi="宋体"/>
          <w:kern w:val="0"/>
          <w:szCs w:val="21"/>
        </w:rPr>
        <w:t>暂停施工期间，发包人和承包人均应采取必要的措施确保工程质量及安全，防止因暂停施工扩大损失。</w:t>
      </w:r>
    </w:p>
    <w:p w14:paraId="05BB53EC">
      <w:pPr>
        <w:pStyle w:val="7"/>
        <w:spacing w:before="0" w:beforeAutospacing="0" w:after="0" w:afterAutospacing="0" w:line="360" w:lineRule="auto"/>
        <w:ind w:firstLine="422" w:firstLineChars="200"/>
        <w:rPr>
          <w:sz w:val="21"/>
          <w:szCs w:val="21"/>
        </w:rPr>
      </w:pPr>
      <w:bookmarkStart w:id="697" w:name="_Toc532377237"/>
      <w:bookmarkStart w:id="698" w:name="_Toc351203551"/>
      <w:r>
        <w:rPr>
          <w:rFonts w:hint="eastAsia"/>
          <w:sz w:val="21"/>
          <w:szCs w:val="21"/>
        </w:rPr>
        <w:t>7.9提前竣工</w:t>
      </w:r>
      <w:bookmarkEnd w:id="697"/>
      <w:bookmarkEnd w:id="698"/>
    </w:p>
    <w:p w14:paraId="7A69E990">
      <w:pPr>
        <w:spacing w:line="360" w:lineRule="auto"/>
        <w:ind w:firstLine="420" w:firstLineChars="200"/>
        <w:jc w:val="left"/>
        <w:rPr>
          <w:rFonts w:ascii="宋体" w:hAnsi="宋体"/>
          <w:kern w:val="0"/>
          <w:szCs w:val="21"/>
        </w:rPr>
      </w:pPr>
      <w:r>
        <w:rPr>
          <w:rFonts w:hint="eastAsia" w:ascii="宋体" w:hAnsi="宋体"/>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3198FB65">
      <w:pPr>
        <w:spacing w:line="360" w:lineRule="auto"/>
        <w:ind w:firstLine="420" w:firstLineChars="200"/>
        <w:jc w:val="left"/>
        <w:rPr>
          <w:rFonts w:ascii="宋体" w:hAnsi="宋体"/>
          <w:kern w:val="0"/>
          <w:szCs w:val="21"/>
        </w:rPr>
      </w:pPr>
      <w:r>
        <w:rPr>
          <w:rFonts w:hint="eastAsia" w:ascii="宋体" w:hAnsi="宋体"/>
          <w:kern w:val="0"/>
          <w:szCs w:val="21"/>
        </w:rPr>
        <w:t>7.9.2 发包人要求承包人提前竣工，或承包人提出提前竣工的建议能够给发包人带来效益的，合同当事人可以在专用合同条款中约定提前竣工的奖励。</w:t>
      </w:r>
    </w:p>
    <w:p w14:paraId="32167B09">
      <w:pPr>
        <w:pStyle w:val="6"/>
        <w:keepNext/>
        <w:keepLines/>
        <w:spacing w:before="156" w:beforeLines="50" w:beforeAutospacing="0" w:after="156" w:afterLines="50" w:afterAutospacing="0" w:line="360" w:lineRule="auto"/>
        <w:jc w:val="both"/>
        <w:rPr>
          <w:bCs w:val="0"/>
          <w:kern w:val="2"/>
          <w:sz w:val="21"/>
          <w:szCs w:val="21"/>
        </w:rPr>
      </w:pPr>
      <w:bookmarkStart w:id="699" w:name="_Toc532375594"/>
      <w:bookmarkStart w:id="700" w:name="_Toc351203552"/>
      <w:bookmarkStart w:id="701" w:name="_Toc532377238"/>
      <w:r>
        <w:rPr>
          <w:rFonts w:hint="eastAsia"/>
          <w:kern w:val="2"/>
          <w:sz w:val="21"/>
          <w:szCs w:val="21"/>
        </w:rPr>
        <w:t>8</w:t>
      </w:r>
      <w:bookmarkStart w:id="702" w:name="_Toc296503058"/>
      <w:bookmarkStart w:id="703" w:name="_Toc337558776"/>
      <w:bookmarkStart w:id="704" w:name="_Toc296346559"/>
      <w:r>
        <w:rPr>
          <w:rFonts w:hint="eastAsia"/>
          <w:kern w:val="2"/>
          <w:sz w:val="21"/>
          <w:szCs w:val="21"/>
        </w:rPr>
        <w:t>. 材料与设备</w:t>
      </w:r>
      <w:bookmarkEnd w:id="699"/>
      <w:bookmarkEnd w:id="700"/>
      <w:bookmarkEnd w:id="701"/>
    </w:p>
    <w:bookmarkEnd w:id="702"/>
    <w:bookmarkEnd w:id="703"/>
    <w:bookmarkEnd w:id="704"/>
    <w:p w14:paraId="2691AA91">
      <w:pPr>
        <w:pStyle w:val="7"/>
        <w:spacing w:before="0" w:beforeAutospacing="0" w:after="0" w:afterAutospacing="0" w:line="360" w:lineRule="auto"/>
        <w:ind w:firstLine="422" w:firstLineChars="200"/>
        <w:rPr>
          <w:sz w:val="21"/>
          <w:szCs w:val="21"/>
        </w:rPr>
      </w:pPr>
      <w:bookmarkStart w:id="705" w:name="_Toc351203553"/>
      <w:bookmarkStart w:id="706" w:name="_Toc532377239"/>
      <w:r>
        <w:rPr>
          <w:rFonts w:hint="eastAsia"/>
          <w:sz w:val="21"/>
          <w:szCs w:val="21"/>
        </w:rPr>
        <w:t>8</w:t>
      </w:r>
      <w:bookmarkStart w:id="707" w:name="_Toc296503059"/>
      <w:bookmarkStart w:id="708" w:name="_Toc337558777"/>
      <w:bookmarkStart w:id="709" w:name="_Toc296346560"/>
      <w:bookmarkStart w:id="710" w:name="_Toc468936960"/>
      <w:r>
        <w:rPr>
          <w:rFonts w:hint="eastAsia"/>
          <w:sz w:val="21"/>
          <w:szCs w:val="21"/>
        </w:rPr>
        <w:t>.1发包人供应材料与工程设备</w:t>
      </w:r>
      <w:bookmarkEnd w:id="705"/>
      <w:bookmarkEnd w:id="706"/>
    </w:p>
    <w:bookmarkEnd w:id="707"/>
    <w:bookmarkEnd w:id="708"/>
    <w:bookmarkEnd w:id="709"/>
    <w:p w14:paraId="38B22D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发包人自行供应材料、工程设备的，应在签订合同时在专用合同条款的附件《发包人供应材料设备一览表》中明确材料、工程设备的品种、规格、型号、数量、单价、质量等级和送达地点。</w:t>
      </w:r>
    </w:p>
    <w:p w14:paraId="0A4C065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392F4F7">
      <w:pPr>
        <w:pStyle w:val="7"/>
        <w:spacing w:before="0" w:beforeAutospacing="0" w:after="0" w:afterAutospacing="0" w:line="360" w:lineRule="auto"/>
        <w:ind w:firstLine="422" w:firstLineChars="200"/>
        <w:rPr>
          <w:sz w:val="21"/>
          <w:szCs w:val="21"/>
        </w:rPr>
      </w:pPr>
      <w:bookmarkStart w:id="711" w:name="_Toc532377240"/>
      <w:r>
        <w:rPr>
          <w:rFonts w:hint="eastAsia"/>
          <w:sz w:val="21"/>
          <w:szCs w:val="21"/>
        </w:rPr>
        <w:t>8.2承包人采购材料与工程设备</w:t>
      </w:r>
      <w:bookmarkEnd w:id="711"/>
    </w:p>
    <w:p w14:paraId="53FD3BC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2C2796A">
      <w:pPr>
        <w:pStyle w:val="7"/>
        <w:spacing w:before="0" w:beforeAutospacing="0" w:after="0" w:afterAutospacing="0" w:line="360" w:lineRule="auto"/>
        <w:ind w:firstLine="422" w:firstLineChars="200"/>
        <w:rPr>
          <w:sz w:val="21"/>
          <w:szCs w:val="21"/>
        </w:rPr>
      </w:pPr>
      <w:bookmarkStart w:id="712" w:name="_Toc532377241"/>
      <w:bookmarkStart w:id="713" w:name="_Toc351203555"/>
      <w:r>
        <w:rPr>
          <w:rFonts w:hint="eastAsia"/>
          <w:sz w:val="21"/>
          <w:szCs w:val="21"/>
        </w:rPr>
        <w:t>8</w:t>
      </w:r>
      <w:bookmarkStart w:id="714" w:name="_Toc296346562"/>
      <w:bookmarkStart w:id="715" w:name="_Toc296503061"/>
      <w:bookmarkStart w:id="716" w:name="_Toc337558779"/>
      <w:r>
        <w:rPr>
          <w:rFonts w:hint="eastAsia"/>
          <w:sz w:val="21"/>
          <w:szCs w:val="21"/>
        </w:rPr>
        <w:t>.3材料与工程设备的接收与拒收</w:t>
      </w:r>
      <w:bookmarkEnd w:id="712"/>
      <w:bookmarkEnd w:id="713"/>
    </w:p>
    <w:bookmarkEnd w:id="714"/>
    <w:bookmarkEnd w:id="715"/>
    <w:bookmarkEnd w:id="716"/>
    <w:p w14:paraId="019DCD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20AEF07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发包人提供的材料和工程设备的规格、数量或质量不符合合同约定的，或因发包人原因导致交货日期延误或交货地点变更等情况的，按照第16.1款〔发包人违约〕约定办理。</w:t>
      </w:r>
    </w:p>
    <w:p w14:paraId="18675A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8.3.2 承包人采购的材料和工程设备，应保证产品质量合格，承包人应在材料和工程设备到货前24小时通知监理人检验。承</w:t>
      </w:r>
      <w:bookmarkStart w:id="717" w:name="_Toc250655469"/>
      <w:r>
        <w:rPr>
          <w:rFonts w:hint="eastAsia" w:ascii="宋体" w:hAnsi="宋体"/>
          <w:kern w:val="0"/>
          <w:szCs w:val="21"/>
        </w:rPr>
        <w:t>包人进行永久设备、材料的制造和生产的，应符合相关质量标准，并向监理人提交材料的样本以及有关资料，并应在使用该材料或工程设备之前获得监理人同意。</w:t>
      </w:r>
    </w:p>
    <w:bookmarkEnd w:id="717"/>
    <w:p w14:paraId="2E151F3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9E311E6">
      <w:pPr>
        <w:pStyle w:val="7"/>
        <w:spacing w:before="0" w:beforeAutospacing="0" w:after="0" w:afterAutospacing="0" w:line="360" w:lineRule="auto"/>
        <w:ind w:firstLine="422" w:firstLineChars="200"/>
        <w:rPr>
          <w:sz w:val="21"/>
          <w:szCs w:val="21"/>
        </w:rPr>
      </w:pPr>
      <w:bookmarkStart w:id="718" w:name="_Toc351203556"/>
      <w:bookmarkStart w:id="719" w:name="_Toc532377242"/>
      <w:r>
        <w:rPr>
          <w:rFonts w:hint="eastAsia"/>
          <w:sz w:val="21"/>
          <w:szCs w:val="21"/>
        </w:rPr>
        <w:t>8</w:t>
      </w:r>
      <w:bookmarkStart w:id="720" w:name="_Toc337558780"/>
      <w:bookmarkStart w:id="721" w:name="_Toc296503062"/>
      <w:bookmarkStart w:id="722" w:name="_Toc296346563"/>
      <w:r>
        <w:rPr>
          <w:rFonts w:hint="eastAsia"/>
          <w:sz w:val="21"/>
          <w:szCs w:val="21"/>
        </w:rPr>
        <w:t>.4材料与工程设备的保管与使用</w:t>
      </w:r>
      <w:bookmarkEnd w:id="718"/>
      <w:bookmarkEnd w:id="719"/>
    </w:p>
    <w:bookmarkEnd w:id="720"/>
    <w:bookmarkEnd w:id="721"/>
    <w:bookmarkEnd w:id="722"/>
    <w:p w14:paraId="53F8C7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8.4.1 发包人供应材料与工程设备的保管与使用</w:t>
      </w:r>
    </w:p>
    <w:p w14:paraId="0E2AB11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E6DE36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发包人供应的材料和工程设备使用前，由承包人负责检验，检验费用由发包人承担，不合格的不得使用。</w:t>
      </w:r>
    </w:p>
    <w:p w14:paraId="7AB8D85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8.4.2 承包人采购材料与工程设备的保管与使用</w:t>
      </w:r>
    </w:p>
    <w:p w14:paraId="289337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003B0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发包人或监理人发现承包人使用不符合设计或有关标准要求的材料和工程设备时，有权要求承包人进行修复、拆除或重新采购，由此增加的费用和（或）延误的工期，由承包人承担。</w:t>
      </w:r>
    </w:p>
    <w:p w14:paraId="24832F08">
      <w:pPr>
        <w:pStyle w:val="7"/>
        <w:spacing w:before="0" w:beforeAutospacing="0" w:after="0" w:afterAutospacing="0" w:line="360" w:lineRule="auto"/>
        <w:ind w:firstLine="422" w:firstLineChars="200"/>
        <w:rPr>
          <w:sz w:val="21"/>
          <w:szCs w:val="21"/>
        </w:rPr>
      </w:pPr>
      <w:bookmarkStart w:id="723" w:name="_Toc351203557"/>
      <w:bookmarkStart w:id="724" w:name="_Toc532377243"/>
      <w:r>
        <w:rPr>
          <w:rFonts w:hint="eastAsia"/>
          <w:sz w:val="21"/>
          <w:szCs w:val="21"/>
        </w:rPr>
        <w:t>8.5禁止使用不合格的材料和工程设备</w:t>
      </w:r>
      <w:bookmarkEnd w:id="723"/>
      <w:bookmarkEnd w:id="724"/>
    </w:p>
    <w:p w14:paraId="428EAF6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8.5.1 监理人有权拒绝承包人提供的不合格材料或工程设备，并要求承包人立即进行更换。监理人应在更换后再次进行检查和检验，由此增加的费用和（或）延误的工期由承包人承担。</w:t>
      </w:r>
    </w:p>
    <w:p w14:paraId="03F8C25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8.5.2 监理人发现承包人使用了不合格的材料和工程设备，承包人应按照监理人的指示立即改正，并禁止在工程中继续使用不合格的材料和工程设备。</w:t>
      </w:r>
    </w:p>
    <w:p w14:paraId="17FF2F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8.5.3 发包人提供的材料或工程设备不符合合同要求的，承包人有权拒绝，并可要求发包人更换，由此增加的费用和（或）延误的工期由发包人承担，并支付承包人合理的利润。</w:t>
      </w:r>
    </w:p>
    <w:p w14:paraId="3F980290">
      <w:pPr>
        <w:pStyle w:val="7"/>
        <w:spacing w:before="0" w:beforeAutospacing="0" w:after="0" w:afterAutospacing="0" w:line="360" w:lineRule="auto"/>
        <w:ind w:firstLine="422" w:firstLineChars="200"/>
        <w:rPr>
          <w:sz w:val="21"/>
          <w:szCs w:val="21"/>
        </w:rPr>
      </w:pPr>
      <w:bookmarkStart w:id="725" w:name="_Toc532377244"/>
      <w:bookmarkStart w:id="726" w:name="_Toc351203558"/>
      <w:r>
        <w:rPr>
          <w:rFonts w:hint="eastAsia"/>
          <w:sz w:val="21"/>
          <w:szCs w:val="21"/>
        </w:rPr>
        <w:t>8.6 样品</w:t>
      </w:r>
      <w:bookmarkEnd w:id="725"/>
      <w:bookmarkEnd w:id="726"/>
    </w:p>
    <w:p w14:paraId="4DB7107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8.6.1</w:t>
      </w:r>
      <w:r>
        <w:rPr>
          <w:rFonts w:hint="eastAsia" w:ascii="宋体" w:hAnsi="宋体"/>
          <w:kern w:val="0"/>
          <w:szCs w:val="21"/>
        </w:rPr>
        <w:tab/>
      </w:r>
      <w:r>
        <w:rPr>
          <w:rFonts w:hint="eastAsia" w:ascii="宋体" w:hAnsi="宋体"/>
          <w:kern w:val="0"/>
          <w:szCs w:val="21"/>
        </w:rPr>
        <w:t>样品的报送与封存</w:t>
      </w:r>
    </w:p>
    <w:p w14:paraId="18386AB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需要承包人报送样品的材料或工程设备，样品的种类、名称、规格、数量等要求均应在专用合同条款中约定。样品的报送程序如下：</w:t>
      </w:r>
    </w:p>
    <w:p w14:paraId="7A34E6C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C0654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32580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（3）经发包人和监理人审批确认的样品应按约定的方法封样，封存的样品作为检验工程相关部分的标准之一。承包人在施工过程中不得使用与样品不符的材料或工程设备。</w:t>
      </w:r>
    </w:p>
    <w:p w14:paraId="5E1674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EC1163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8.6.2 样品的保管</w:t>
      </w:r>
    </w:p>
    <w:p w14:paraId="286FED2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经批准的样品应由监理人负责封存于现场，承包人应在现场为保存样品提供适当和固定的场所并保持适当和良好的存储环境条件。</w:t>
      </w:r>
    </w:p>
    <w:p w14:paraId="61456877">
      <w:pPr>
        <w:pStyle w:val="7"/>
        <w:spacing w:before="0" w:beforeAutospacing="0" w:after="0" w:afterAutospacing="0" w:line="360" w:lineRule="auto"/>
        <w:ind w:firstLine="422" w:firstLineChars="200"/>
        <w:rPr>
          <w:sz w:val="21"/>
          <w:szCs w:val="21"/>
        </w:rPr>
      </w:pPr>
      <w:bookmarkStart w:id="727" w:name="_Toc532377245"/>
      <w:bookmarkStart w:id="728" w:name="_Toc351203559"/>
      <w:r>
        <w:rPr>
          <w:rFonts w:hint="eastAsia"/>
          <w:sz w:val="21"/>
          <w:szCs w:val="21"/>
        </w:rPr>
        <w:t>8.7材料与工程设备的替代</w:t>
      </w:r>
      <w:bookmarkEnd w:id="727"/>
      <w:bookmarkEnd w:id="728"/>
    </w:p>
    <w:p w14:paraId="39C4C60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8.7.1 出现下列情况需要使用替代材料和工程设备的，承包人应按照第8.7.2项约定的程序执行：</w:t>
      </w:r>
    </w:p>
    <w:p w14:paraId="0C3B87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（1）基准日期后生效的法律规定禁止使用的；</w:t>
      </w:r>
    </w:p>
    <w:p w14:paraId="237A79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（2）发包人要求使用替代品的；</w:t>
      </w:r>
    </w:p>
    <w:p w14:paraId="073230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（3）因其他原因必须使用替代品的。</w:t>
      </w:r>
    </w:p>
    <w:p w14:paraId="386F9E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8.7.2 承包人应在使用替代材料和工程设备28天前书面通知监理人，并附下列文件：</w:t>
      </w:r>
    </w:p>
    <w:p w14:paraId="1759EA0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（1）被替代的材料和工程设备的名称、数量、规格、型号、品牌、性能、价格及其他相关资料；</w:t>
      </w:r>
    </w:p>
    <w:p w14:paraId="31E619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（2）替代品的名称、数量、规格、型号、品牌、性能、价格及其他相关资料；</w:t>
      </w:r>
    </w:p>
    <w:p w14:paraId="08627B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（3）替代品与被替代产品之间的差异以及使用替代品可能对工程产生的影响；</w:t>
      </w:r>
    </w:p>
    <w:p w14:paraId="5A3BD2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（4）替代品与被替代产品的价格差异；</w:t>
      </w:r>
    </w:p>
    <w:p w14:paraId="37B17F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（5）使用替代品的理由和原因说明；</w:t>
      </w:r>
    </w:p>
    <w:p w14:paraId="63EBC02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（6）监理人要求的其他文件。</w:t>
      </w:r>
    </w:p>
    <w:p w14:paraId="521D59F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监理人应在收到通知后14天内向承包人发出经发包人签认的书面指示；监理人逾期发出书面指示的，视为发包人和监理人同意使用替代品。</w:t>
      </w:r>
    </w:p>
    <w:p w14:paraId="159CE9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0F4594EB">
      <w:pPr>
        <w:pStyle w:val="7"/>
        <w:spacing w:before="0" w:beforeAutospacing="0" w:after="0" w:afterAutospacing="0" w:line="360" w:lineRule="auto"/>
        <w:ind w:firstLine="422" w:firstLineChars="200"/>
        <w:rPr>
          <w:sz w:val="21"/>
          <w:szCs w:val="21"/>
        </w:rPr>
      </w:pPr>
      <w:bookmarkStart w:id="729" w:name="_Toc351203560"/>
      <w:bookmarkStart w:id="730" w:name="_Toc532377246"/>
      <w:r>
        <w:rPr>
          <w:rFonts w:hint="eastAsia"/>
          <w:sz w:val="21"/>
          <w:szCs w:val="21"/>
        </w:rPr>
        <w:t>8.8施工设备和临时设施</w:t>
      </w:r>
      <w:bookmarkEnd w:id="729"/>
      <w:bookmarkEnd w:id="730"/>
    </w:p>
    <w:p w14:paraId="1D4FBE9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8.8.1 承包人提供的施工设备和临时设施</w:t>
      </w:r>
    </w:p>
    <w:p w14:paraId="2D15CCE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5B7FD43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除专用合同条款另有约定外，承包人应自行承担修建临时设施的费用，需要临时占地的，应由发包人办理申请手续并承担相应费用。</w:t>
      </w:r>
    </w:p>
    <w:p w14:paraId="0AD47ED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8.8.2发包人提供的施工设备和临时设施</w:t>
      </w:r>
    </w:p>
    <w:p w14:paraId="7CC380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发包人提供的施工设备或临时设施在专用合同条款中约定。</w:t>
      </w:r>
    </w:p>
    <w:p w14:paraId="45C728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8.8.3要求承包人增加或更换施工设备</w:t>
      </w:r>
    </w:p>
    <w:p w14:paraId="48B8B8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2CA003D3">
      <w:pPr>
        <w:pStyle w:val="7"/>
        <w:spacing w:before="0" w:beforeAutospacing="0" w:after="0" w:afterAutospacing="0" w:line="360" w:lineRule="auto"/>
        <w:ind w:firstLine="422" w:firstLineChars="200"/>
        <w:rPr>
          <w:sz w:val="21"/>
          <w:szCs w:val="21"/>
        </w:rPr>
      </w:pPr>
      <w:bookmarkStart w:id="731" w:name="_Toc351203561"/>
      <w:bookmarkStart w:id="732" w:name="_Toc532377247"/>
      <w:r>
        <w:rPr>
          <w:rFonts w:hint="eastAsia"/>
          <w:sz w:val="21"/>
          <w:szCs w:val="21"/>
        </w:rPr>
        <w:t>8</w:t>
      </w:r>
      <w:bookmarkStart w:id="733" w:name="_Toc337558781"/>
      <w:bookmarkStart w:id="734" w:name="_Toc296503063"/>
      <w:bookmarkStart w:id="735" w:name="_Toc296346564"/>
      <w:r>
        <w:rPr>
          <w:rFonts w:hint="eastAsia"/>
          <w:sz w:val="21"/>
          <w:szCs w:val="21"/>
        </w:rPr>
        <w:t>.9材料与设备专用</w:t>
      </w:r>
      <w:bookmarkEnd w:id="731"/>
      <w:r>
        <w:rPr>
          <w:rFonts w:hint="eastAsia"/>
          <w:sz w:val="21"/>
          <w:szCs w:val="21"/>
        </w:rPr>
        <w:t>要求</w:t>
      </w:r>
      <w:bookmarkEnd w:id="732"/>
    </w:p>
    <w:bookmarkEnd w:id="733"/>
    <w:bookmarkEnd w:id="734"/>
    <w:bookmarkEnd w:id="735"/>
    <w:p w14:paraId="0476DC86">
      <w:pPr>
        <w:spacing w:line="360" w:lineRule="auto"/>
        <w:ind w:firstLine="420" w:firstLineChars="200"/>
        <w:jc w:val="left"/>
        <w:rPr>
          <w:rFonts w:ascii="宋体" w:hAnsi="宋体"/>
          <w:kern w:val="0"/>
          <w:szCs w:val="21"/>
        </w:rPr>
      </w:pPr>
      <w:r>
        <w:rPr>
          <w:rFonts w:hint="eastAsia" w:ascii="宋体" w:hAnsi="宋体"/>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710"/>
      <w:r>
        <w:rPr>
          <w:rFonts w:hint="eastAsia" w:ascii="宋体" w:hAnsi="宋体"/>
          <w:kern w:val="0"/>
          <w:szCs w:val="21"/>
        </w:rPr>
        <w:t>经发包人批准，承包人可以根据施工进度计划撤走闲置的施工设备和其他物品。</w:t>
      </w:r>
    </w:p>
    <w:p w14:paraId="47D1AE72">
      <w:pPr>
        <w:pStyle w:val="6"/>
        <w:keepNext/>
        <w:keepLines/>
        <w:spacing w:before="156" w:beforeLines="50" w:beforeAutospacing="0" w:after="156" w:afterLines="50" w:afterAutospacing="0" w:line="360" w:lineRule="auto"/>
        <w:jc w:val="both"/>
        <w:rPr>
          <w:bCs w:val="0"/>
          <w:kern w:val="2"/>
          <w:sz w:val="21"/>
          <w:szCs w:val="21"/>
        </w:rPr>
      </w:pPr>
      <w:bookmarkStart w:id="736" w:name="_Toc532377248"/>
      <w:bookmarkStart w:id="737" w:name="_Toc351203562"/>
      <w:bookmarkStart w:id="738" w:name="_Toc532375595"/>
      <w:r>
        <w:rPr>
          <w:rFonts w:hint="eastAsia"/>
          <w:kern w:val="2"/>
          <w:sz w:val="21"/>
          <w:szCs w:val="21"/>
        </w:rPr>
        <w:t>9</w:t>
      </w:r>
      <w:bookmarkStart w:id="739" w:name="_Toc337558782"/>
      <w:bookmarkStart w:id="740" w:name="_Toc296503083"/>
      <w:bookmarkStart w:id="741" w:name="_Toc296346584"/>
      <w:r>
        <w:rPr>
          <w:rFonts w:hint="eastAsia"/>
          <w:kern w:val="2"/>
          <w:sz w:val="21"/>
          <w:szCs w:val="21"/>
        </w:rPr>
        <w:t>. 试验与检验</w:t>
      </w:r>
      <w:bookmarkEnd w:id="736"/>
      <w:bookmarkEnd w:id="737"/>
      <w:bookmarkEnd w:id="738"/>
    </w:p>
    <w:bookmarkEnd w:id="739"/>
    <w:p w14:paraId="7C51D75C">
      <w:pPr>
        <w:pStyle w:val="7"/>
        <w:spacing w:before="0" w:beforeAutospacing="0" w:after="0" w:afterAutospacing="0" w:line="360" w:lineRule="auto"/>
        <w:ind w:firstLine="422" w:firstLineChars="200"/>
        <w:rPr>
          <w:sz w:val="21"/>
          <w:szCs w:val="21"/>
        </w:rPr>
      </w:pPr>
      <w:bookmarkStart w:id="742" w:name="_Toc532377249"/>
      <w:bookmarkStart w:id="743" w:name="_Toc351203563"/>
      <w:r>
        <w:rPr>
          <w:rFonts w:hint="eastAsia"/>
          <w:sz w:val="21"/>
          <w:szCs w:val="21"/>
        </w:rPr>
        <w:t>9</w:t>
      </w:r>
      <w:bookmarkStart w:id="744" w:name="_Toc337558783"/>
      <w:r>
        <w:rPr>
          <w:rFonts w:hint="eastAsia"/>
          <w:sz w:val="21"/>
          <w:szCs w:val="21"/>
        </w:rPr>
        <w:t>.1试验设备与试验人员</w:t>
      </w:r>
      <w:bookmarkEnd w:id="742"/>
      <w:bookmarkEnd w:id="743"/>
    </w:p>
    <w:bookmarkEnd w:id="744"/>
    <w:p w14:paraId="6B9F8D45">
      <w:pPr>
        <w:spacing w:line="360" w:lineRule="auto"/>
        <w:ind w:firstLine="420" w:firstLineChars="200"/>
        <w:jc w:val="left"/>
        <w:rPr>
          <w:rFonts w:ascii="宋体" w:hAnsi="宋体"/>
          <w:kern w:val="0"/>
          <w:szCs w:val="21"/>
        </w:rPr>
      </w:pPr>
      <w:r>
        <w:rPr>
          <w:rFonts w:hint="eastAsia" w:ascii="宋体" w:hAnsi="宋体"/>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AABDDFA">
      <w:pPr>
        <w:spacing w:line="360" w:lineRule="auto"/>
        <w:ind w:firstLine="420" w:firstLineChars="200"/>
        <w:jc w:val="left"/>
        <w:rPr>
          <w:rFonts w:ascii="宋体" w:hAnsi="宋体"/>
          <w:kern w:val="0"/>
          <w:szCs w:val="21"/>
        </w:rPr>
      </w:pPr>
      <w:r>
        <w:rPr>
          <w:rFonts w:hint="eastAsia" w:ascii="宋体" w:hAnsi="宋体"/>
          <w:kern w:val="0"/>
          <w:szCs w:val="21"/>
        </w:rPr>
        <w:t>9.1.2 承包人应按专用合同条款的约定提供试验设备、取样装置、试验场所和试验条件，并向监理人提交相应进场计划表。</w:t>
      </w:r>
    </w:p>
    <w:p w14:paraId="603E65FF">
      <w:pPr>
        <w:spacing w:line="360" w:lineRule="auto"/>
        <w:ind w:firstLine="420" w:firstLineChars="200"/>
        <w:jc w:val="left"/>
        <w:rPr>
          <w:rFonts w:ascii="宋体" w:hAnsi="宋体"/>
          <w:kern w:val="0"/>
          <w:szCs w:val="21"/>
        </w:rPr>
      </w:pPr>
      <w:r>
        <w:rPr>
          <w:rFonts w:hint="eastAsia" w:ascii="宋体" w:hAnsi="宋体"/>
          <w:kern w:val="0"/>
          <w:szCs w:val="21"/>
        </w:rPr>
        <w:t>承包人配置的试验设备要符合相应试验规程的要求并经过具有资质的检测单位检测，且在正式使用该试验设备前，需要经过监理人与承包人共同校定。</w:t>
      </w:r>
    </w:p>
    <w:p w14:paraId="52FC361E">
      <w:pPr>
        <w:spacing w:line="360" w:lineRule="auto"/>
        <w:ind w:firstLine="420" w:firstLineChars="200"/>
        <w:jc w:val="left"/>
        <w:rPr>
          <w:rFonts w:ascii="宋体" w:hAnsi="宋体"/>
          <w:kern w:val="0"/>
          <w:szCs w:val="21"/>
        </w:rPr>
      </w:pPr>
      <w:r>
        <w:rPr>
          <w:rFonts w:hint="eastAsia" w:ascii="宋体" w:hAnsi="宋体"/>
          <w:kern w:val="0"/>
          <w:szCs w:val="21"/>
        </w:rPr>
        <w:t>9.1.3 承包人应向监理人提交试验人员的名单及其岗位、资格等证明资料，试验人员必须能够熟练进行相应的检测试验，承包人对试验人员的试验程序和试验结果的正确性负责。</w:t>
      </w:r>
    </w:p>
    <w:p w14:paraId="2F4567BC">
      <w:pPr>
        <w:pStyle w:val="7"/>
        <w:spacing w:before="0" w:beforeAutospacing="0" w:after="0" w:afterAutospacing="0" w:line="360" w:lineRule="auto"/>
        <w:ind w:firstLine="422" w:firstLineChars="200"/>
        <w:rPr>
          <w:sz w:val="21"/>
          <w:szCs w:val="21"/>
        </w:rPr>
      </w:pPr>
      <w:bookmarkStart w:id="745" w:name="_Toc532377250"/>
      <w:bookmarkStart w:id="746" w:name="_Toc351203564"/>
      <w:r>
        <w:rPr>
          <w:rFonts w:hint="eastAsia"/>
          <w:sz w:val="21"/>
          <w:szCs w:val="21"/>
        </w:rPr>
        <w:t>9</w:t>
      </w:r>
      <w:bookmarkStart w:id="747" w:name="_Toc337558784"/>
      <w:r>
        <w:rPr>
          <w:rFonts w:hint="eastAsia"/>
          <w:sz w:val="21"/>
          <w:szCs w:val="21"/>
        </w:rPr>
        <w:t>.2取样</w:t>
      </w:r>
      <w:bookmarkEnd w:id="745"/>
      <w:bookmarkEnd w:id="746"/>
    </w:p>
    <w:bookmarkEnd w:id="747"/>
    <w:p w14:paraId="488458DA">
      <w:pPr>
        <w:spacing w:line="360" w:lineRule="auto"/>
        <w:ind w:firstLine="420" w:firstLineChars="200"/>
        <w:jc w:val="left"/>
        <w:rPr>
          <w:rFonts w:ascii="宋体" w:hAnsi="宋体"/>
          <w:kern w:val="0"/>
          <w:szCs w:val="21"/>
        </w:rPr>
      </w:pPr>
      <w:r>
        <w:rPr>
          <w:rFonts w:hint="eastAsia" w:ascii="宋体" w:hAnsi="宋体"/>
          <w:kern w:val="0"/>
          <w:szCs w:val="21"/>
        </w:rPr>
        <w:t>试验属于自检性质的，承包人可以单独取样。试验属于监理人抽检性质的，可由监理人取样，也可由承包人的试验人员在监理人的监督下取样。</w:t>
      </w:r>
    </w:p>
    <w:p w14:paraId="66EE7816">
      <w:pPr>
        <w:pStyle w:val="7"/>
        <w:spacing w:before="0" w:beforeAutospacing="0" w:after="0" w:afterAutospacing="0" w:line="360" w:lineRule="auto"/>
        <w:ind w:firstLine="422" w:firstLineChars="200"/>
        <w:rPr>
          <w:sz w:val="21"/>
          <w:szCs w:val="21"/>
        </w:rPr>
      </w:pPr>
      <w:bookmarkStart w:id="748" w:name="_Toc532377251"/>
      <w:bookmarkStart w:id="749" w:name="_Toc351203565"/>
      <w:r>
        <w:rPr>
          <w:rFonts w:hint="eastAsia"/>
          <w:sz w:val="21"/>
          <w:szCs w:val="21"/>
        </w:rPr>
        <w:t>9</w:t>
      </w:r>
      <w:bookmarkStart w:id="750" w:name="_Toc337558785"/>
      <w:r>
        <w:rPr>
          <w:rFonts w:hint="eastAsia"/>
          <w:sz w:val="21"/>
          <w:szCs w:val="21"/>
        </w:rPr>
        <w:t>.3材料、工程设备和工程的试验和检验</w:t>
      </w:r>
      <w:bookmarkEnd w:id="748"/>
      <w:bookmarkEnd w:id="749"/>
    </w:p>
    <w:bookmarkEnd w:id="750"/>
    <w:p w14:paraId="02F9A7C8">
      <w:pPr>
        <w:spacing w:line="360" w:lineRule="auto"/>
        <w:ind w:firstLine="420" w:firstLineChars="200"/>
        <w:jc w:val="left"/>
        <w:rPr>
          <w:rFonts w:ascii="宋体" w:hAnsi="宋体"/>
          <w:kern w:val="0"/>
          <w:szCs w:val="21"/>
        </w:rPr>
      </w:pPr>
      <w:r>
        <w:rPr>
          <w:rFonts w:hint="eastAsia" w:ascii="宋体" w:hAnsi="宋体"/>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A8C0745">
      <w:pPr>
        <w:spacing w:line="360" w:lineRule="auto"/>
        <w:ind w:firstLine="420" w:firstLineChars="200"/>
        <w:jc w:val="left"/>
        <w:rPr>
          <w:rFonts w:ascii="宋体" w:hAnsi="宋体"/>
          <w:kern w:val="0"/>
          <w:szCs w:val="21"/>
        </w:rPr>
      </w:pPr>
      <w:r>
        <w:rPr>
          <w:rFonts w:hint="eastAsia" w:ascii="宋体" w:hAnsi="宋体"/>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9B38911">
      <w:pPr>
        <w:spacing w:line="360" w:lineRule="auto"/>
        <w:ind w:firstLine="420" w:firstLineChars="200"/>
        <w:jc w:val="left"/>
        <w:rPr>
          <w:rFonts w:ascii="宋体" w:hAnsi="宋体"/>
          <w:kern w:val="0"/>
          <w:szCs w:val="21"/>
        </w:rPr>
      </w:pPr>
      <w:r>
        <w:rPr>
          <w:rFonts w:hint="eastAsia" w:ascii="宋体" w:hAnsi="宋体"/>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C8BBFC4">
      <w:pPr>
        <w:pStyle w:val="7"/>
        <w:spacing w:before="0" w:beforeAutospacing="0" w:after="0" w:afterAutospacing="0" w:line="360" w:lineRule="auto"/>
        <w:ind w:firstLine="422" w:firstLineChars="200"/>
        <w:rPr>
          <w:sz w:val="21"/>
          <w:szCs w:val="21"/>
        </w:rPr>
      </w:pPr>
      <w:bookmarkStart w:id="751" w:name="_Toc532377252"/>
      <w:bookmarkStart w:id="752" w:name="_Toc351203566"/>
      <w:r>
        <w:rPr>
          <w:rFonts w:hint="eastAsia"/>
          <w:sz w:val="21"/>
          <w:szCs w:val="21"/>
        </w:rPr>
        <w:t>9</w:t>
      </w:r>
      <w:bookmarkStart w:id="753" w:name="_Toc337558786"/>
      <w:r>
        <w:rPr>
          <w:rFonts w:hint="eastAsia"/>
          <w:sz w:val="21"/>
          <w:szCs w:val="21"/>
        </w:rPr>
        <w:t>.4现场工艺试验</w:t>
      </w:r>
      <w:bookmarkEnd w:id="751"/>
      <w:bookmarkEnd w:id="752"/>
    </w:p>
    <w:bookmarkEnd w:id="753"/>
    <w:p w14:paraId="36E1C181">
      <w:pPr>
        <w:spacing w:line="360" w:lineRule="auto"/>
        <w:ind w:firstLine="420" w:firstLineChars="200"/>
        <w:jc w:val="left"/>
        <w:rPr>
          <w:rFonts w:ascii="宋体" w:hAnsi="宋体"/>
          <w:kern w:val="0"/>
          <w:szCs w:val="21"/>
        </w:rPr>
      </w:pPr>
      <w:r>
        <w:rPr>
          <w:rFonts w:hint="eastAsia" w:ascii="宋体" w:hAnsi="宋体"/>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2A9AB413">
      <w:pPr>
        <w:pStyle w:val="6"/>
        <w:keepNext/>
        <w:keepLines/>
        <w:spacing w:before="156" w:beforeLines="50" w:beforeAutospacing="0" w:after="156" w:afterLines="50" w:afterAutospacing="0" w:line="360" w:lineRule="auto"/>
        <w:jc w:val="both"/>
        <w:rPr>
          <w:bCs w:val="0"/>
          <w:kern w:val="2"/>
          <w:sz w:val="21"/>
          <w:szCs w:val="21"/>
        </w:rPr>
      </w:pPr>
      <w:bookmarkStart w:id="754" w:name="_Toc532375596"/>
      <w:bookmarkStart w:id="755" w:name="_Toc532377253"/>
      <w:bookmarkStart w:id="756" w:name="_Toc351203567"/>
      <w:r>
        <w:rPr>
          <w:rFonts w:hint="eastAsia"/>
          <w:kern w:val="2"/>
          <w:sz w:val="21"/>
          <w:szCs w:val="21"/>
        </w:rPr>
        <w:t>1</w:t>
      </w:r>
      <w:bookmarkStart w:id="757" w:name="_Toc337558787"/>
      <w:r>
        <w:rPr>
          <w:rFonts w:hint="eastAsia"/>
          <w:kern w:val="2"/>
          <w:sz w:val="21"/>
          <w:szCs w:val="21"/>
        </w:rPr>
        <w:t>0. 变更</w:t>
      </w:r>
      <w:bookmarkEnd w:id="740"/>
      <w:bookmarkEnd w:id="741"/>
      <w:bookmarkEnd w:id="754"/>
      <w:bookmarkEnd w:id="755"/>
      <w:bookmarkEnd w:id="756"/>
    </w:p>
    <w:bookmarkEnd w:id="757"/>
    <w:p w14:paraId="656CB43A">
      <w:pPr>
        <w:pStyle w:val="7"/>
        <w:spacing w:before="0" w:beforeAutospacing="0" w:after="0" w:afterAutospacing="0" w:line="360" w:lineRule="auto"/>
        <w:ind w:firstLine="422" w:firstLineChars="200"/>
        <w:rPr>
          <w:sz w:val="21"/>
          <w:szCs w:val="21"/>
        </w:rPr>
      </w:pPr>
      <w:bookmarkStart w:id="758" w:name="_Toc351203568"/>
      <w:bookmarkStart w:id="759" w:name="_Toc532377254"/>
      <w:r>
        <w:rPr>
          <w:rFonts w:hint="eastAsia"/>
          <w:sz w:val="21"/>
          <w:szCs w:val="21"/>
        </w:rPr>
        <w:t>1</w:t>
      </w:r>
      <w:bookmarkStart w:id="760" w:name="_Toc337558788"/>
      <w:bookmarkStart w:id="761" w:name="_Toc296346585"/>
      <w:bookmarkStart w:id="762" w:name="_Toc296503084"/>
      <w:r>
        <w:rPr>
          <w:rFonts w:hint="eastAsia"/>
          <w:sz w:val="21"/>
          <w:szCs w:val="21"/>
        </w:rPr>
        <w:t>0.1变更的范围</w:t>
      </w:r>
      <w:bookmarkEnd w:id="758"/>
      <w:bookmarkEnd w:id="759"/>
    </w:p>
    <w:bookmarkEnd w:id="760"/>
    <w:bookmarkEnd w:id="761"/>
    <w:bookmarkEnd w:id="762"/>
    <w:p w14:paraId="44EBBA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除专用合同条款另有约定外，合同履行过程中发生以下情形的，应按照本条约定进行变更：</w:t>
      </w:r>
    </w:p>
    <w:p w14:paraId="2C7992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（1）增加或减少合同中任何工作，或追加额外的工作；</w:t>
      </w:r>
    </w:p>
    <w:p w14:paraId="03DF06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（2）取消合同中任何工作，但转由他人实施的工作除外；</w:t>
      </w:r>
    </w:p>
    <w:p w14:paraId="55B385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（3）改变合同中任何工作的质量标准或其他特性；</w:t>
      </w:r>
    </w:p>
    <w:p w14:paraId="79257F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（4）改变工程的基线、标高、位置和尺寸；</w:t>
      </w:r>
    </w:p>
    <w:p w14:paraId="110A98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（5）改变工程的时间安排或实施顺序。</w:t>
      </w:r>
    </w:p>
    <w:p w14:paraId="55B17119">
      <w:pPr>
        <w:pStyle w:val="7"/>
        <w:spacing w:before="0" w:beforeAutospacing="0" w:after="0" w:afterAutospacing="0" w:line="360" w:lineRule="auto"/>
        <w:ind w:firstLine="422" w:firstLineChars="200"/>
        <w:rPr>
          <w:sz w:val="21"/>
          <w:szCs w:val="21"/>
        </w:rPr>
      </w:pPr>
      <w:bookmarkStart w:id="763" w:name="_Toc532377255"/>
      <w:r>
        <w:rPr>
          <w:rFonts w:hint="eastAsia"/>
          <w:sz w:val="21"/>
          <w:szCs w:val="21"/>
        </w:rPr>
        <w:t>10.2变更权</w:t>
      </w:r>
      <w:bookmarkEnd w:id="763"/>
    </w:p>
    <w:p w14:paraId="522F83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D93EC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涉及设计变更的，应由设计人提供变更后的图纸和说明。如变更超过原设计标准或批准的建设规模时，发包人应及时办理规划、设计变更等审批手续。</w:t>
      </w:r>
    </w:p>
    <w:p w14:paraId="03D314C1">
      <w:pPr>
        <w:pStyle w:val="7"/>
        <w:spacing w:before="0" w:beforeAutospacing="0" w:after="0" w:afterAutospacing="0" w:line="360" w:lineRule="auto"/>
        <w:ind w:firstLine="422" w:firstLineChars="200"/>
        <w:rPr>
          <w:sz w:val="21"/>
          <w:szCs w:val="21"/>
        </w:rPr>
      </w:pPr>
      <w:bookmarkStart w:id="764" w:name="_Toc532377256"/>
      <w:r>
        <w:rPr>
          <w:rFonts w:hint="eastAsia"/>
          <w:sz w:val="21"/>
          <w:szCs w:val="21"/>
        </w:rPr>
        <w:t>10.3变更程序</w:t>
      </w:r>
      <w:bookmarkEnd w:id="764"/>
    </w:p>
    <w:p w14:paraId="02C210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10.3.1 发包人提出变更</w:t>
      </w:r>
    </w:p>
    <w:p w14:paraId="0EB70C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发包人提出变更的，应通过监理人向承包人发出变更指示，变更指示应说明计划变更的工程范围和变更的内容。</w:t>
      </w:r>
    </w:p>
    <w:p w14:paraId="5FA651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10.3.2 监理人提出变更建议</w:t>
      </w:r>
    </w:p>
    <w:p w14:paraId="66E0D2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34DD79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10.3.3 变更执行</w:t>
      </w:r>
    </w:p>
    <w:p w14:paraId="4FB604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04CB863">
      <w:pPr>
        <w:pStyle w:val="7"/>
        <w:spacing w:before="0" w:beforeAutospacing="0" w:after="0" w:afterAutospacing="0" w:line="360" w:lineRule="auto"/>
        <w:ind w:firstLine="422" w:firstLineChars="200"/>
        <w:rPr>
          <w:sz w:val="21"/>
          <w:szCs w:val="21"/>
        </w:rPr>
      </w:pPr>
      <w:bookmarkStart w:id="765" w:name="_Toc532377257"/>
      <w:bookmarkStart w:id="766" w:name="_Toc351203571"/>
      <w:r>
        <w:rPr>
          <w:rFonts w:hint="eastAsia"/>
          <w:sz w:val="21"/>
          <w:szCs w:val="21"/>
        </w:rPr>
        <w:t>1</w:t>
      </w:r>
      <w:bookmarkStart w:id="767" w:name="_Toc337558791"/>
      <w:bookmarkStart w:id="768" w:name="_Toc296346588"/>
      <w:bookmarkStart w:id="769" w:name="_Toc296503087"/>
      <w:r>
        <w:rPr>
          <w:rFonts w:hint="eastAsia"/>
          <w:sz w:val="21"/>
          <w:szCs w:val="21"/>
        </w:rPr>
        <w:t>0.4变更估价</w:t>
      </w:r>
      <w:bookmarkEnd w:id="765"/>
      <w:bookmarkEnd w:id="766"/>
    </w:p>
    <w:bookmarkEnd w:id="767"/>
    <w:bookmarkEnd w:id="768"/>
    <w:bookmarkEnd w:id="769"/>
    <w:p w14:paraId="000C5E4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10.4.1 变更估价原则</w:t>
      </w:r>
    </w:p>
    <w:p w14:paraId="4E0AA4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除专用合同条款另有约定外，变更估价按照本款约定处理：</w:t>
      </w:r>
    </w:p>
    <w:p w14:paraId="61F7299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（1）已标价工程量清单或预算书有相同项目的，按照相同项目单价认定；</w:t>
      </w:r>
    </w:p>
    <w:p w14:paraId="199ADA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（2）已标价工程量清单或预算书中无相同项目，但有类似项目的，参照类似项目的单价认定；</w:t>
      </w:r>
    </w:p>
    <w:p w14:paraId="11C9D3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09A5B27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10.4.2 变更估价程序</w:t>
      </w:r>
    </w:p>
    <w:p w14:paraId="757914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4147C1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因变更引起的价格调整应计入最近一期的进度款中支付。</w:t>
      </w:r>
    </w:p>
    <w:p w14:paraId="1EACF05A">
      <w:pPr>
        <w:pStyle w:val="7"/>
        <w:spacing w:before="0" w:beforeAutospacing="0" w:after="0" w:afterAutospacing="0" w:line="360" w:lineRule="auto"/>
        <w:ind w:firstLine="422" w:firstLineChars="200"/>
        <w:rPr>
          <w:sz w:val="21"/>
          <w:szCs w:val="21"/>
        </w:rPr>
      </w:pPr>
      <w:bookmarkStart w:id="770" w:name="_Toc351203572"/>
      <w:bookmarkStart w:id="771" w:name="_Toc532377258"/>
      <w:r>
        <w:rPr>
          <w:rFonts w:hint="eastAsia"/>
          <w:sz w:val="21"/>
          <w:szCs w:val="21"/>
        </w:rPr>
        <w:t>1</w:t>
      </w:r>
      <w:bookmarkStart w:id="772" w:name="_Toc337558792"/>
      <w:bookmarkStart w:id="773" w:name="_Toc296346595"/>
      <w:bookmarkStart w:id="774" w:name="_Toc296503094"/>
      <w:r>
        <w:rPr>
          <w:rFonts w:hint="eastAsia"/>
          <w:sz w:val="21"/>
          <w:szCs w:val="21"/>
        </w:rPr>
        <w:t>0.5承包人的合理化建议</w:t>
      </w:r>
      <w:bookmarkEnd w:id="770"/>
      <w:bookmarkEnd w:id="771"/>
    </w:p>
    <w:bookmarkEnd w:id="772"/>
    <w:bookmarkEnd w:id="773"/>
    <w:bookmarkEnd w:id="774"/>
    <w:p w14:paraId="1958947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承包人提出合理化建议的，应向监理人提交合理化建议说明，说明建议的内容和理由，以及实施该建议对合同价格和工期的影响。</w:t>
      </w:r>
    </w:p>
    <w:p w14:paraId="4F96461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45DADF0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合理化建议降低了合同价格或者提高了工程经济效益的，发包人可对承包人给予奖励，奖励的方法和金额在专用合同条款中约定。</w:t>
      </w:r>
    </w:p>
    <w:p w14:paraId="57AE8038">
      <w:pPr>
        <w:pStyle w:val="7"/>
        <w:spacing w:before="0" w:beforeAutospacing="0" w:after="0" w:afterAutospacing="0" w:line="360" w:lineRule="auto"/>
        <w:ind w:firstLine="422" w:firstLineChars="200"/>
        <w:rPr>
          <w:sz w:val="21"/>
          <w:szCs w:val="21"/>
        </w:rPr>
      </w:pPr>
      <w:bookmarkStart w:id="775" w:name="_Toc532377259"/>
      <w:bookmarkStart w:id="776" w:name="_Toc351203573"/>
      <w:r>
        <w:rPr>
          <w:rFonts w:hint="eastAsia"/>
          <w:sz w:val="21"/>
          <w:szCs w:val="21"/>
        </w:rPr>
        <w:t>1</w:t>
      </w:r>
      <w:bookmarkStart w:id="777" w:name="_Toc337558793"/>
      <w:r>
        <w:rPr>
          <w:rFonts w:hint="eastAsia"/>
          <w:sz w:val="21"/>
          <w:szCs w:val="21"/>
        </w:rPr>
        <w:t>0.6变更引起的工期调整</w:t>
      </w:r>
      <w:bookmarkEnd w:id="775"/>
      <w:bookmarkEnd w:id="776"/>
      <w:bookmarkEnd w:id="777"/>
    </w:p>
    <w:p w14:paraId="4743FD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因变更引起工期变化的，合同当事人均可要求调整合同工期，由合同当事人按照第4.4款〔商定或确定〕并参考工程所在地的工期定额标准确定增减工期天数。</w:t>
      </w:r>
    </w:p>
    <w:p w14:paraId="223EE95A">
      <w:pPr>
        <w:pStyle w:val="7"/>
        <w:spacing w:before="0" w:beforeAutospacing="0" w:after="0" w:afterAutospacing="0" w:line="360" w:lineRule="auto"/>
        <w:ind w:firstLine="422" w:firstLineChars="200"/>
        <w:rPr>
          <w:sz w:val="21"/>
          <w:szCs w:val="21"/>
        </w:rPr>
      </w:pPr>
      <w:bookmarkStart w:id="778" w:name="_Toc351203574"/>
      <w:bookmarkStart w:id="779" w:name="_Toc532377260"/>
      <w:r>
        <w:rPr>
          <w:rFonts w:hint="eastAsia"/>
          <w:sz w:val="21"/>
          <w:szCs w:val="21"/>
        </w:rPr>
        <w:t>10.7暂估价</w:t>
      </w:r>
      <w:bookmarkEnd w:id="778"/>
      <w:bookmarkEnd w:id="779"/>
    </w:p>
    <w:p w14:paraId="016F3E8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暂估价专业分包工程、服务、材料和工程设备的明细由合同当事人在专用合同条款中约定。</w:t>
      </w:r>
    </w:p>
    <w:p w14:paraId="3256D7F4">
      <w:pPr>
        <w:spacing w:line="360" w:lineRule="auto"/>
        <w:ind w:firstLine="420" w:firstLineChars="200"/>
        <w:jc w:val="left"/>
        <w:rPr>
          <w:rFonts w:ascii="宋体" w:hAnsi="宋体"/>
          <w:kern w:val="0"/>
          <w:szCs w:val="21"/>
        </w:rPr>
      </w:pPr>
      <w:r>
        <w:rPr>
          <w:rFonts w:hint="eastAsia" w:ascii="宋体" w:hAnsi="宋体"/>
          <w:kern w:val="0"/>
          <w:szCs w:val="21"/>
        </w:rPr>
        <w:t>10.7.1 依法必须采购的暂估价项目</w:t>
      </w:r>
    </w:p>
    <w:p w14:paraId="554FA6B3">
      <w:pPr>
        <w:spacing w:line="360" w:lineRule="auto"/>
        <w:ind w:firstLine="420" w:firstLineChars="200"/>
        <w:jc w:val="left"/>
        <w:rPr>
          <w:rFonts w:ascii="宋体" w:hAnsi="宋体"/>
          <w:kern w:val="0"/>
          <w:szCs w:val="21"/>
        </w:rPr>
      </w:pPr>
      <w:r>
        <w:rPr>
          <w:rFonts w:hint="eastAsia" w:ascii="宋体" w:hAnsi="宋体"/>
          <w:kern w:val="0"/>
          <w:szCs w:val="21"/>
        </w:rPr>
        <w:t>对于依法必须采购的暂估价项目，采取以下第1种方式确定。合同当事人也可以在专用合同条款中选择其他采购方式。</w:t>
      </w:r>
    </w:p>
    <w:p w14:paraId="1B6A8560">
      <w:pPr>
        <w:spacing w:line="360" w:lineRule="auto"/>
        <w:ind w:firstLine="420" w:firstLineChars="200"/>
        <w:jc w:val="left"/>
        <w:rPr>
          <w:rFonts w:ascii="宋体" w:hAnsi="宋体"/>
          <w:kern w:val="0"/>
          <w:szCs w:val="21"/>
        </w:rPr>
      </w:pPr>
      <w:r>
        <w:rPr>
          <w:rFonts w:hint="eastAsia" w:ascii="宋体" w:hAnsi="宋体"/>
          <w:kern w:val="0"/>
          <w:szCs w:val="21"/>
        </w:rPr>
        <w:t>第1种方式：对于依法必须采购的暂估价项目，由承包人采购，对该暂估价项目的确认和批准按照以下约定执行：</w:t>
      </w:r>
    </w:p>
    <w:p w14:paraId="09E62D70">
      <w:pPr>
        <w:spacing w:line="360" w:lineRule="auto"/>
        <w:ind w:firstLine="420" w:firstLineChars="200"/>
        <w:jc w:val="left"/>
        <w:rPr>
          <w:rFonts w:ascii="宋体" w:hAnsi="宋体"/>
          <w:kern w:val="0"/>
          <w:szCs w:val="21"/>
        </w:rPr>
      </w:pPr>
      <w:r>
        <w:rPr>
          <w:rFonts w:hint="eastAsia" w:ascii="宋体" w:hAnsi="宋体"/>
          <w:kern w:val="0"/>
          <w:szCs w:val="21"/>
        </w:rPr>
        <w:t>（1）承包人应当根据施工进度计划，在采购工作启动前14天将采购方案通过监理人报送发包人审查，发包人应当在收到承包人报送的采购方案后7天内批准或提出修改意见。承包人应当按照经过发包人批准的采购方案开展采购工作；</w:t>
      </w:r>
    </w:p>
    <w:p w14:paraId="330D7B4E">
      <w:pPr>
        <w:spacing w:line="360" w:lineRule="auto"/>
        <w:ind w:firstLine="420" w:firstLineChars="200"/>
        <w:jc w:val="left"/>
        <w:rPr>
          <w:rFonts w:ascii="宋体" w:hAnsi="宋体"/>
          <w:kern w:val="0"/>
          <w:szCs w:val="21"/>
        </w:rPr>
      </w:pPr>
      <w:r>
        <w:rPr>
          <w:rFonts w:hint="eastAsia" w:ascii="宋体" w:hAnsi="宋体"/>
          <w:kern w:val="0"/>
          <w:szCs w:val="21"/>
        </w:rPr>
        <w:t>（2）承包人应当根据施工进度计划，提前14天将采购文件通过监理人报送发包人审批，发包人应当在收到承包人报送的相关文件后7天内完成审批或提出修改意见；发包人有权确定最高限价并按照法律规定参加评标；</w:t>
      </w:r>
    </w:p>
    <w:p w14:paraId="711ECF4C">
      <w:pPr>
        <w:spacing w:line="360" w:lineRule="auto"/>
        <w:ind w:firstLine="420" w:firstLineChars="200"/>
        <w:jc w:val="left"/>
        <w:rPr>
          <w:rFonts w:ascii="宋体" w:hAnsi="宋体"/>
          <w:kern w:val="0"/>
          <w:szCs w:val="21"/>
        </w:rPr>
      </w:pPr>
      <w:r>
        <w:rPr>
          <w:rFonts w:hint="eastAsia" w:ascii="宋体" w:hAnsi="宋体"/>
          <w:kern w:val="0"/>
          <w:szCs w:val="21"/>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D74A975">
      <w:pPr>
        <w:spacing w:line="360" w:lineRule="auto"/>
        <w:ind w:firstLine="420" w:firstLineChars="200"/>
        <w:jc w:val="left"/>
        <w:rPr>
          <w:rFonts w:ascii="宋体" w:hAnsi="宋体"/>
          <w:kern w:val="0"/>
          <w:szCs w:val="21"/>
        </w:rPr>
      </w:pPr>
      <w:r>
        <w:rPr>
          <w:rFonts w:hint="eastAsia" w:ascii="宋体" w:hAnsi="宋体"/>
          <w:kern w:val="0"/>
          <w:szCs w:val="21"/>
        </w:rPr>
        <w:t>第2种方式：对于依法必须采购的暂估价项目，由发包人和承包人共同采购确定暂估价供应商或分包人的，承包人应按照施工进度计划，在采购工作启动前14天通知发包人，并提交暂估价采购方案和工作分工。发包人应在收到后7天内确认。确定中标人后，由发包人、承包人与中标人共同签订暂估价合同。</w:t>
      </w:r>
    </w:p>
    <w:p w14:paraId="03156493">
      <w:pPr>
        <w:spacing w:line="360" w:lineRule="auto"/>
        <w:ind w:firstLine="420" w:firstLineChars="200"/>
        <w:jc w:val="left"/>
        <w:rPr>
          <w:rFonts w:ascii="宋体" w:hAnsi="宋体"/>
          <w:kern w:val="0"/>
          <w:szCs w:val="21"/>
        </w:rPr>
      </w:pPr>
      <w:r>
        <w:rPr>
          <w:rFonts w:hint="eastAsia" w:ascii="宋体" w:hAnsi="宋体"/>
          <w:kern w:val="0"/>
          <w:szCs w:val="21"/>
        </w:rPr>
        <w:t>10.7.2不属于依法必须采购的暂估价项目</w:t>
      </w:r>
    </w:p>
    <w:p w14:paraId="351DDF76">
      <w:pPr>
        <w:spacing w:line="360" w:lineRule="auto"/>
        <w:ind w:firstLine="420" w:firstLineChars="200"/>
        <w:jc w:val="left"/>
        <w:rPr>
          <w:rFonts w:ascii="宋体" w:hAnsi="宋体"/>
          <w:kern w:val="0"/>
          <w:szCs w:val="21"/>
        </w:rPr>
      </w:pPr>
      <w:r>
        <w:rPr>
          <w:rFonts w:hint="eastAsia" w:ascii="宋体" w:hAnsi="宋体"/>
          <w:kern w:val="0"/>
          <w:szCs w:val="21"/>
        </w:rPr>
        <w:t xml:space="preserve">除专用合同条款另有约定外，对于不属于依法必须采购的暂估价项目，采取以下第1种方式确定： </w:t>
      </w:r>
    </w:p>
    <w:p w14:paraId="7B91D192">
      <w:pPr>
        <w:spacing w:line="360" w:lineRule="auto"/>
        <w:ind w:firstLine="420" w:firstLineChars="200"/>
        <w:jc w:val="left"/>
        <w:rPr>
          <w:rFonts w:ascii="宋体" w:hAnsi="宋体"/>
          <w:kern w:val="0"/>
          <w:szCs w:val="21"/>
        </w:rPr>
      </w:pPr>
      <w:r>
        <w:rPr>
          <w:rFonts w:hint="eastAsia" w:ascii="宋体" w:hAnsi="宋体"/>
          <w:kern w:val="0"/>
          <w:szCs w:val="21"/>
        </w:rPr>
        <w:t>第1种方式：对于不属于依法必须采购的暂估价项目，按本项约定确认和批准：</w:t>
      </w:r>
    </w:p>
    <w:p w14:paraId="2AAD4EE9">
      <w:pPr>
        <w:spacing w:line="360" w:lineRule="auto"/>
        <w:ind w:firstLine="420" w:firstLineChars="200"/>
        <w:jc w:val="left"/>
        <w:rPr>
          <w:rFonts w:ascii="宋体" w:hAnsi="宋体"/>
          <w:kern w:val="0"/>
          <w:szCs w:val="21"/>
        </w:rPr>
      </w:pPr>
      <w:r>
        <w:rPr>
          <w:rFonts w:hint="eastAsia" w:ascii="宋体" w:hAnsi="宋体"/>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CBF48FB">
      <w:pPr>
        <w:spacing w:line="360" w:lineRule="auto"/>
        <w:ind w:firstLine="420" w:firstLineChars="200"/>
        <w:jc w:val="left"/>
        <w:rPr>
          <w:rFonts w:ascii="宋体" w:hAnsi="宋体"/>
          <w:kern w:val="0"/>
          <w:szCs w:val="21"/>
        </w:rPr>
      </w:pPr>
      <w:r>
        <w:rPr>
          <w:rFonts w:hint="eastAsia" w:ascii="宋体" w:hAnsi="宋体"/>
          <w:kern w:val="0"/>
          <w:szCs w:val="21"/>
        </w:rPr>
        <w:t>（2）发包人认为承包人确定的供应商、分包人无法满足工程质量或合同要求的，发包人可以要求承包人重新确定暂估价项目的供应商、分包人;</w:t>
      </w:r>
    </w:p>
    <w:p w14:paraId="7CA4936F">
      <w:pPr>
        <w:spacing w:line="360" w:lineRule="auto"/>
        <w:ind w:firstLine="420" w:firstLineChars="200"/>
        <w:jc w:val="left"/>
        <w:rPr>
          <w:rFonts w:ascii="宋体" w:hAnsi="宋体"/>
          <w:kern w:val="0"/>
          <w:szCs w:val="21"/>
        </w:rPr>
      </w:pPr>
      <w:r>
        <w:rPr>
          <w:rFonts w:hint="eastAsia" w:ascii="宋体" w:hAnsi="宋体"/>
          <w:kern w:val="0"/>
          <w:szCs w:val="21"/>
        </w:rPr>
        <w:t>（3）承包人应当在签订暂估价合同后7天内，将暂估价合同副本报送发包人留存。</w:t>
      </w:r>
    </w:p>
    <w:p w14:paraId="4A70BC1D">
      <w:pPr>
        <w:spacing w:line="360" w:lineRule="auto"/>
        <w:ind w:firstLine="420" w:firstLineChars="200"/>
        <w:jc w:val="left"/>
        <w:rPr>
          <w:rFonts w:ascii="宋体" w:hAnsi="宋体"/>
          <w:kern w:val="0"/>
          <w:szCs w:val="21"/>
        </w:rPr>
      </w:pPr>
      <w:r>
        <w:rPr>
          <w:rFonts w:hint="eastAsia" w:ascii="宋体" w:hAnsi="宋体"/>
          <w:kern w:val="0"/>
          <w:szCs w:val="21"/>
        </w:rPr>
        <w:t>第2种方式：承包人按照第10.7.1项〔依法必须采购的暂估价项目〕约定的第1种方式确定暂估价项目。</w:t>
      </w:r>
    </w:p>
    <w:p w14:paraId="773F5703">
      <w:pPr>
        <w:spacing w:line="360" w:lineRule="auto"/>
        <w:ind w:firstLine="420" w:firstLineChars="200"/>
        <w:jc w:val="left"/>
        <w:rPr>
          <w:rFonts w:ascii="宋体" w:hAnsi="宋体"/>
          <w:kern w:val="0"/>
          <w:szCs w:val="21"/>
        </w:rPr>
      </w:pPr>
      <w:r>
        <w:rPr>
          <w:rFonts w:hint="eastAsia" w:ascii="宋体" w:hAnsi="宋体"/>
          <w:kern w:val="0"/>
          <w:szCs w:val="21"/>
        </w:rPr>
        <w:t>第3种方式：承包人直接实施的暂估价项目</w:t>
      </w:r>
    </w:p>
    <w:p w14:paraId="5C8D4B28">
      <w:pPr>
        <w:spacing w:line="360" w:lineRule="auto"/>
        <w:ind w:firstLine="420" w:firstLineChars="200"/>
        <w:jc w:val="left"/>
        <w:rPr>
          <w:rFonts w:ascii="宋体" w:hAnsi="宋体"/>
          <w:kern w:val="0"/>
          <w:szCs w:val="21"/>
        </w:rPr>
      </w:pPr>
      <w:r>
        <w:rPr>
          <w:rFonts w:hint="eastAsia" w:ascii="宋体" w:hAnsi="宋体"/>
          <w:kern w:val="0"/>
          <w:szCs w:val="21"/>
        </w:rPr>
        <w:t>承包人具备实施暂估价项目的资格和条件的，经发包人和承包人协商一致后，可由承包人自行实施暂估价项目，合同当事人可以在专用合同条款约定具体事项。</w:t>
      </w:r>
    </w:p>
    <w:p w14:paraId="021A157B">
      <w:pPr>
        <w:spacing w:line="360" w:lineRule="auto"/>
        <w:ind w:firstLine="420" w:firstLineChars="200"/>
        <w:jc w:val="left"/>
        <w:rPr>
          <w:rFonts w:ascii="宋体" w:hAnsi="宋体"/>
          <w:kern w:val="0"/>
          <w:szCs w:val="21"/>
        </w:rPr>
      </w:pPr>
      <w:r>
        <w:rPr>
          <w:rFonts w:hint="eastAsia" w:ascii="宋体" w:hAnsi="宋体"/>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7AE33DFA">
      <w:pPr>
        <w:pStyle w:val="7"/>
        <w:spacing w:before="0" w:beforeAutospacing="0" w:after="0" w:afterAutospacing="0" w:line="360" w:lineRule="auto"/>
        <w:ind w:firstLine="422" w:firstLineChars="200"/>
        <w:rPr>
          <w:sz w:val="21"/>
          <w:szCs w:val="21"/>
        </w:rPr>
      </w:pPr>
      <w:bookmarkStart w:id="780" w:name="_Toc351203575"/>
      <w:bookmarkStart w:id="781" w:name="_Toc532377261"/>
      <w:r>
        <w:rPr>
          <w:rFonts w:hint="eastAsia"/>
          <w:sz w:val="21"/>
          <w:szCs w:val="21"/>
        </w:rPr>
        <w:t>1</w:t>
      </w:r>
      <w:bookmarkStart w:id="782" w:name="_Toc337558794"/>
      <w:bookmarkStart w:id="783" w:name="_Toc322522561"/>
      <w:bookmarkStart w:id="784" w:name="_Toc296503090"/>
      <w:bookmarkStart w:id="785" w:name="_Toc296346591"/>
      <w:r>
        <w:rPr>
          <w:rFonts w:hint="eastAsia"/>
          <w:sz w:val="21"/>
          <w:szCs w:val="21"/>
        </w:rPr>
        <w:t>0.8暂列金额</w:t>
      </w:r>
      <w:bookmarkEnd w:id="780"/>
      <w:bookmarkEnd w:id="781"/>
    </w:p>
    <w:bookmarkEnd w:id="782"/>
    <w:p w14:paraId="63333C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暂列金额应按照发包人的要求使用，发包人的要求应通过监理人发出。合同当事人可以在专用合同条款中协商确定有关事项。</w:t>
      </w:r>
    </w:p>
    <w:bookmarkEnd w:id="783"/>
    <w:bookmarkEnd w:id="784"/>
    <w:bookmarkEnd w:id="785"/>
    <w:p w14:paraId="6207490A">
      <w:pPr>
        <w:pStyle w:val="7"/>
        <w:spacing w:before="0" w:beforeAutospacing="0" w:after="0" w:afterAutospacing="0" w:line="360" w:lineRule="auto"/>
        <w:ind w:firstLine="422" w:firstLineChars="200"/>
        <w:rPr>
          <w:sz w:val="21"/>
          <w:szCs w:val="21"/>
        </w:rPr>
      </w:pPr>
      <w:bookmarkStart w:id="786" w:name="_Toc532377262"/>
      <w:bookmarkStart w:id="787" w:name="_Toc351203576"/>
      <w:r>
        <w:rPr>
          <w:rFonts w:hint="eastAsia"/>
          <w:sz w:val="21"/>
          <w:szCs w:val="21"/>
        </w:rPr>
        <w:t>1</w:t>
      </w:r>
      <w:bookmarkStart w:id="788" w:name="_Toc296346592"/>
      <w:bookmarkStart w:id="789" w:name="_Toc296503091"/>
      <w:bookmarkStart w:id="790" w:name="_Toc337558796"/>
      <w:r>
        <w:rPr>
          <w:rFonts w:hint="eastAsia"/>
          <w:sz w:val="21"/>
          <w:szCs w:val="21"/>
        </w:rPr>
        <w:t>0.9计日工</w:t>
      </w:r>
      <w:bookmarkEnd w:id="786"/>
      <w:bookmarkEnd w:id="787"/>
      <w:bookmarkEnd w:id="788"/>
      <w:bookmarkEnd w:id="789"/>
      <w:bookmarkEnd w:id="790"/>
    </w:p>
    <w:p w14:paraId="22251F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C378AB2">
      <w:pPr>
        <w:spacing w:line="360" w:lineRule="auto"/>
        <w:ind w:firstLine="420" w:firstLineChars="200"/>
        <w:jc w:val="left"/>
        <w:rPr>
          <w:rFonts w:ascii="宋体" w:hAnsi="宋体"/>
          <w:kern w:val="0"/>
          <w:szCs w:val="21"/>
        </w:rPr>
      </w:pPr>
      <w:r>
        <w:rPr>
          <w:rFonts w:hint="eastAsia" w:ascii="宋体" w:hAnsi="宋体"/>
          <w:kern w:val="0"/>
          <w:szCs w:val="21"/>
        </w:rPr>
        <w:t>采用计日工计价的任何一项工作，承包人应在该项工作实施过程中，每天提交以下报表和有关凭证报送监理人审查：</w:t>
      </w:r>
    </w:p>
    <w:p w14:paraId="3D05469D">
      <w:pPr>
        <w:spacing w:line="360" w:lineRule="auto"/>
        <w:ind w:firstLine="420" w:firstLineChars="200"/>
        <w:jc w:val="left"/>
        <w:rPr>
          <w:rFonts w:ascii="宋体" w:hAnsi="宋体"/>
          <w:kern w:val="0"/>
          <w:szCs w:val="21"/>
        </w:rPr>
      </w:pPr>
      <w:r>
        <w:rPr>
          <w:rFonts w:hint="eastAsia" w:ascii="宋体" w:hAnsi="宋体"/>
          <w:kern w:val="0"/>
          <w:szCs w:val="21"/>
        </w:rPr>
        <w:t>（1）工作名称、内容和数量；</w:t>
      </w:r>
    </w:p>
    <w:p w14:paraId="783516D7">
      <w:pPr>
        <w:spacing w:line="360" w:lineRule="auto"/>
        <w:ind w:firstLine="420" w:firstLineChars="200"/>
        <w:jc w:val="left"/>
        <w:rPr>
          <w:rFonts w:ascii="宋体" w:hAnsi="宋体"/>
          <w:kern w:val="0"/>
          <w:szCs w:val="21"/>
        </w:rPr>
      </w:pPr>
      <w:r>
        <w:rPr>
          <w:rFonts w:hint="eastAsia" w:ascii="宋体" w:hAnsi="宋体"/>
          <w:kern w:val="0"/>
          <w:szCs w:val="21"/>
        </w:rPr>
        <w:t>（2）投入该工作的所有人员的姓名、专业、工种、级别和耗用工时；</w:t>
      </w:r>
    </w:p>
    <w:p w14:paraId="257CEBCD">
      <w:pPr>
        <w:spacing w:line="360" w:lineRule="auto"/>
        <w:ind w:firstLine="420" w:firstLineChars="200"/>
        <w:jc w:val="left"/>
        <w:rPr>
          <w:rFonts w:ascii="宋体" w:hAnsi="宋体"/>
          <w:kern w:val="0"/>
          <w:szCs w:val="21"/>
        </w:rPr>
      </w:pPr>
      <w:r>
        <w:rPr>
          <w:rFonts w:hint="eastAsia" w:ascii="宋体" w:hAnsi="宋体"/>
          <w:kern w:val="0"/>
          <w:szCs w:val="21"/>
        </w:rPr>
        <w:t>（3）投入该工作的材料类别和数量；</w:t>
      </w:r>
    </w:p>
    <w:p w14:paraId="4774E1A0">
      <w:pPr>
        <w:spacing w:line="360" w:lineRule="auto"/>
        <w:ind w:firstLine="420" w:firstLineChars="200"/>
        <w:jc w:val="left"/>
        <w:rPr>
          <w:rFonts w:ascii="宋体" w:hAnsi="宋体"/>
          <w:kern w:val="0"/>
          <w:szCs w:val="21"/>
        </w:rPr>
      </w:pPr>
      <w:r>
        <w:rPr>
          <w:rFonts w:hint="eastAsia" w:ascii="宋体" w:hAnsi="宋体"/>
          <w:kern w:val="0"/>
          <w:szCs w:val="21"/>
        </w:rPr>
        <w:t>（4）投入该工作的施工设备型号、台数和耗用台时；</w:t>
      </w:r>
    </w:p>
    <w:p w14:paraId="77DE9143">
      <w:pPr>
        <w:spacing w:line="360" w:lineRule="auto"/>
        <w:ind w:firstLine="420" w:firstLineChars="200"/>
        <w:jc w:val="left"/>
        <w:rPr>
          <w:rFonts w:ascii="宋体" w:hAnsi="宋体"/>
          <w:kern w:val="0"/>
          <w:szCs w:val="21"/>
        </w:rPr>
      </w:pPr>
      <w:r>
        <w:rPr>
          <w:rFonts w:hint="eastAsia" w:ascii="宋体" w:hAnsi="宋体"/>
          <w:kern w:val="0"/>
          <w:szCs w:val="21"/>
        </w:rPr>
        <w:t>（5）其他有关资料和凭证。</w:t>
      </w:r>
    </w:p>
    <w:p w14:paraId="4B1F6C27">
      <w:pPr>
        <w:spacing w:line="360" w:lineRule="auto"/>
        <w:ind w:firstLine="420" w:firstLineChars="200"/>
        <w:jc w:val="left"/>
        <w:rPr>
          <w:rFonts w:ascii="宋体" w:hAnsi="宋体"/>
          <w:kern w:val="0"/>
          <w:szCs w:val="21"/>
        </w:rPr>
      </w:pPr>
      <w:r>
        <w:rPr>
          <w:rFonts w:hint="eastAsia" w:ascii="宋体" w:hAnsi="宋体"/>
          <w:kern w:val="0"/>
          <w:szCs w:val="21"/>
        </w:rPr>
        <w:t xml:space="preserve"> 计日工由承包人汇总后，列入最近一期进度付款申请单，由监理人审查并经发包人批准后列入进度付款。</w:t>
      </w:r>
    </w:p>
    <w:p w14:paraId="1E295491">
      <w:pPr>
        <w:pStyle w:val="6"/>
        <w:keepNext/>
        <w:keepLines/>
        <w:spacing w:before="156" w:beforeLines="50" w:beforeAutospacing="0" w:after="156" w:afterLines="50" w:afterAutospacing="0" w:line="360" w:lineRule="auto"/>
        <w:jc w:val="both"/>
        <w:rPr>
          <w:bCs w:val="0"/>
          <w:kern w:val="2"/>
          <w:sz w:val="21"/>
          <w:szCs w:val="21"/>
        </w:rPr>
      </w:pPr>
      <w:bookmarkStart w:id="791" w:name="_Toc532377263"/>
      <w:bookmarkStart w:id="792" w:name="_Toc351203577"/>
      <w:bookmarkStart w:id="793" w:name="_Toc532375597"/>
      <w:r>
        <w:rPr>
          <w:rFonts w:hint="eastAsia"/>
          <w:kern w:val="2"/>
          <w:sz w:val="21"/>
          <w:szCs w:val="21"/>
        </w:rPr>
        <w:t>11. 价格调整</w:t>
      </w:r>
      <w:bookmarkEnd w:id="791"/>
      <w:bookmarkEnd w:id="792"/>
      <w:bookmarkEnd w:id="793"/>
    </w:p>
    <w:p w14:paraId="0CF498A7">
      <w:pPr>
        <w:pStyle w:val="7"/>
        <w:spacing w:before="0" w:beforeAutospacing="0" w:after="0" w:afterAutospacing="0" w:line="360" w:lineRule="auto"/>
        <w:ind w:firstLine="422" w:firstLineChars="200"/>
        <w:rPr>
          <w:sz w:val="21"/>
          <w:szCs w:val="21"/>
        </w:rPr>
      </w:pPr>
      <w:bookmarkStart w:id="794" w:name="_Toc351203578"/>
      <w:bookmarkStart w:id="795" w:name="_Toc532377264"/>
      <w:bookmarkStart w:id="796" w:name="_Toc296503092"/>
      <w:bookmarkStart w:id="797" w:name="_Toc296346593"/>
      <w:bookmarkStart w:id="798" w:name="_Toc337558797"/>
      <w:r>
        <w:rPr>
          <w:rFonts w:hint="eastAsia"/>
          <w:sz w:val="21"/>
          <w:szCs w:val="21"/>
        </w:rPr>
        <w:t>11.1市场价格波动引起的调整</w:t>
      </w:r>
      <w:bookmarkEnd w:id="794"/>
      <w:bookmarkEnd w:id="795"/>
    </w:p>
    <w:bookmarkEnd w:id="796"/>
    <w:bookmarkEnd w:id="797"/>
    <w:bookmarkEnd w:id="798"/>
    <w:p w14:paraId="2884AA8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除专用合同条款另有约定外，市场价格波动超过合同当事人约定的范围，合同价格应当调整。合同当事人可以在专用合同条款中约定选择以下一种方式对合同价格进行调整：</w:t>
      </w:r>
    </w:p>
    <w:p w14:paraId="38FD02D0">
      <w:pPr>
        <w:spacing w:line="360" w:lineRule="auto"/>
        <w:ind w:firstLine="420" w:firstLineChars="200"/>
        <w:jc w:val="left"/>
        <w:rPr>
          <w:rFonts w:ascii="宋体" w:hAnsi="宋体"/>
          <w:kern w:val="0"/>
          <w:szCs w:val="21"/>
        </w:rPr>
      </w:pPr>
      <w:r>
        <w:rPr>
          <w:rFonts w:hint="eastAsia" w:ascii="宋体" w:hAnsi="宋体"/>
          <w:kern w:val="0"/>
          <w:szCs w:val="21"/>
        </w:rPr>
        <w:t>第1种方式：采用价格指数进行价格调整。</w:t>
      </w:r>
    </w:p>
    <w:p w14:paraId="59A7466A">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（1）价格调整公式</w:t>
      </w:r>
    </w:p>
    <w:p w14:paraId="41F0880D">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因人工、材料和设备等价格波动影响合同价格时，根据专用合同条款中约定的数据，按以下公式计算差额并调整合同价格：</w:t>
      </w:r>
    </w:p>
    <w:p w14:paraId="49D631B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5" o:spt="75" type="#_x0000_t75" style="height:43.5pt;width:360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14:paraId="79915297">
      <w:pPr>
        <w:tabs>
          <w:tab w:val="left" w:pos="0"/>
          <w:tab w:val="left" w:pos="360"/>
          <w:tab w:val="left" w:pos="540"/>
        </w:tabs>
        <w:spacing w:line="360" w:lineRule="auto"/>
        <w:ind w:firstLine="200"/>
        <w:jc w:val="left"/>
        <w:rPr>
          <w:rFonts w:ascii="宋体" w:hAnsi="宋体"/>
          <w:kern w:val="0"/>
          <w:szCs w:val="21"/>
        </w:rPr>
      </w:pPr>
      <w:r>
        <w:rPr>
          <w:rFonts w:hint="eastAsia" w:ascii="宋体" w:hAnsi="宋体"/>
          <w:kern w:val="0"/>
          <w:szCs w:val="21"/>
        </w:rPr>
        <w:t>公式中：ΔP——需调整的价格差额；</w:t>
      </w:r>
    </w:p>
    <w:p w14:paraId="6D35A556">
      <w:pPr>
        <w:tabs>
          <w:tab w:val="left" w:pos="0"/>
          <w:tab w:val="left" w:pos="360"/>
          <w:tab w:val="left" w:pos="540"/>
        </w:tabs>
        <w:spacing w:line="360" w:lineRule="auto"/>
        <w:ind w:firstLine="1260" w:firstLineChars="600"/>
        <w:jc w:val="left"/>
        <w:rPr>
          <w:rFonts w:ascii="宋体" w:hAnsi="宋体"/>
          <w:kern w:val="0"/>
          <w:szCs w:val="21"/>
        </w:rPr>
      </w:pPr>
      <w:r>
        <w:rPr>
          <w:rFonts w:hint="eastAsia" w:ascii="宋体" w:hAnsi="宋体"/>
          <w:kern w:val="0"/>
          <w:szCs w:val="21"/>
        </w:rPr>
        <w:object>
          <v:shape id="_x0000_i1026" o:spt="75" type="#_x0000_t75" style="height:21.75pt;width:21.7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eastAsia" w:ascii="宋体" w:hAnsi="宋体"/>
          <w:kern w:val="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069B8362">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A——定值权重（即不调部分的权重）；</w:t>
      </w:r>
    </w:p>
    <w:p w14:paraId="2E76F421">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7" o:spt="75" type="#_x0000_t75" style="height:21.75pt;width:100.5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hint="eastAsia" w:ascii="宋体" w:hAnsi="宋体"/>
          <w:kern w:val="0"/>
          <w:szCs w:val="21"/>
        </w:rPr>
        <w:t>——各可调因子的变值权重（即可调部分的权重），为各可调因子在签约合同价中所占的比例；</w:t>
      </w:r>
    </w:p>
    <w:p w14:paraId="0C9A2B05">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8" o:spt="75" type="#_x0000_t75" style="height:21.75pt;width:100.5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r>
        <w:rPr>
          <w:rFonts w:hint="eastAsia" w:ascii="宋体" w:hAnsi="宋体"/>
          <w:kern w:val="0"/>
          <w:szCs w:val="21"/>
        </w:rPr>
        <w:t>——各可调因子的现行价格指数，指约定的付款证书相关周期最后一天的前42天的各可调因子的价格指数；</w:t>
      </w:r>
    </w:p>
    <w:p w14:paraId="6995286E">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object>
          <v:shape id="_x0000_i1029" o:spt="75" type="#_x0000_t75" style="height:21.75pt;width:108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r>
        <w:rPr>
          <w:rFonts w:hint="eastAsia" w:ascii="宋体" w:hAnsi="宋体"/>
          <w:kern w:val="0"/>
          <w:szCs w:val="21"/>
        </w:rPr>
        <w:t>——各可调因子的基本价格指数，指基准日期的各可调因子的价格指数。</w:t>
      </w:r>
    </w:p>
    <w:p w14:paraId="7D9CFC39">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以上价格调整公式中的各可调因子、定值和变值权重，以及基本价格指数及其来源在投标函附录价格指数和权重表中约定，非采购订立的合同，由合同当事人在专用合同条款中约定。价格指数应首先采用工程造价管理机构发布的价格指数，无前述价格指数时，可采用工程造价管理机构发布的价格代替。</w:t>
      </w:r>
    </w:p>
    <w:p w14:paraId="5E1C6E22">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（2）暂时确定调整差额</w:t>
      </w:r>
    </w:p>
    <w:p w14:paraId="0AA29CB6">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在计算调整差额时无现行价格指数的，合同当事人同意暂用前次价格指数计算。实际价格指数有调整的，合同当事人进行相应调整。</w:t>
      </w:r>
    </w:p>
    <w:p w14:paraId="54DF1684">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（3）权重的调整</w:t>
      </w:r>
    </w:p>
    <w:p w14:paraId="14C35E5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因变更导致合同约定的权重不合理时，按照第4.4款〔商定或确定〕执行。</w:t>
      </w:r>
    </w:p>
    <w:p w14:paraId="6E841002">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（4）因承包人原因工期延误后的价格调整</w:t>
      </w:r>
    </w:p>
    <w:p w14:paraId="32BF830F">
      <w:pPr>
        <w:tabs>
          <w:tab w:val="left" w:pos="0"/>
          <w:tab w:val="left" w:pos="360"/>
          <w:tab w:val="left" w:pos="540"/>
        </w:tabs>
        <w:spacing w:line="360" w:lineRule="auto"/>
        <w:ind w:firstLine="420" w:firstLineChars="200"/>
        <w:jc w:val="left"/>
        <w:rPr>
          <w:rFonts w:ascii="宋体" w:hAnsi="宋体"/>
          <w:kern w:val="0"/>
          <w:szCs w:val="21"/>
        </w:rPr>
      </w:pPr>
      <w:r>
        <w:rPr>
          <w:rFonts w:hint="eastAsia" w:ascii="宋体" w:hAnsi="宋体"/>
          <w:kern w:val="0"/>
          <w:szCs w:val="21"/>
        </w:rPr>
        <w:t>因承包人原因未按期竣工的，对合同约定的竣工日期后继续施工的工程，在使用价格调整公式时，应采用计划竣工日期与实际竣工日期的两个价格指数中较低的一个作为现行价格指数。</w:t>
      </w:r>
    </w:p>
    <w:p w14:paraId="66BEF3F5">
      <w:pPr>
        <w:spacing w:line="360" w:lineRule="auto"/>
        <w:ind w:firstLine="420" w:firstLineChars="200"/>
        <w:jc w:val="left"/>
        <w:rPr>
          <w:rFonts w:ascii="宋体" w:hAnsi="宋体"/>
          <w:kern w:val="0"/>
          <w:szCs w:val="21"/>
        </w:rPr>
      </w:pPr>
      <w:r>
        <w:rPr>
          <w:rFonts w:hint="eastAsia" w:ascii="宋体" w:hAnsi="宋体"/>
          <w:kern w:val="0"/>
          <w:szCs w:val="21"/>
        </w:rPr>
        <w:t>第2种方式：采用造价信息进行价格调整。</w:t>
      </w:r>
    </w:p>
    <w:p w14:paraId="502953C1">
      <w:pPr>
        <w:spacing w:line="360" w:lineRule="auto"/>
        <w:ind w:firstLine="420" w:firstLineChars="200"/>
        <w:jc w:val="left"/>
        <w:rPr>
          <w:rFonts w:ascii="宋体" w:hAnsi="宋体"/>
          <w:kern w:val="0"/>
          <w:szCs w:val="21"/>
        </w:rPr>
      </w:pPr>
      <w:r>
        <w:rPr>
          <w:rFonts w:hint="eastAsia" w:ascii="宋体" w:hAnsi="宋体"/>
          <w:kern w:val="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4B3FFD6D">
      <w:pPr>
        <w:spacing w:line="360" w:lineRule="auto"/>
        <w:ind w:firstLine="420" w:firstLineChars="200"/>
        <w:jc w:val="left"/>
        <w:rPr>
          <w:rFonts w:ascii="宋体" w:hAnsi="宋体"/>
          <w:kern w:val="0"/>
          <w:szCs w:val="21"/>
        </w:rPr>
      </w:pPr>
      <w:r>
        <w:rPr>
          <w:rFonts w:hint="eastAsia" w:ascii="宋体" w:hAnsi="宋体"/>
          <w:kern w:val="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2E45FC0">
      <w:pPr>
        <w:spacing w:line="360" w:lineRule="auto"/>
        <w:ind w:firstLine="420" w:firstLineChars="200"/>
        <w:jc w:val="left"/>
        <w:rPr>
          <w:rFonts w:ascii="宋体" w:hAnsi="宋体"/>
          <w:kern w:val="0"/>
          <w:szCs w:val="21"/>
        </w:rPr>
      </w:pPr>
      <w:r>
        <w:rPr>
          <w:rFonts w:hint="eastAsia" w:ascii="宋体" w:hAnsi="宋体"/>
          <w:kern w:val="0"/>
          <w:szCs w:val="21"/>
        </w:rPr>
        <w:t>（2）材料、工程设备价格变化的价款调整按照发包人提供的基准价格，按以下风险范围规定执行：</w:t>
      </w:r>
    </w:p>
    <w:p w14:paraId="795030AC">
      <w:pPr>
        <w:spacing w:line="360" w:lineRule="auto"/>
        <w:ind w:firstLine="420" w:firstLineChars="200"/>
        <w:jc w:val="left"/>
        <w:rPr>
          <w:rFonts w:ascii="宋体" w:hAnsi="宋体"/>
          <w:kern w:val="0"/>
          <w:szCs w:val="21"/>
        </w:rPr>
      </w:pPr>
      <w:r>
        <w:rPr>
          <w:rFonts w:hint="eastAsia" w:ascii="宋体" w:hAnsi="宋体"/>
          <w:kern w:val="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3678998">
      <w:pPr>
        <w:spacing w:line="360" w:lineRule="auto"/>
        <w:ind w:firstLine="420" w:firstLineChars="200"/>
        <w:jc w:val="left"/>
        <w:rPr>
          <w:rFonts w:ascii="宋体" w:hAnsi="宋体"/>
          <w:kern w:val="0"/>
          <w:szCs w:val="21"/>
        </w:rPr>
      </w:pPr>
      <w:r>
        <w:rPr>
          <w:rFonts w:hint="eastAsia" w:ascii="宋体" w:hAnsi="宋体"/>
          <w:kern w:val="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48CBA293">
      <w:pPr>
        <w:spacing w:line="360" w:lineRule="auto"/>
        <w:ind w:firstLine="420" w:firstLineChars="200"/>
        <w:jc w:val="left"/>
        <w:rPr>
          <w:rFonts w:ascii="宋体" w:hAnsi="宋体"/>
          <w:kern w:val="0"/>
          <w:szCs w:val="21"/>
        </w:rPr>
      </w:pPr>
      <w:r>
        <w:rPr>
          <w:rFonts w:hint="eastAsia" w:ascii="宋体" w:hAnsi="宋体"/>
          <w:kern w:val="0"/>
          <w:szCs w:val="21"/>
        </w:rPr>
        <w:t>③承包人在已标价工程量清单或预算书中载明材料单价等于基准价格的：除专用合同条款另有约定外，合同履行期间材料单价涨跌幅以基准价格为基础超过±5%时，其超过部分据实调整。</w:t>
      </w:r>
    </w:p>
    <w:p w14:paraId="59D829CF">
      <w:pPr>
        <w:spacing w:line="360" w:lineRule="auto"/>
        <w:ind w:firstLine="420" w:firstLineChars="200"/>
        <w:jc w:val="left"/>
        <w:rPr>
          <w:rFonts w:ascii="宋体" w:hAnsi="宋体"/>
          <w:kern w:val="0"/>
          <w:szCs w:val="21"/>
        </w:rPr>
      </w:pPr>
      <w:r>
        <w:rPr>
          <w:rFonts w:hint="eastAsia" w:ascii="宋体" w:hAnsi="宋体"/>
          <w:kern w:val="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5091A351">
      <w:pPr>
        <w:spacing w:line="360" w:lineRule="auto"/>
        <w:ind w:firstLine="420" w:firstLineChars="200"/>
        <w:jc w:val="left"/>
        <w:rPr>
          <w:rFonts w:ascii="宋体" w:hAnsi="宋体"/>
          <w:kern w:val="0"/>
          <w:szCs w:val="21"/>
        </w:rPr>
      </w:pPr>
      <w:bookmarkStart w:id="799" w:name="OLE_LINK3"/>
      <w:r>
        <w:rPr>
          <w:rFonts w:hint="eastAsia" w:ascii="宋体" w:hAnsi="宋体"/>
          <w:kern w:val="0"/>
          <w:szCs w:val="21"/>
        </w:rPr>
        <w:t>前述基准价格是指由发包人在采购文件或专用合同条款中给定的材料、工程设备的价格，该价格原则上应当按照省级或行业建设主管部门或其授权的工程造价管理机构发布的信息价编制。</w:t>
      </w:r>
    </w:p>
    <w:p w14:paraId="30A0DA9B">
      <w:pPr>
        <w:spacing w:line="360" w:lineRule="auto"/>
        <w:ind w:firstLine="420" w:firstLineChars="200"/>
        <w:jc w:val="left"/>
        <w:rPr>
          <w:rFonts w:ascii="宋体" w:hAnsi="宋体"/>
          <w:kern w:val="0"/>
          <w:szCs w:val="21"/>
        </w:rPr>
      </w:pPr>
      <w:r>
        <w:rPr>
          <w:rFonts w:hint="eastAsia" w:ascii="宋体" w:hAnsi="宋体"/>
          <w:kern w:val="0"/>
          <w:szCs w:val="21"/>
        </w:rPr>
        <w:t>（3）施工机械台班单价或施工机械使用费发生变化超过省级或行业建设主管部门或其授权的工程造价管理机构规定的范围时，按规定调整合同价格。</w:t>
      </w:r>
    </w:p>
    <w:p w14:paraId="1D0329C7">
      <w:pPr>
        <w:spacing w:line="360" w:lineRule="auto"/>
        <w:ind w:firstLine="420" w:firstLineChars="200"/>
        <w:jc w:val="left"/>
        <w:rPr>
          <w:rFonts w:ascii="宋体" w:hAnsi="宋体"/>
          <w:kern w:val="0"/>
          <w:szCs w:val="21"/>
        </w:rPr>
      </w:pPr>
      <w:r>
        <w:rPr>
          <w:rFonts w:hint="eastAsia" w:ascii="宋体" w:hAnsi="宋体"/>
          <w:kern w:val="0"/>
          <w:szCs w:val="21"/>
        </w:rPr>
        <w:t>第3种方式：专用合同条款约定的其他方式。</w:t>
      </w:r>
    </w:p>
    <w:p w14:paraId="1D9F9893">
      <w:pPr>
        <w:pStyle w:val="7"/>
        <w:spacing w:before="0" w:beforeAutospacing="0" w:after="0" w:afterAutospacing="0" w:line="360" w:lineRule="auto"/>
        <w:ind w:firstLine="422" w:firstLineChars="200"/>
        <w:rPr>
          <w:sz w:val="21"/>
          <w:szCs w:val="21"/>
        </w:rPr>
      </w:pPr>
      <w:bookmarkStart w:id="800" w:name="_Toc351203579"/>
      <w:bookmarkStart w:id="801" w:name="_Toc532377265"/>
      <w:bookmarkStart w:id="802" w:name="_Toc296503093"/>
      <w:bookmarkStart w:id="803" w:name="_Toc296346594"/>
      <w:bookmarkStart w:id="804" w:name="_Toc337558798"/>
      <w:r>
        <w:rPr>
          <w:rFonts w:hint="eastAsia"/>
          <w:sz w:val="21"/>
          <w:szCs w:val="21"/>
        </w:rPr>
        <w:t>11.2法律变化引起的调整</w:t>
      </w:r>
      <w:bookmarkEnd w:id="800"/>
      <w:bookmarkEnd w:id="801"/>
    </w:p>
    <w:bookmarkEnd w:id="802"/>
    <w:bookmarkEnd w:id="803"/>
    <w:bookmarkEnd w:id="804"/>
    <w:p w14:paraId="5CC14078">
      <w:pPr>
        <w:spacing w:line="360" w:lineRule="auto"/>
        <w:ind w:firstLine="420" w:firstLineChars="200"/>
        <w:jc w:val="left"/>
        <w:rPr>
          <w:rFonts w:ascii="宋体" w:hAnsi="宋体"/>
          <w:kern w:val="0"/>
          <w:szCs w:val="21"/>
        </w:rPr>
      </w:pPr>
      <w:r>
        <w:rPr>
          <w:rFonts w:hint="eastAsia" w:ascii="宋体" w:hAnsi="宋体"/>
          <w:kern w:val="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3A19DA39">
      <w:pPr>
        <w:spacing w:line="360" w:lineRule="auto"/>
        <w:ind w:firstLine="420" w:firstLineChars="200"/>
        <w:jc w:val="left"/>
        <w:rPr>
          <w:rFonts w:ascii="宋体" w:hAnsi="宋体"/>
          <w:kern w:val="0"/>
          <w:szCs w:val="21"/>
        </w:rPr>
      </w:pPr>
      <w:r>
        <w:rPr>
          <w:rFonts w:hint="eastAsia" w:ascii="宋体" w:hAnsi="宋体"/>
          <w:kern w:val="0"/>
          <w:szCs w:val="21"/>
        </w:rPr>
        <w:t>因法律变化引起的合同价格和工期调整，合同当事人无法达成一致的，由总监理工程师按第4.4款〔商定或确定〕的约定处理。</w:t>
      </w:r>
    </w:p>
    <w:p w14:paraId="18B14EDC">
      <w:pPr>
        <w:spacing w:line="360" w:lineRule="auto"/>
        <w:ind w:firstLine="420" w:firstLineChars="200"/>
        <w:jc w:val="left"/>
        <w:rPr>
          <w:rFonts w:ascii="宋体" w:hAnsi="宋体"/>
          <w:kern w:val="0"/>
          <w:szCs w:val="21"/>
        </w:rPr>
      </w:pPr>
      <w:r>
        <w:rPr>
          <w:rFonts w:hint="eastAsia" w:ascii="宋体" w:hAnsi="宋体"/>
          <w:kern w:val="0"/>
          <w:szCs w:val="21"/>
        </w:rPr>
        <w:t>因承包人原因造成工期延误，在工期延误期间出现法律变化的，由此增加的费用和（或）延误的工期由承包人承担。</w:t>
      </w:r>
    </w:p>
    <w:p w14:paraId="21351DBD">
      <w:pPr>
        <w:pStyle w:val="6"/>
        <w:keepNext/>
        <w:keepLines/>
        <w:spacing w:before="156" w:beforeLines="50" w:beforeAutospacing="0" w:after="156" w:afterLines="50" w:afterAutospacing="0" w:line="360" w:lineRule="auto"/>
        <w:jc w:val="both"/>
        <w:rPr>
          <w:bCs w:val="0"/>
          <w:kern w:val="2"/>
          <w:sz w:val="21"/>
          <w:szCs w:val="21"/>
        </w:rPr>
      </w:pPr>
      <w:bookmarkStart w:id="805" w:name="_Toc351203580"/>
      <w:bookmarkStart w:id="806" w:name="_Toc532377266"/>
      <w:bookmarkStart w:id="807" w:name="_Toc532375598"/>
      <w:bookmarkStart w:id="808" w:name="_Toc337558799"/>
      <w:bookmarkStart w:id="809" w:name="_Toc296503096"/>
      <w:bookmarkStart w:id="810" w:name="_Toc296346597"/>
      <w:r>
        <w:rPr>
          <w:rFonts w:hint="eastAsia"/>
          <w:kern w:val="2"/>
          <w:sz w:val="21"/>
          <w:szCs w:val="21"/>
        </w:rPr>
        <w:t>12. 合同价格、计量与支付</w:t>
      </w:r>
      <w:bookmarkEnd w:id="805"/>
      <w:bookmarkEnd w:id="806"/>
      <w:bookmarkEnd w:id="807"/>
    </w:p>
    <w:bookmarkEnd w:id="808"/>
    <w:p w14:paraId="04940332">
      <w:pPr>
        <w:pStyle w:val="7"/>
        <w:spacing w:before="0" w:beforeAutospacing="0" w:after="0" w:afterAutospacing="0" w:line="360" w:lineRule="auto"/>
        <w:ind w:firstLine="422" w:firstLineChars="200"/>
        <w:rPr>
          <w:sz w:val="21"/>
          <w:szCs w:val="21"/>
        </w:rPr>
      </w:pPr>
      <w:bookmarkStart w:id="811" w:name="_Toc532377267"/>
      <w:bookmarkStart w:id="812" w:name="_Toc351203581"/>
      <w:bookmarkStart w:id="813" w:name="_Toc337558800"/>
      <w:r>
        <w:rPr>
          <w:rFonts w:hint="eastAsia"/>
          <w:sz w:val="21"/>
          <w:szCs w:val="21"/>
        </w:rPr>
        <w:t>12.1 合同价</w:t>
      </w:r>
      <w:bookmarkEnd w:id="809"/>
      <w:bookmarkEnd w:id="810"/>
      <w:r>
        <w:rPr>
          <w:rFonts w:hint="eastAsia"/>
          <w:sz w:val="21"/>
          <w:szCs w:val="21"/>
        </w:rPr>
        <w:t>格形式</w:t>
      </w:r>
      <w:bookmarkEnd w:id="811"/>
      <w:bookmarkEnd w:id="812"/>
    </w:p>
    <w:bookmarkEnd w:id="813"/>
    <w:p w14:paraId="439CF76D">
      <w:pPr>
        <w:spacing w:line="360" w:lineRule="auto"/>
        <w:ind w:firstLine="420" w:firstLineChars="200"/>
        <w:jc w:val="left"/>
        <w:rPr>
          <w:rFonts w:ascii="宋体" w:hAnsi="宋体"/>
          <w:kern w:val="0"/>
          <w:szCs w:val="21"/>
        </w:rPr>
      </w:pPr>
      <w:r>
        <w:rPr>
          <w:rFonts w:hint="eastAsia" w:ascii="宋体" w:hAnsi="宋体"/>
          <w:kern w:val="0"/>
          <w:szCs w:val="21"/>
        </w:rPr>
        <w:t xml:space="preserve">发包人和承包人应在合同协议书中选择下列一种合同价格形式： </w:t>
      </w:r>
    </w:p>
    <w:p w14:paraId="2CE975D0">
      <w:pPr>
        <w:spacing w:line="360" w:lineRule="auto"/>
        <w:ind w:firstLine="420" w:firstLineChars="200"/>
        <w:jc w:val="left"/>
        <w:rPr>
          <w:rFonts w:ascii="宋体" w:hAnsi="宋体"/>
          <w:kern w:val="0"/>
          <w:szCs w:val="21"/>
        </w:rPr>
      </w:pPr>
      <w:r>
        <w:rPr>
          <w:rFonts w:hint="eastAsia" w:ascii="宋体" w:hAnsi="宋体"/>
          <w:kern w:val="0"/>
          <w:szCs w:val="21"/>
        </w:rPr>
        <w:t>1.单价合同</w:t>
      </w:r>
    </w:p>
    <w:p w14:paraId="4947FE40">
      <w:pPr>
        <w:spacing w:line="360" w:lineRule="auto"/>
        <w:ind w:firstLine="420" w:firstLineChars="200"/>
        <w:jc w:val="left"/>
        <w:rPr>
          <w:rFonts w:ascii="宋体" w:hAnsi="宋体"/>
          <w:kern w:val="0"/>
          <w:szCs w:val="21"/>
        </w:rPr>
      </w:pPr>
      <w:r>
        <w:rPr>
          <w:rFonts w:hint="eastAsia" w:ascii="宋体" w:hAnsi="宋体"/>
          <w:kern w:val="0"/>
          <w:szCs w:val="21"/>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1FDFDB9A">
      <w:pPr>
        <w:pStyle w:val="7"/>
        <w:spacing w:before="0" w:beforeAutospacing="0" w:after="0" w:afterAutospacing="0" w:line="360" w:lineRule="auto"/>
        <w:ind w:firstLine="420" w:firstLineChars="200"/>
        <w:rPr>
          <w:b w:val="0"/>
          <w:sz w:val="21"/>
          <w:szCs w:val="21"/>
        </w:rPr>
      </w:pPr>
      <w:bookmarkStart w:id="814" w:name="_Toc532377268"/>
      <w:r>
        <w:rPr>
          <w:rFonts w:hint="eastAsia"/>
          <w:b w:val="0"/>
          <w:sz w:val="21"/>
          <w:szCs w:val="21"/>
        </w:rPr>
        <w:t>2.总价合同</w:t>
      </w:r>
      <w:bookmarkEnd w:id="814"/>
    </w:p>
    <w:p w14:paraId="1C6B794F">
      <w:pPr>
        <w:spacing w:line="360" w:lineRule="auto"/>
        <w:ind w:firstLine="420" w:firstLineChars="200"/>
        <w:jc w:val="left"/>
        <w:rPr>
          <w:rFonts w:ascii="宋体" w:hAnsi="宋体"/>
          <w:kern w:val="0"/>
          <w:szCs w:val="21"/>
        </w:rPr>
      </w:pPr>
      <w:r>
        <w:rPr>
          <w:rFonts w:hint="eastAsia" w:ascii="宋体" w:hAnsi="宋体"/>
          <w:kern w:val="0"/>
          <w:szCs w:val="21"/>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768AF5D8">
      <w:pPr>
        <w:pStyle w:val="7"/>
        <w:spacing w:before="0" w:beforeAutospacing="0" w:after="0" w:afterAutospacing="0" w:line="360" w:lineRule="auto"/>
        <w:ind w:firstLine="420" w:firstLineChars="200"/>
        <w:rPr>
          <w:b w:val="0"/>
          <w:sz w:val="21"/>
          <w:szCs w:val="21"/>
        </w:rPr>
      </w:pPr>
      <w:bookmarkStart w:id="815" w:name="_Toc532377269"/>
      <w:r>
        <w:rPr>
          <w:rFonts w:hint="eastAsia"/>
          <w:b w:val="0"/>
          <w:sz w:val="21"/>
          <w:szCs w:val="21"/>
        </w:rPr>
        <w:t>3.其它价格形式</w:t>
      </w:r>
      <w:bookmarkEnd w:id="815"/>
    </w:p>
    <w:p w14:paraId="7FE567D5">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合同当事人可在专用合同条款中约定其他合同价格形式。</w:t>
      </w:r>
    </w:p>
    <w:p w14:paraId="28521F06">
      <w:pPr>
        <w:pStyle w:val="7"/>
        <w:spacing w:before="0" w:beforeAutospacing="0" w:after="0" w:afterAutospacing="0" w:line="360" w:lineRule="auto"/>
        <w:ind w:firstLine="422" w:firstLineChars="200"/>
        <w:rPr>
          <w:sz w:val="21"/>
          <w:szCs w:val="21"/>
        </w:rPr>
      </w:pPr>
      <w:bookmarkStart w:id="816" w:name="_Toc296503097"/>
      <w:bookmarkStart w:id="817" w:name="_Toc296346598"/>
      <w:bookmarkStart w:id="818" w:name="_Toc532377270"/>
      <w:bookmarkStart w:id="819" w:name="_Toc351203582"/>
      <w:bookmarkStart w:id="820" w:name="_Toc337558801"/>
      <w:r>
        <w:rPr>
          <w:rFonts w:hint="eastAsia"/>
          <w:sz w:val="21"/>
          <w:szCs w:val="21"/>
        </w:rPr>
        <w:t>12.2预</w:t>
      </w:r>
      <w:bookmarkEnd w:id="816"/>
      <w:bookmarkEnd w:id="817"/>
      <w:bookmarkStart w:id="821" w:name="_Toc296346601"/>
      <w:bookmarkStart w:id="822" w:name="_Toc296503100"/>
      <w:r>
        <w:rPr>
          <w:rFonts w:hint="eastAsia"/>
          <w:sz w:val="21"/>
          <w:szCs w:val="21"/>
        </w:rPr>
        <w:t>付款</w:t>
      </w:r>
      <w:bookmarkEnd w:id="818"/>
      <w:bookmarkEnd w:id="819"/>
    </w:p>
    <w:bookmarkEnd w:id="820"/>
    <w:bookmarkEnd w:id="821"/>
    <w:bookmarkEnd w:id="822"/>
    <w:p w14:paraId="1128D165">
      <w:pPr>
        <w:spacing w:line="360" w:lineRule="auto"/>
        <w:ind w:firstLine="420" w:firstLineChars="200"/>
        <w:jc w:val="left"/>
        <w:rPr>
          <w:rFonts w:ascii="宋体" w:hAnsi="宋体"/>
          <w:kern w:val="0"/>
          <w:szCs w:val="21"/>
        </w:rPr>
      </w:pPr>
      <w:r>
        <w:rPr>
          <w:rFonts w:hint="eastAsia" w:ascii="宋体" w:hAnsi="宋体"/>
          <w:kern w:val="0"/>
          <w:szCs w:val="21"/>
        </w:rPr>
        <w:t>12.2.1预付款的支付</w:t>
      </w:r>
    </w:p>
    <w:p w14:paraId="5D560CC0">
      <w:pPr>
        <w:spacing w:line="360" w:lineRule="auto"/>
        <w:ind w:firstLine="420" w:firstLineChars="200"/>
        <w:jc w:val="left"/>
        <w:rPr>
          <w:rFonts w:ascii="宋体" w:hAnsi="宋体"/>
          <w:kern w:val="0"/>
          <w:szCs w:val="21"/>
        </w:rPr>
      </w:pPr>
      <w:r>
        <w:rPr>
          <w:rFonts w:hint="eastAsia" w:ascii="宋体" w:hAnsi="宋体"/>
          <w:kern w:val="0"/>
          <w:szCs w:val="21"/>
        </w:rPr>
        <w:t>预付款的支付按照专用合同条款约定执行，但至迟应在开工通知载明的开工日期7天前支付。预付款应当用于材料、工程设备、施工设备的采购及修建临时工程、组织施工队伍进场等。</w:t>
      </w:r>
    </w:p>
    <w:p w14:paraId="2907A407">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除专用合同条款另有约定外，预付款在进度付款中同比例扣回。</w:t>
      </w:r>
      <w:bookmarkEnd w:id="799"/>
      <w:r>
        <w:rPr>
          <w:rFonts w:hint="eastAsia" w:ascii="宋体" w:hAnsi="宋体"/>
          <w:kern w:val="0"/>
          <w:szCs w:val="21"/>
        </w:rPr>
        <w:t>在颁发工程接收证书前，提前解除合同的，尚未扣完的预付款应与合同价款一并结算。</w:t>
      </w:r>
    </w:p>
    <w:p w14:paraId="48B63E77">
      <w:pPr>
        <w:spacing w:line="360" w:lineRule="auto"/>
        <w:ind w:firstLine="420" w:firstLineChars="200"/>
        <w:jc w:val="left"/>
        <w:rPr>
          <w:rFonts w:ascii="宋体" w:hAnsi="宋体"/>
          <w:kern w:val="0"/>
          <w:szCs w:val="21"/>
        </w:rPr>
      </w:pPr>
      <w:r>
        <w:rPr>
          <w:rFonts w:hint="eastAsia" w:ascii="宋体" w:hAnsi="宋体"/>
          <w:kern w:val="0"/>
          <w:szCs w:val="21"/>
        </w:rPr>
        <w:t>发包人逾期支付预付款超过7天的，承包人有权向发包人发出要求预付的催告通知，发包人收到通知后7天内仍未支付的，承包人有权暂停施工，并按第16.1.1项〔发包人违约的情形〕执行。</w:t>
      </w:r>
    </w:p>
    <w:p w14:paraId="043ADC2D">
      <w:pPr>
        <w:spacing w:line="360" w:lineRule="auto"/>
        <w:ind w:firstLine="420" w:firstLineChars="200"/>
        <w:jc w:val="left"/>
        <w:rPr>
          <w:rFonts w:ascii="宋体" w:hAnsi="宋体"/>
          <w:kern w:val="0"/>
          <w:szCs w:val="21"/>
        </w:rPr>
      </w:pPr>
      <w:r>
        <w:rPr>
          <w:rFonts w:hint="eastAsia" w:ascii="宋体" w:hAnsi="宋体"/>
          <w:kern w:val="0"/>
          <w:szCs w:val="21"/>
        </w:rPr>
        <w:t>12.2.2 预付款担保</w:t>
      </w:r>
    </w:p>
    <w:p w14:paraId="38ECB86B">
      <w:pPr>
        <w:spacing w:line="360" w:lineRule="auto"/>
        <w:ind w:firstLine="420" w:firstLineChars="200"/>
        <w:jc w:val="left"/>
        <w:rPr>
          <w:rFonts w:ascii="宋体" w:hAnsi="宋体"/>
          <w:kern w:val="0"/>
          <w:szCs w:val="21"/>
        </w:rPr>
      </w:pPr>
      <w:r>
        <w:rPr>
          <w:rFonts w:hint="eastAsia" w:ascii="宋体" w:hAnsi="宋体"/>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5F0C96C">
      <w:pPr>
        <w:spacing w:line="360" w:lineRule="auto"/>
        <w:ind w:firstLine="420" w:firstLineChars="200"/>
        <w:jc w:val="left"/>
        <w:rPr>
          <w:rFonts w:ascii="宋体" w:hAnsi="宋体"/>
          <w:kern w:val="0"/>
          <w:szCs w:val="21"/>
        </w:rPr>
      </w:pPr>
      <w:r>
        <w:rPr>
          <w:rFonts w:hint="eastAsia" w:ascii="宋体" w:hAnsi="宋体"/>
          <w:kern w:val="0"/>
          <w:szCs w:val="21"/>
        </w:rPr>
        <w:t>发包人在工程款中逐期扣回预付款后，预付款担保额度应相应减少，但剩余的预付款担保金额不得低于未被扣回的预付款金额。</w:t>
      </w:r>
    </w:p>
    <w:p w14:paraId="7123CACC">
      <w:pPr>
        <w:pStyle w:val="7"/>
        <w:spacing w:before="0" w:beforeAutospacing="0" w:after="0" w:afterAutospacing="0" w:line="360" w:lineRule="auto"/>
        <w:ind w:firstLine="422" w:firstLineChars="200"/>
        <w:rPr>
          <w:sz w:val="21"/>
          <w:szCs w:val="21"/>
        </w:rPr>
      </w:pPr>
      <w:bookmarkStart w:id="823" w:name="_Toc351203583"/>
      <w:bookmarkStart w:id="824" w:name="_Toc532377271"/>
      <w:bookmarkStart w:id="825" w:name="_Toc337558802"/>
      <w:r>
        <w:rPr>
          <w:rFonts w:hint="eastAsia"/>
          <w:sz w:val="21"/>
          <w:szCs w:val="21"/>
        </w:rPr>
        <w:t>12.3计量</w:t>
      </w:r>
      <w:bookmarkEnd w:id="823"/>
      <w:bookmarkEnd w:id="824"/>
    </w:p>
    <w:bookmarkEnd w:id="825"/>
    <w:p w14:paraId="2EF4DA76">
      <w:pPr>
        <w:spacing w:line="360" w:lineRule="auto"/>
        <w:ind w:firstLine="420" w:firstLineChars="200"/>
        <w:jc w:val="left"/>
        <w:rPr>
          <w:rFonts w:ascii="宋体" w:hAnsi="宋体"/>
          <w:kern w:val="0"/>
          <w:szCs w:val="21"/>
        </w:rPr>
      </w:pPr>
      <w:r>
        <w:rPr>
          <w:rFonts w:hint="eastAsia" w:ascii="宋体" w:hAnsi="宋体"/>
          <w:kern w:val="0"/>
          <w:szCs w:val="21"/>
        </w:rPr>
        <w:t>12.3.1 计量原则</w:t>
      </w:r>
    </w:p>
    <w:p w14:paraId="1B874EA1">
      <w:pPr>
        <w:spacing w:line="360" w:lineRule="auto"/>
        <w:ind w:firstLine="420" w:firstLineChars="200"/>
        <w:jc w:val="left"/>
        <w:rPr>
          <w:rFonts w:ascii="宋体" w:hAnsi="宋体"/>
          <w:kern w:val="0"/>
          <w:szCs w:val="21"/>
        </w:rPr>
      </w:pPr>
      <w:r>
        <w:rPr>
          <w:rFonts w:hint="eastAsia" w:ascii="宋体" w:hAnsi="宋体"/>
          <w:kern w:val="0"/>
          <w:szCs w:val="21"/>
        </w:rPr>
        <w:t>工程量计量按照合同约定的工程量计算规则、图纸及变更指示等进行计量。工程量计算规则应以相关的国家标准、行业标准等为依据，由合同当事人在专用合同条款中约定。</w:t>
      </w:r>
    </w:p>
    <w:p w14:paraId="3B5538CA">
      <w:pPr>
        <w:spacing w:line="360" w:lineRule="auto"/>
        <w:ind w:firstLine="420" w:firstLineChars="200"/>
        <w:jc w:val="left"/>
        <w:rPr>
          <w:rFonts w:ascii="宋体" w:hAnsi="宋体"/>
          <w:kern w:val="0"/>
          <w:szCs w:val="21"/>
        </w:rPr>
      </w:pPr>
      <w:r>
        <w:rPr>
          <w:rFonts w:hint="eastAsia" w:ascii="宋体" w:hAnsi="宋体"/>
          <w:kern w:val="0"/>
          <w:szCs w:val="21"/>
        </w:rPr>
        <w:t>12.3.2 计量周期</w:t>
      </w:r>
    </w:p>
    <w:p w14:paraId="4278ABA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除专用合同条款另有约定外，工程量的计量按月进行。</w:t>
      </w:r>
    </w:p>
    <w:p w14:paraId="74130BF3">
      <w:pPr>
        <w:spacing w:line="360" w:lineRule="auto"/>
        <w:ind w:firstLine="420" w:firstLineChars="200"/>
        <w:jc w:val="left"/>
        <w:rPr>
          <w:rFonts w:ascii="宋体" w:hAnsi="宋体"/>
          <w:kern w:val="0"/>
          <w:szCs w:val="21"/>
        </w:rPr>
      </w:pPr>
      <w:r>
        <w:rPr>
          <w:rFonts w:hint="eastAsia" w:ascii="宋体" w:hAnsi="宋体"/>
          <w:kern w:val="0"/>
          <w:szCs w:val="21"/>
        </w:rPr>
        <w:t>12.3.3 单价合同的计量</w:t>
      </w:r>
    </w:p>
    <w:p w14:paraId="1CE2989A">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除专用合同条款另有约定外，单价合同的计量按照本项约定执行：</w:t>
      </w:r>
    </w:p>
    <w:p w14:paraId="1037A4F1">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44DFC437">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E8475E2">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（3）监理人未在收到承包人提交的工程量报表后的7天内完成审核的，承包人报送的工程量报告中的工程量视为承包人实际完成的工程量，据此计算工程价款。</w:t>
      </w:r>
    </w:p>
    <w:p w14:paraId="15D781C5">
      <w:pPr>
        <w:spacing w:line="360" w:lineRule="auto"/>
        <w:ind w:firstLine="420" w:firstLineChars="200"/>
        <w:jc w:val="left"/>
        <w:rPr>
          <w:rFonts w:ascii="宋体" w:hAnsi="宋体"/>
          <w:kern w:val="0"/>
          <w:szCs w:val="21"/>
        </w:rPr>
      </w:pPr>
      <w:r>
        <w:rPr>
          <w:rFonts w:hint="eastAsia" w:ascii="宋体" w:hAnsi="宋体"/>
          <w:kern w:val="0"/>
          <w:szCs w:val="21"/>
        </w:rPr>
        <w:t>12.3.4 总价合同的计量</w:t>
      </w:r>
    </w:p>
    <w:p w14:paraId="1BC9549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除专用合同条款另有约定外，按月计量支付的总价合同，按照本项约定执行：</w:t>
      </w:r>
    </w:p>
    <w:p w14:paraId="0149FE85">
      <w:pPr>
        <w:spacing w:line="360" w:lineRule="auto"/>
        <w:ind w:firstLine="420" w:firstLineChars="200"/>
        <w:jc w:val="left"/>
        <w:rPr>
          <w:rFonts w:ascii="宋体" w:hAnsi="宋体"/>
          <w:kern w:val="0"/>
          <w:szCs w:val="21"/>
        </w:rPr>
      </w:pPr>
      <w:r>
        <w:rPr>
          <w:rFonts w:hint="eastAsia" w:ascii="宋体" w:hAnsi="宋体"/>
          <w:kern w:val="0"/>
          <w:szCs w:val="21"/>
        </w:rPr>
        <w:t>（1）承包人应于每月25日向监理人报送上月20日至当月19日已完成的工程量报告，并附具进度付款申请单、已完成工程量报表和有关资料。</w:t>
      </w:r>
    </w:p>
    <w:p w14:paraId="0521A9E5">
      <w:pPr>
        <w:spacing w:line="360" w:lineRule="auto"/>
        <w:ind w:firstLine="420" w:firstLineChars="200"/>
        <w:jc w:val="left"/>
        <w:rPr>
          <w:rFonts w:ascii="宋体" w:hAnsi="宋体"/>
          <w:kern w:val="0"/>
          <w:szCs w:val="21"/>
        </w:rPr>
      </w:pPr>
      <w:r>
        <w:rPr>
          <w:rFonts w:hint="eastAsia" w:ascii="宋体" w:hAnsi="宋体"/>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80DA4BF">
      <w:pPr>
        <w:spacing w:line="360" w:lineRule="auto"/>
        <w:ind w:firstLine="420" w:firstLineChars="200"/>
        <w:jc w:val="left"/>
        <w:rPr>
          <w:rFonts w:ascii="宋体" w:hAnsi="宋体"/>
          <w:kern w:val="0"/>
          <w:szCs w:val="21"/>
        </w:rPr>
      </w:pPr>
      <w:r>
        <w:rPr>
          <w:rFonts w:hint="eastAsia" w:ascii="宋体" w:hAnsi="宋体"/>
          <w:kern w:val="0"/>
          <w:szCs w:val="21"/>
        </w:rPr>
        <w:t>（3）监理人未在收到承包人提交的工程量报表后的7天内完成复核的，承包人提交的工程量报告中的工程量视为承包人实际完成的工程量。</w:t>
      </w:r>
    </w:p>
    <w:p w14:paraId="12684B66">
      <w:pPr>
        <w:spacing w:line="360" w:lineRule="auto"/>
        <w:ind w:firstLine="420" w:firstLineChars="200"/>
        <w:jc w:val="left"/>
        <w:rPr>
          <w:rFonts w:ascii="宋体" w:hAnsi="宋体"/>
          <w:kern w:val="0"/>
          <w:szCs w:val="21"/>
        </w:rPr>
      </w:pPr>
      <w:r>
        <w:rPr>
          <w:rFonts w:hint="eastAsia" w:ascii="宋体" w:hAnsi="宋体"/>
          <w:kern w:val="0"/>
          <w:szCs w:val="21"/>
        </w:rPr>
        <w:t>12.3.5 总价合同采用支付分解表计量支付的，可以按照第12.3.4项〔总价合同的计量〕约定进行计量，但合同价款按照支付分解表进行支付。</w:t>
      </w:r>
    </w:p>
    <w:p w14:paraId="7293F4B3">
      <w:pPr>
        <w:spacing w:line="360" w:lineRule="auto"/>
        <w:ind w:firstLine="420" w:firstLineChars="200"/>
        <w:jc w:val="left"/>
        <w:rPr>
          <w:rFonts w:ascii="宋体" w:hAnsi="宋体"/>
          <w:kern w:val="0"/>
          <w:szCs w:val="21"/>
        </w:rPr>
      </w:pPr>
      <w:r>
        <w:rPr>
          <w:rFonts w:hint="eastAsia" w:ascii="宋体" w:hAnsi="宋体"/>
          <w:kern w:val="0"/>
          <w:szCs w:val="21"/>
        </w:rPr>
        <w:t>12.3.6 其他价格形式合同的计量</w:t>
      </w:r>
    </w:p>
    <w:p w14:paraId="39445D00">
      <w:pPr>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合同当事人可在专用合同条款中约定其他价格形式合同的计量方式和程序。</w:t>
      </w:r>
    </w:p>
    <w:p w14:paraId="3452A2C4">
      <w:pPr>
        <w:pStyle w:val="7"/>
        <w:spacing w:before="0" w:beforeAutospacing="0" w:after="0" w:afterAutospacing="0" w:line="360" w:lineRule="auto"/>
        <w:ind w:firstLine="422" w:firstLineChars="200"/>
        <w:rPr>
          <w:sz w:val="21"/>
          <w:szCs w:val="21"/>
        </w:rPr>
      </w:pPr>
      <w:bookmarkStart w:id="826" w:name="_Toc296346602"/>
      <w:bookmarkStart w:id="827" w:name="_Toc296503101"/>
      <w:bookmarkStart w:id="828" w:name="_Toc532377272"/>
      <w:bookmarkStart w:id="829" w:name="_Toc351203584"/>
      <w:bookmarkStart w:id="830" w:name="_Toc337558803"/>
      <w:r>
        <w:rPr>
          <w:rFonts w:hint="eastAsia"/>
          <w:sz w:val="21"/>
          <w:szCs w:val="21"/>
        </w:rPr>
        <w:t>12.4工程进度款支</w:t>
      </w:r>
      <w:bookmarkEnd w:id="826"/>
      <w:bookmarkEnd w:id="827"/>
      <w:r>
        <w:rPr>
          <w:rFonts w:hint="eastAsia"/>
          <w:sz w:val="21"/>
          <w:szCs w:val="21"/>
        </w:rPr>
        <w:t>付</w:t>
      </w:r>
      <w:bookmarkEnd w:id="828"/>
      <w:bookmarkEnd w:id="829"/>
    </w:p>
    <w:bookmarkEnd w:id="830"/>
    <w:p w14:paraId="7E81D1E6">
      <w:pPr>
        <w:spacing w:line="360" w:lineRule="auto"/>
        <w:ind w:firstLine="420" w:firstLineChars="200"/>
        <w:jc w:val="left"/>
        <w:rPr>
          <w:rFonts w:ascii="宋体" w:hAnsi="宋体"/>
          <w:kern w:val="0"/>
          <w:szCs w:val="21"/>
        </w:rPr>
      </w:pPr>
      <w:r>
        <w:rPr>
          <w:rFonts w:hint="eastAsia" w:ascii="宋体" w:hAnsi="宋体"/>
          <w:kern w:val="0"/>
          <w:szCs w:val="21"/>
        </w:rPr>
        <w:t>12.4.1 付款周期</w:t>
      </w:r>
    </w:p>
    <w:p w14:paraId="4E5074C1">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除专用合同条款另有约定外，付款周期应按照第12.3.2项〔计量周期〕的约定与计量周期保持一致。</w:t>
      </w:r>
    </w:p>
    <w:p w14:paraId="56FD06F6">
      <w:pPr>
        <w:spacing w:line="360" w:lineRule="auto"/>
        <w:ind w:firstLine="420" w:firstLineChars="200"/>
        <w:jc w:val="left"/>
        <w:rPr>
          <w:rFonts w:ascii="宋体" w:hAnsi="宋体"/>
          <w:kern w:val="0"/>
          <w:szCs w:val="21"/>
        </w:rPr>
      </w:pPr>
      <w:r>
        <w:rPr>
          <w:rFonts w:hint="eastAsia" w:ascii="宋体" w:hAnsi="宋体"/>
          <w:kern w:val="0"/>
          <w:szCs w:val="21"/>
        </w:rPr>
        <w:t>12.4.2 进度付款申请单的编制</w:t>
      </w:r>
    </w:p>
    <w:p w14:paraId="644865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除专用合同条款另有约定外，进度付款申请单应包括下列内容：</w:t>
      </w:r>
    </w:p>
    <w:p w14:paraId="7BFAC0B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（1）截至本次付款周期已完成工作对应的金额；</w:t>
      </w:r>
    </w:p>
    <w:p w14:paraId="1ABE2E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（2）根据第10条〔变更〕应增加和扣减的变更金额；</w:t>
      </w:r>
    </w:p>
    <w:p w14:paraId="7EFB167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（3）根据第12.2款〔预付款〕约定应支付的预付款和扣减的返还预付款；</w:t>
      </w:r>
    </w:p>
    <w:p w14:paraId="403E6B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（4）根据第15.3款〔质量保证金〕约定应扣减的质量保证金；</w:t>
      </w:r>
    </w:p>
    <w:p w14:paraId="30C32FA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（5）根据第19条〔索赔〕应增加和扣减的索赔金额；</w:t>
      </w:r>
    </w:p>
    <w:p w14:paraId="038E504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（6）对已签发的进度款支付证书中出现错误的修正，应在本次进度付款中支付或扣除的金额；</w:t>
      </w:r>
    </w:p>
    <w:p w14:paraId="0869BC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（7）根据合同约定应增加和扣减的其他金额。</w:t>
      </w:r>
    </w:p>
    <w:p w14:paraId="72842851">
      <w:pPr>
        <w:spacing w:line="360" w:lineRule="auto"/>
        <w:ind w:firstLine="420" w:firstLineChars="200"/>
        <w:jc w:val="left"/>
        <w:rPr>
          <w:rFonts w:ascii="宋体" w:hAnsi="宋体"/>
          <w:kern w:val="0"/>
          <w:szCs w:val="21"/>
        </w:rPr>
      </w:pPr>
      <w:r>
        <w:rPr>
          <w:rFonts w:hint="eastAsia" w:ascii="宋体" w:hAnsi="宋体"/>
          <w:kern w:val="0"/>
          <w:szCs w:val="21"/>
        </w:rPr>
        <w:t>12.4.3 进度付款申请单的提交</w:t>
      </w:r>
    </w:p>
    <w:p w14:paraId="0C38F7B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（1）单价合同进度付款申请单的提交</w:t>
      </w:r>
    </w:p>
    <w:p w14:paraId="211250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78E84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（2）总价合同进度付款申请单的提交</w:t>
      </w:r>
    </w:p>
    <w:p w14:paraId="1138E5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总价合同按月计量支付的，承包人按照第12.3.4项〔总价合同的计量〕约定的时间按月向监理人提交进度付款申请单，并附上已完成工程量报表和有关资料。</w:t>
      </w:r>
    </w:p>
    <w:p w14:paraId="6000977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总价合同按支付分解表支付的，承包人应按照第12.4.6项〔支付分解表〕及第12.4.2项〔进度付款申请单的编制〕的约定向监理人提交进度付款申请单。</w:t>
      </w:r>
    </w:p>
    <w:p w14:paraId="3CFD482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（3）其他价格形式合同的进度付款申请单的提交</w:t>
      </w:r>
    </w:p>
    <w:p w14:paraId="2B681D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合同当事人可在专用合同条款中约定其他价格形式合同的进度付款申请单的编制和提交程序。</w:t>
      </w:r>
    </w:p>
    <w:p w14:paraId="0CB8AD66">
      <w:pPr>
        <w:spacing w:line="360" w:lineRule="auto"/>
        <w:ind w:firstLine="420" w:firstLineChars="200"/>
        <w:jc w:val="left"/>
        <w:rPr>
          <w:rFonts w:ascii="宋体" w:hAnsi="宋体"/>
          <w:kern w:val="0"/>
          <w:szCs w:val="21"/>
        </w:rPr>
      </w:pPr>
      <w:r>
        <w:rPr>
          <w:rFonts w:hint="eastAsia" w:ascii="宋体" w:hAnsi="宋体"/>
          <w:kern w:val="0"/>
          <w:szCs w:val="21"/>
        </w:rPr>
        <w:t>12.4.4 进度款审核和支付</w:t>
      </w:r>
    </w:p>
    <w:p w14:paraId="61AD5D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198F03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60FE4B8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6B76E06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（3）发包人签发进度款支付证书或临时进度款支付证书，不表明发包人已同意、批准或接受了承包人完成的相应部分的工作。</w:t>
      </w:r>
    </w:p>
    <w:p w14:paraId="3D1AA3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12.4.5 进度付款的修正</w:t>
      </w:r>
    </w:p>
    <w:p w14:paraId="066FA8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66A4332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12.4.6 支付分解表</w:t>
      </w:r>
    </w:p>
    <w:p w14:paraId="1A862CD8">
      <w:pPr>
        <w:spacing w:line="360" w:lineRule="auto"/>
        <w:ind w:firstLine="420" w:firstLineChars="200"/>
        <w:jc w:val="left"/>
        <w:rPr>
          <w:rFonts w:ascii="宋体" w:hAnsi="宋体"/>
          <w:kern w:val="0"/>
          <w:szCs w:val="21"/>
        </w:rPr>
      </w:pPr>
      <w:r>
        <w:rPr>
          <w:rFonts w:hint="eastAsia" w:ascii="宋体" w:hAnsi="宋体"/>
          <w:kern w:val="0"/>
          <w:szCs w:val="21"/>
        </w:rPr>
        <w:t>1.支付分解表的编制要求</w:t>
      </w:r>
    </w:p>
    <w:p w14:paraId="5E3A2D92">
      <w:pPr>
        <w:spacing w:line="360" w:lineRule="auto"/>
        <w:ind w:firstLine="420" w:firstLineChars="200"/>
        <w:jc w:val="left"/>
        <w:rPr>
          <w:rFonts w:ascii="宋体" w:hAnsi="宋体"/>
          <w:kern w:val="0"/>
          <w:szCs w:val="21"/>
        </w:rPr>
      </w:pPr>
      <w:r>
        <w:rPr>
          <w:rFonts w:hint="eastAsia" w:ascii="宋体" w:hAnsi="宋体"/>
          <w:kern w:val="0"/>
          <w:szCs w:val="21"/>
        </w:rPr>
        <w:t>（1）支付分解表中所列的每期付款金额，应为第12.4.2项〔进度付款申请单的编制〕第（1）目的估算金额；</w:t>
      </w:r>
    </w:p>
    <w:p w14:paraId="036C93DB">
      <w:pPr>
        <w:spacing w:line="360" w:lineRule="auto"/>
        <w:ind w:firstLine="420" w:firstLineChars="200"/>
        <w:jc w:val="left"/>
        <w:rPr>
          <w:rFonts w:ascii="宋体" w:hAnsi="宋体"/>
          <w:kern w:val="0"/>
          <w:szCs w:val="21"/>
        </w:rPr>
      </w:pPr>
      <w:r>
        <w:rPr>
          <w:rFonts w:hint="eastAsia" w:ascii="宋体" w:hAnsi="宋体"/>
          <w:kern w:val="0"/>
          <w:szCs w:val="21"/>
        </w:rPr>
        <w:t>（2）实际进度与施工进度计划不一致的，合同当事人可按照第4.4款〔商定或确定〕修改支付分解表；</w:t>
      </w:r>
    </w:p>
    <w:p w14:paraId="3BB950DA">
      <w:pPr>
        <w:spacing w:line="360" w:lineRule="auto"/>
        <w:ind w:firstLine="420" w:firstLineChars="200"/>
        <w:jc w:val="left"/>
        <w:rPr>
          <w:rFonts w:ascii="宋体" w:hAnsi="宋体"/>
          <w:kern w:val="0"/>
          <w:szCs w:val="21"/>
        </w:rPr>
      </w:pPr>
      <w:r>
        <w:rPr>
          <w:rFonts w:hint="eastAsia" w:ascii="宋体" w:hAnsi="宋体"/>
          <w:kern w:val="0"/>
          <w:szCs w:val="21"/>
        </w:rPr>
        <w:t>（3）不采用支付分解表的，承包人应向发包人和监理人提交按季度编制的支付估算分解表，用于支付参考。</w:t>
      </w:r>
    </w:p>
    <w:p w14:paraId="467DCDD6">
      <w:pPr>
        <w:spacing w:line="360" w:lineRule="auto"/>
        <w:ind w:firstLine="420" w:firstLineChars="200"/>
        <w:jc w:val="left"/>
        <w:rPr>
          <w:rFonts w:ascii="宋体" w:hAnsi="宋体"/>
          <w:kern w:val="0"/>
          <w:szCs w:val="21"/>
        </w:rPr>
      </w:pPr>
      <w:r>
        <w:rPr>
          <w:rFonts w:hint="eastAsia" w:ascii="宋体" w:hAnsi="宋体"/>
          <w:kern w:val="0"/>
          <w:szCs w:val="21"/>
        </w:rPr>
        <w:t>2.总价合同支付分解表的编制与审批</w:t>
      </w:r>
    </w:p>
    <w:p w14:paraId="44D6A008">
      <w:pPr>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747C5868">
      <w:pPr>
        <w:spacing w:line="360" w:lineRule="auto"/>
        <w:ind w:firstLine="420" w:firstLineChars="200"/>
        <w:jc w:val="left"/>
        <w:rPr>
          <w:rFonts w:ascii="宋体" w:hAnsi="宋体"/>
          <w:kern w:val="0"/>
          <w:szCs w:val="21"/>
        </w:rPr>
      </w:pPr>
      <w:r>
        <w:rPr>
          <w:rFonts w:hint="eastAsia" w:ascii="宋体" w:hAnsi="宋体"/>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E89C366">
      <w:pPr>
        <w:spacing w:line="360" w:lineRule="auto"/>
        <w:ind w:firstLine="420" w:firstLineChars="200"/>
        <w:jc w:val="left"/>
        <w:rPr>
          <w:rFonts w:ascii="宋体" w:hAnsi="宋体"/>
          <w:kern w:val="0"/>
          <w:szCs w:val="21"/>
        </w:rPr>
      </w:pPr>
      <w:r>
        <w:rPr>
          <w:rFonts w:hint="eastAsia" w:ascii="宋体" w:hAnsi="宋体"/>
          <w:kern w:val="0"/>
          <w:szCs w:val="21"/>
        </w:rPr>
        <w:t>（3）发包人逾期未完成支付分解表审批的，也未及时要求承包人进行修正和提供补充资料的，则承包人提交的支付分解表视为已经获得发包人批准。</w:t>
      </w:r>
    </w:p>
    <w:p w14:paraId="125B7525">
      <w:pPr>
        <w:spacing w:line="360" w:lineRule="auto"/>
        <w:ind w:firstLine="420" w:firstLineChars="200"/>
        <w:jc w:val="left"/>
        <w:rPr>
          <w:rFonts w:ascii="宋体" w:hAnsi="宋体"/>
          <w:kern w:val="0"/>
          <w:szCs w:val="21"/>
        </w:rPr>
      </w:pPr>
      <w:r>
        <w:rPr>
          <w:rFonts w:hint="eastAsia" w:ascii="宋体" w:hAnsi="宋体"/>
          <w:kern w:val="0"/>
          <w:szCs w:val="21"/>
        </w:rPr>
        <w:t>3.单价合同的总价项目支付分解表的编制与审批</w:t>
      </w:r>
    </w:p>
    <w:p w14:paraId="426853CC">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DE3BF41">
      <w:pPr>
        <w:pStyle w:val="7"/>
        <w:spacing w:before="0" w:beforeAutospacing="0" w:after="0" w:afterAutospacing="0" w:line="360" w:lineRule="auto"/>
        <w:ind w:firstLine="422" w:firstLineChars="200"/>
        <w:rPr>
          <w:sz w:val="21"/>
          <w:szCs w:val="21"/>
        </w:rPr>
      </w:pPr>
      <w:bookmarkStart w:id="831" w:name="_Toc532377273"/>
      <w:r>
        <w:rPr>
          <w:rFonts w:hint="eastAsia"/>
          <w:sz w:val="21"/>
          <w:szCs w:val="21"/>
        </w:rPr>
        <w:t>12.5支付账户</w:t>
      </w:r>
      <w:bookmarkEnd w:id="831"/>
    </w:p>
    <w:p w14:paraId="477F238A">
      <w:pPr>
        <w:spacing w:line="360" w:lineRule="auto"/>
        <w:ind w:firstLine="420" w:firstLineChars="200"/>
        <w:jc w:val="left"/>
        <w:rPr>
          <w:rFonts w:ascii="宋体" w:hAnsi="宋体"/>
          <w:kern w:val="0"/>
          <w:szCs w:val="21"/>
        </w:rPr>
      </w:pPr>
      <w:r>
        <w:rPr>
          <w:rFonts w:hint="eastAsia" w:ascii="宋体" w:hAnsi="宋体"/>
          <w:kern w:val="0"/>
          <w:szCs w:val="21"/>
        </w:rPr>
        <w:t>发包人应将合同价款支付至合同协议书中约定的承包人账户。</w:t>
      </w:r>
    </w:p>
    <w:p w14:paraId="386A9050">
      <w:pPr>
        <w:pStyle w:val="6"/>
        <w:keepNext/>
        <w:keepLines/>
        <w:spacing w:before="156" w:beforeLines="50" w:beforeAutospacing="0" w:after="156" w:afterLines="50" w:afterAutospacing="0" w:line="360" w:lineRule="auto"/>
        <w:jc w:val="both"/>
        <w:rPr>
          <w:bCs w:val="0"/>
          <w:kern w:val="2"/>
          <w:sz w:val="21"/>
          <w:szCs w:val="21"/>
        </w:rPr>
      </w:pPr>
      <w:bookmarkStart w:id="832" w:name="_Toc532375599"/>
      <w:bookmarkStart w:id="833" w:name="_Toc351203586"/>
      <w:bookmarkStart w:id="834" w:name="_Toc532377274"/>
      <w:bookmarkStart w:id="835" w:name="_Toc296346607"/>
      <w:bookmarkStart w:id="836" w:name="_Toc322522574"/>
      <w:bookmarkStart w:id="837" w:name="_Toc337558804"/>
      <w:bookmarkStart w:id="838" w:name="_Toc296503106"/>
      <w:r>
        <w:rPr>
          <w:rFonts w:hint="eastAsia"/>
          <w:kern w:val="2"/>
          <w:sz w:val="21"/>
          <w:szCs w:val="21"/>
        </w:rPr>
        <w:t>13. 验收和工程试车</w:t>
      </w:r>
      <w:bookmarkEnd w:id="832"/>
      <w:bookmarkEnd w:id="833"/>
      <w:bookmarkEnd w:id="834"/>
    </w:p>
    <w:bookmarkEnd w:id="835"/>
    <w:bookmarkEnd w:id="836"/>
    <w:bookmarkEnd w:id="837"/>
    <w:bookmarkEnd w:id="838"/>
    <w:p w14:paraId="564B1E5C">
      <w:pPr>
        <w:pStyle w:val="7"/>
        <w:spacing w:before="0" w:beforeAutospacing="0" w:after="0" w:afterAutospacing="0" w:line="360" w:lineRule="auto"/>
        <w:ind w:firstLine="422" w:firstLineChars="200"/>
        <w:rPr>
          <w:sz w:val="21"/>
          <w:szCs w:val="21"/>
        </w:rPr>
      </w:pPr>
      <w:bookmarkStart w:id="839" w:name="_Toc532377275"/>
      <w:bookmarkStart w:id="840" w:name="_Toc351203587"/>
      <w:bookmarkStart w:id="841" w:name="_Toc337558805"/>
      <w:bookmarkStart w:id="842" w:name="_Toc296503110"/>
      <w:bookmarkStart w:id="843" w:name="_Toc296346611"/>
      <w:r>
        <w:rPr>
          <w:rFonts w:hint="eastAsia"/>
          <w:sz w:val="21"/>
          <w:szCs w:val="21"/>
        </w:rPr>
        <w:t>13.1分部分项工程验收</w:t>
      </w:r>
      <w:bookmarkEnd w:id="839"/>
      <w:bookmarkEnd w:id="840"/>
    </w:p>
    <w:bookmarkEnd w:id="841"/>
    <w:p w14:paraId="7400F188">
      <w:pPr>
        <w:spacing w:line="360" w:lineRule="auto"/>
        <w:ind w:firstLine="420" w:firstLineChars="200"/>
        <w:jc w:val="left"/>
        <w:rPr>
          <w:rFonts w:ascii="宋体" w:hAnsi="宋体"/>
          <w:kern w:val="0"/>
          <w:szCs w:val="21"/>
        </w:rPr>
      </w:pPr>
      <w:r>
        <w:rPr>
          <w:rFonts w:hint="eastAsia" w:ascii="宋体" w:hAnsi="宋体"/>
          <w:kern w:val="0"/>
          <w:szCs w:val="21"/>
        </w:rPr>
        <w:t>13.1.1 分部分项工程质量应符合国家有关工程施工验收规范、标准及合同约定，承包人应按照施工组织设计的要求完成分部分项工程施工。</w:t>
      </w:r>
    </w:p>
    <w:p w14:paraId="0CE1141C">
      <w:pPr>
        <w:spacing w:line="360" w:lineRule="auto"/>
        <w:ind w:firstLine="420" w:firstLineChars="200"/>
        <w:jc w:val="left"/>
        <w:rPr>
          <w:rFonts w:ascii="宋体" w:hAnsi="宋体"/>
          <w:kern w:val="0"/>
          <w:szCs w:val="21"/>
        </w:rPr>
      </w:pPr>
      <w:r>
        <w:rPr>
          <w:rFonts w:hint="eastAsia" w:ascii="宋体" w:hAnsi="宋体"/>
          <w:kern w:val="0"/>
          <w:szCs w:val="21"/>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0DC86BF">
      <w:pPr>
        <w:spacing w:line="360" w:lineRule="auto"/>
        <w:ind w:firstLine="420" w:firstLineChars="200"/>
        <w:jc w:val="left"/>
        <w:rPr>
          <w:rFonts w:ascii="宋体" w:hAnsi="宋体"/>
          <w:kern w:val="0"/>
          <w:szCs w:val="21"/>
        </w:rPr>
      </w:pPr>
      <w:r>
        <w:rPr>
          <w:rFonts w:hint="eastAsia" w:ascii="宋体" w:hAnsi="宋体"/>
          <w:kern w:val="0"/>
          <w:szCs w:val="21"/>
        </w:rPr>
        <w:t>分部分项工程的验收资料应当作为竣工资料的组成部分。</w:t>
      </w:r>
    </w:p>
    <w:p w14:paraId="5690FB90">
      <w:pPr>
        <w:pStyle w:val="7"/>
        <w:spacing w:before="0" w:beforeAutospacing="0" w:after="0" w:afterAutospacing="0" w:line="360" w:lineRule="auto"/>
        <w:ind w:firstLine="422" w:firstLineChars="200"/>
        <w:rPr>
          <w:sz w:val="21"/>
          <w:szCs w:val="21"/>
        </w:rPr>
      </w:pPr>
      <w:bookmarkStart w:id="844" w:name="_Toc532377276"/>
      <w:bookmarkStart w:id="845" w:name="_Toc351203588"/>
      <w:bookmarkStart w:id="846" w:name="_Toc337558806"/>
      <w:r>
        <w:rPr>
          <w:rFonts w:hint="eastAsia"/>
          <w:sz w:val="21"/>
          <w:szCs w:val="21"/>
        </w:rPr>
        <w:t>13.2竣工验收</w:t>
      </w:r>
      <w:bookmarkEnd w:id="844"/>
      <w:bookmarkEnd w:id="845"/>
    </w:p>
    <w:bookmarkEnd w:id="842"/>
    <w:bookmarkEnd w:id="843"/>
    <w:bookmarkEnd w:id="846"/>
    <w:p w14:paraId="546A0931">
      <w:pPr>
        <w:spacing w:line="360" w:lineRule="auto"/>
        <w:ind w:firstLine="420" w:firstLineChars="200"/>
        <w:jc w:val="left"/>
        <w:rPr>
          <w:rFonts w:ascii="宋体" w:hAnsi="宋体"/>
          <w:kern w:val="0"/>
          <w:szCs w:val="21"/>
        </w:rPr>
      </w:pPr>
      <w:r>
        <w:rPr>
          <w:rFonts w:hint="eastAsia" w:ascii="宋体" w:hAnsi="宋体"/>
          <w:kern w:val="0"/>
          <w:szCs w:val="21"/>
        </w:rPr>
        <w:t>13.2.1竣工验收条件</w:t>
      </w:r>
    </w:p>
    <w:p w14:paraId="609D106B">
      <w:pPr>
        <w:spacing w:line="360" w:lineRule="auto"/>
        <w:ind w:firstLine="420" w:firstLineChars="200"/>
        <w:jc w:val="left"/>
        <w:rPr>
          <w:rFonts w:ascii="宋体" w:hAnsi="宋体"/>
          <w:kern w:val="0"/>
          <w:szCs w:val="21"/>
        </w:rPr>
      </w:pPr>
      <w:r>
        <w:rPr>
          <w:rFonts w:hint="eastAsia" w:ascii="宋体" w:hAnsi="宋体"/>
          <w:kern w:val="0"/>
          <w:szCs w:val="21"/>
        </w:rPr>
        <w:t>工程具备以下条件的，承包人可以申请竣工验收：</w:t>
      </w:r>
    </w:p>
    <w:p w14:paraId="1F980981">
      <w:pPr>
        <w:spacing w:line="360" w:lineRule="auto"/>
        <w:ind w:firstLine="420" w:firstLineChars="200"/>
        <w:jc w:val="left"/>
        <w:rPr>
          <w:rFonts w:ascii="宋体" w:hAnsi="宋体"/>
          <w:kern w:val="0"/>
          <w:szCs w:val="21"/>
        </w:rPr>
      </w:pPr>
      <w:r>
        <w:rPr>
          <w:rFonts w:hint="eastAsia" w:ascii="宋体" w:hAnsi="宋体"/>
          <w:kern w:val="0"/>
          <w:szCs w:val="21"/>
        </w:rPr>
        <w:t>（1）除发包人同意的甩项工作和缺陷修补工作外，合同范围内的全部工程以及有关工作，包括合同要求的试验、试运行以及检验均已完成，并符合合同要求；</w:t>
      </w:r>
    </w:p>
    <w:p w14:paraId="71B8C56C">
      <w:pPr>
        <w:spacing w:line="360" w:lineRule="auto"/>
        <w:ind w:firstLine="420" w:firstLineChars="200"/>
        <w:jc w:val="left"/>
        <w:rPr>
          <w:rFonts w:ascii="宋体" w:hAnsi="宋体"/>
          <w:kern w:val="0"/>
          <w:szCs w:val="21"/>
        </w:rPr>
      </w:pPr>
      <w:r>
        <w:rPr>
          <w:rFonts w:hint="eastAsia" w:ascii="宋体" w:hAnsi="宋体"/>
          <w:kern w:val="0"/>
          <w:szCs w:val="21"/>
        </w:rPr>
        <w:t>（2）已按合同约定编制了甩项工作和缺陷修补工作清单以及相应的施工计划；</w:t>
      </w:r>
    </w:p>
    <w:p w14:paraId="037BEE4C">
      <w:pPr>
        <w:spacing w:line="360" w:lineRule="auto"/>
        <w:ind w:firstLine="420" w:firstLineChars="200"/>
        <w:jc w:val="left"/>
        <w:rPr>
          <w:rFonts w:ascii="宋体" w:hAnsi="宋体"/>
          <w:kern w:val="0"/>
          <w:szCs w:val="21"/>
        </w:rPr>
      </w:pPr>
      <w:r>
        <w:rPr>
          <w:rFonts w:hint="eastAsia" w:ascii="宋体" w:hAnsi="宋体"/>
          <w:kern w:val="0"/>
          <w:szCs w:val="21"/>
        </w:rPr>
        <w:t>（3）已按合同约定的内容和份数备齐竣工资料。</w:t>
      </w:r>
    </w:p>
    <w:p w14:paraId="60561113">
      <w:pPr>
        <w:spacing w:line="360" w:lineRule="auto"/>
        <w:ind w:firstLine="420" w:firstLineChars="200"/>
        <w:jc w:val="left"/>
        <w:rPr>
          <w:rFonts w:ascii="宋体" w:hAnsi="宋体"/>
          <w:kern w:val="0"/>
          <w:szCs w:val="21"/>
        </w:rPr>
      </w:pPr>
      <w:r>
        <w:rPr>
          <w:rFonts w:hint="eastAsia" w:ascii="宋体" w:hAnsi="宋体"/>
          <w:kern w:val="0"/>
          <w:szCs w:val="21"/>
        </w:rPr>
        <w:t>13.2.2竣工验收程序</w:t>
      </w:r>
    </w:p>
    <w:p w14:paraId="0D33AB88">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除专用合同条款另有约定外，承包人申请竣工验收的，应当按照以下程序进行：</w:t>
      </w:r>
    </w:p>
    <w:p w14:paraId="580F455D">
      <w:pPr>
        <w:spacing w:line="360" w:lineRule="auto"/>
        <w:ind w:firstLine="420" w:firstLineChars="200"/>
        <w:jc w:val="left"/>
        <w:rPr>
          <w:rFonts w:ascii="宋体" w:hAnsi="宋体"/>
          <w:kern w:val="0"/>
          <w:szCs w:val="21"/>
        </w:rPr>
      </w:pPr>
      <w:r>
        <w:rPr>
          <w:rFonts w:hint="eastAsia" w:ascii="宋体" w:hAnsi="宋体"/>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6788484">
      <w:pPr>
        <w:spacing w:line="360" w:lineRule="auto"/>
        <w:ind w:firstLine="420" w:firstLineChars="200"/>
        <w:jc w:val="left"/>
        <w:rPr>
          <w:rFonts w:ascii="宋体" w:hAnsi="宋体"/>
          <w:kern w:val="0"/>
          <w:szCs w:val="21"/>
        </w:rPr>
      </w:pPr>
      <w:r>
        <w:rPr>
          <w:rFonts w:hint="eastAsia" w:ascii="宋体" w:hAnsi="宋体"/>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D9EFD74">
      <w:pPr>
        <w:spacing w:line="360" w:lineRule="auto"/>
        <w:ind w:firstLine="420" w:firstLineChars="200"/>
        <w:jc w:val="left"/>
        <w:rPr>
          <w:rFonts w:ascii="宋体" w:hAnsi="宋体"/>
          <w:kern w:val="0"/>
          <w:szCs w:val="21"/>
        </w:rPr>
      </w:pPr>
      <w:r>
        <w:rPr>
          <w:rFonts w:hint="eastAsia" w:ascii="宋体" w:hAnsi="宋体"/>
          <w:kern w:val="0"/>
          <w:szCs w:val="21"/>
        </w:rPr>
        <w:t>（3）竣工验收合格的，发包人应在验收合格后14天内向承包人签发工程接收证书。发包人无正当理由逾期不颁发工程接收证书的，自验收合格后第15天起视为已颁发工程接收证书。</w:t>
      </w:r>
    </w:p>
    <w:p w14:paraId="67E0F54D">
      <w:pPr>
        <w:spacing w:line="360" w:lineRule="auto"/>
        <w:ind w:firstLine="420" w:firstLineChars="200"/>
        <w:jc w:val="left"/>
        <w:rPr>
          <w:rFonts w:ascii="宋体" w:hAnsi="宋体"/>
          <w:kern w:val="0"/>
          <w:szCs w:val="21"/>
        </w:rPr>
      </w:pPr>
      <w:r>
        <w:rPr>
          <w:rFonts w:hint="eastAsia" w:ascii="宋体" w:hAnsi="宋体"/>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BE4573B">
      <w:pPr>
        <w:spacing w:line="360" w:lineRule="auto"/>
        <w:ind w:firstLine="420" w:firstLineChars="200"/>
        <w:jc w:val="left"/>
        <w:rPr>
          <w:rFonts w:ascii="宋体" w:hAnsi="宋体"/>
          <w:kern w:val="0"/>
          <w:szCs w:val="21"/>
        </w:rPr>
      </w:pPr>
      <w:r>
        <w:rPr>
          <w:rFonts w:hint="eastAsia" w:ascii="宋体" w:hAnsi="宋体"/>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DB7493B">
      <w:pPr>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27D76377">
      <w:pPr>
        <w:spacing w:line="360" w:lineRule="auto"/>
        <w:ind w:firstLine="420" w:firstLineChars="200"/>
        <w:jc w:val="left"/>
        <w:rPr>
          <w:rFonts w:ascii="宋体" w:hAnsi="宋体"/>
          <w:kern w:val="0"/>
          <w:szCs w:val="21"/>
        </w:rPr>
      </w:pPr>
      <w:r>
        <w:rPr>
          <w:rFonts w:hint="eastAsia" w:ascii="宋体" w:hAnsi="宋体"/>
          <w:kern w:val="0"/>
          <w:szCs w:val="21"/>
        </w:rPr>
        <w:t>13.2.3竣工日期</w:t>
      </w:r>
    </w:p>
    <w:p w14:paraId="4511A5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847" w:name="#go14"/>
      <w:bookmarkEnd w:id="847"/>
      <w:r>
        <w:rPr>
          <w:rFonts w:hint="eastAsia" w:ascii="宋体" w:hAnsi="宋体"/>
          <w:kern w:val="0"/>
          <w:szCs w:val="21"/>
        </w:rPr>
        <w:t>收申请报告的日期为实际竣工日期；工程未经竣工验收，发包人擅自使用的，以转移占有工程之日为实际竣工日期。</w:t>
      </w:r>
    </w:p>
    <w:p w14:paraId="1190D2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13.2.4 拒绝接收全部或部分工程</w:t>
      </w:r>
    </w:p>
    <w:p w14:paraId="683F96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31F615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13.2.5 移交、接收全部与部分工程</w:t>
      </w:r>
    </w:p>
    <w:p w14:paraId="428FE4F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除专用合同条款另有约定外，合同当事人应当在颁发工程接收证书后7天内完成工程的移交。</w:t>
      </w:r>
    </w:p>
    <w:p w14:paraId="3F4B98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06FC541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23603867">
      <w:pPr>
        <w:pStyle w:val="7"/>
        <w:spacing w:before="0" w:beforeAutospacing="0" w:after="0" w:afterAutospacing="0" w:line="360" w:lineRule="auto"/>
        <w:ind w:firstLine="422" w:firstLineChars="200"/>
        <w:rPr>
          <w:sz w:val="21"/>
          <w:szCs w:val="21"/>
        </w:rPr>
      </w:pPr>
      <w:bookmarkStart w:id="848" w:name="_Toc351203589"/>
      <w:bookmarkStart w:id="849" w:name="_Toc532377277"/>
      <w:bookmarkStart w:id="850" w:name="_Toc296346612"/>
      <w:bookmarkStart w:id="851" w:name="_Toc296503111"/>
      <w:bookmarkStart w:id="852" w:name="_Toc337558807"/>
      <w:r>
        <w:rPr>
          <w:rFonts w:hint="eastAsia"/>
          <w:sz w:val="21"/>
          <w:szCs w:val="21"/>
        </w:rPr>
        <w:t>13.3工程试车</w:t>
      </w:r>
      <w:bookmarkEnd w:id="848"/>
      <w:bookmarkEnd w:id="849"/>
    </w:p>
    <w:bookmarkEnd w:id="850"/>
    <w:bookmarkEnd w:id="851"/>
    <w:bookmarkEnd w:id="852"/>
    <w:p w14:paraId="30B10AB7">
      <w:pPr>
        <w:spacing w:line="360" w:lineRule="auto"/>
        <w:ind w:firstLine="420" w:firstLineChars="200"/>
        <w:jc w:val="left"/>
        <w:rPr>
          <w:rFonts w:ascii="宋体" w:hAnsi="宋体"/>
          <w:kern w:val="0"/>
          <w:szCs w:val="21"/>
        </w:rPr>
      </w:pPr>
      <w:r>
        <w:rPr>
          <w:rFonts w:hint="eastAsia" w:ascii="宋体" w:hAnsi="宋体"/>
          <w:kern w:val="0"/>
          <w:szCs w:val="21"/>
        </w:rPr>
        <w:t>13.3.1试车程序</w:t>
      </w:r>
    </w:p>
    <w:p w14:paraId="1F08244E">
      <w:pPr>
        <w:spacing w:line="360" w:lineRule="auto"/>
        <w:ind w:firstLine="420" w:firstLineChars="200"/>
        <w:jc w:val="left"/>
        <w:rPr>
          <w:rFonts w:ascii="宋体" w:hAnsi="宋体"/>
          <w:kern w:val="0"/>
          <w:szCs w:val="21"/>
        </w:rPr>
      </w:pPr>
      <w:r>
        <w:rPr>
          <w:rFonts w:hint="eastAsia" w:ascii="宋体" w:hAnsi="宋体"/>
          <w:kern w:val="0"/>
          <w:szCs w:val="21"/>
        </w:rPr>
        <w:t>工程需要试车的，除专用合同条款另有约定外，试车内容应与承包人承包范围相一致，试车费用由承包人承担。工程试车应按如下程序进行：</w:t>
      </w:r>
    </w:p>
    <w:p w14:paraId="6FBF584B">
      <w:pPr>
        <w:spacing w:line="360" w:lineRule="auto"/>
        <w:ind w:firstLine="420" w:firstLineChars="200"/>
        <w:jc w:val="left"/>
        <w:rPr>
          <w:rFonts w:ascii="宋体" w:hAnsi="宋体"/>
          <w:kern w:val="0"/>
          <w:szCs w:val="21"/>
        </w:rPr>
      </w:pPr>
      <w:r>
        <w:rPr>
          <w:rFonts w:hint="eastAsia" w:ascii="宋体" w:hAnsi="宋体"/>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32FFF01">
      <w:pPr>
        <w:spacing w:line="360" w:lineRule="auto"/>
        <w:ind w:firstLine="420" w:firstLineChars="200"/>
        <w:jc w:val="left"/>
        <w:rPr>
          <w:rFonts w:ascii="宋体" w:hAnsi="宋体"/>
          <w:kern w:val="0"/>
          <w:szCs w:val="21"/>
        </w:rPr>
      </w:pPr>
      <w:r>
        <w:rPr>
          <w:rFonts w:hint="eastAsia" w:ascii="宋体" w:hAnsi="宋体"/>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0F61023">
      <w:pPr>
        <w:spacing w:line="360" w:lineRule="auto"/>
        <w:ind w:firstLine="420" w:firstLineChars="200"/>
        <w:jc w:val="left"/>
        <w:rPr>
          <w:rFonts w:ascii="宋体" w:hAnsi="宋体"/>
          <w:kern w:val="0"/>
          <w:szCs w:val="21"/>
        </w:rPr>
      </w:pPr>
      <w:r>
        <w:rPr>
          <w:rFonts w:hint="eastAsia" w:ascii="宋体" w:hAnsi="宋体"/>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C6A6DE0">
      <w:pPr>
        <w:spacing w:line="360" w:lineRule="auto"/>
        <w:ind w:firstLine="420" w:firstLineChars="200"/>
        <w:jc w:val="left"/>
        <w:rPr>
          <w:rFonts w:ascii="宋体" w:hAnsi="宋体"/>
          <w:kern w:val="0"/>
          <w:szCs w:val="21"/>
        </w:rPr>
      </w:pPr>
      <w:r>
        <w:rPr>
          <w:rFonts w:hint="eastAsia" w:ascii="宋体" w:hAnsi="宋体"/>
          <w:kern w:val="0"/>
          <w:szCs w:val="21"/>
        </w:rPr>
        <w:t>13.3.2 试车中的责任</w:t>
      </w:r>
    </w:p>
    <w:p w14:paraId="703F8B31">
      <w:pPr>
        <w:spacing w:line="360" w:lineRule="auto"/>
        <w:ind w:firstLine="420" w:firstLineChars="200"/>
        <w:jc w:val="left"/>
        <w:rPr>
          <w:rFonts w:ascii="宋体" w:hAnsi="宋体"/>
          <w:kern w:val="0"/>
          <w:szCs w:val="21"/>
        </w:rPr>
      </w:pPr>
      <w:r>
        <w:rPr>
          <w:rFonts w:hint="eastAsia" w:ascii="宋体" w:hAnsi="宋体"/>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3B4C4775">
      <w:pPr>
        <w:spacing w:line="360" w:lineRule="auto"/>
        <w:ind w:firstLine="420" w:firstLineChars="200"/>
        <w:jc w:val="left"/>
        <w:rPr>
          <w:rFonts w:ascii="宋体" w:hAnsi="宋体"/>
          <w:kern w:val="0"/>
          <w:szCs w:val="21"/>
        </w:rPr>
      </w:pPr>
      <w:r>
        <w:rPr>
          <w:rFonts w:hint="eastAsia" w:ascii="宋体" w:hAnsi="宋体"/>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9295231">
      <w:pPr>
        <w:spacing w:line="360" w:lineRule="auto"/>
        <w:ind w:firstLine="420" w:firstLineChars="200"/>
        <w:jc w:val="left"/>
        <w:rPr>
          <w:rFonts w:ascii="宋体" w:hAnsi="宋体"/>
          <w:kern w:val="0"/>
          <w:szCs w:val="21"/>
        </w:rPr>
      </w:pPr>
      <w:r>
        <w:rPr>
          <w:rFonts w:hint="eastAsia" w:ascii="宋体" w:hAnsi="宋体"/>
          <w:kern w:val="0"/>
          <w:szCs w:val="21"/>
        </w:rPr>
        <w:t>13.3.3 投料试车</w:t>
      </w:r>
    </w:p>
    <w:p w14:paraId="424C641E">
      <w:pPr>
        <w:spacing w:line="360" w:lineRule="auto"/>
        <w:ind w:firstLine="420" w:firstLineChars="200"/>
        <w:jc w:val="left"/>
        <w:rPr>
          <w:rFonts w:ascii="宋体" w:hAnsi="宋体"/>
          <w:kern w:val="0"/>
          <w:szCs w:val="21"/>
        </w:rPr>
      </w:pPr>
      <w:r>
        <w:rPr>
          <w:rFonts w:hint="eastAsia" w:ascii="宋体" w:hAnsi="宋体"/>
          <w:kern w:val="0"/>
          <w:szCs w:val="21"/>
        </w:rPr>
        <w:t>如需进行投料试车的，发包人应在工程竣工验收后组织投料试车。发包人要求在工程竣工验收前进行或需要承包人配合时，应征得承包人同意，并在专用合同条款中约定有关事项。</w:t>
      </w:r>
    </w:p>
    <w:p w14:paraId="65F6D997">
      <w:pPr>
        <w:spacing w:line="360" w:lineRule="auto"/>
        <w:ind w:firstLine="420" w:firstLineChars="200"/>
        <w:jc w:val="left"/>
        <w:rPr>
          <w:rFonts w:ascii="宋体" w:hAnsi="宋体"/>
          <w:kern w:val="0"/>
          <w:szCs w:val="21"/>
        </w:rPr>
      </w:pPr>
      <w:r>
        <w:rPr>
          <w:rFonts w:hint="eastAsia" w:ascii="宋体" w:hAnsi="宋体"/>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1776D287">
      <w:pPr>
        <w:pStyle w:val="7"/>
        <w:spacing w:before="0" w:beforeAutospacing="0" w:after="0" w:afterAutospacing="0" w:line="360" w:lineRule="auto"/>
        <w:ind w:firstLine="422" w:firstLineChars="200"/>
        <w:rPr>
          <w:sz w:val="21"/>
          <w:szCs w:val="21"/>
        </w:rPr>
      </w:pPr>
      <w:bookmarkStart w:id="853" w:name="_Toc532377278"/>
      <w:r>
        <w:rPr>
          <w:rFonts w:hint="eastAsia"/>
          <w:sz w:val="21"/>
          <w:szCs w:val="21"/>
        </w:rPr>
        <w:t>13.4提前交付单位工程的验收</w:t>
      </w:r>
      <w:bookmarkEnd w:id="853"/>
    </w:p>
    <w:p w14:paraId="7BFE049C">
      <w:pPr>
        <w:spacing w:line="360" w:lineRule="auto"/>
        <w:ind w:firstLine="420" w:firstLineChars="200"/>
        <w:jc w:val="left"/>
        <w:rPr>
          <w:rFonts w:ascii="宋体" w:hAnsi="宋体"/>
          <w:kern w:val="0"/>
          <w:szCs w:val="21"/>
        </w:rPr>
      </w:pPr>
      <w:r>
        <w:rPr>
          <w:rFonts w:hint="eastAsia" w:ascii="宋体" w:hAnsi="宋体"/>
          <w:kern w:val="0"/>
          <w:szCs w:val="21"/>
        </w:rPr>
        <w:t>13.4.1 发包人需要在工程竣工前使用单位工程的，或承包人提出提前交付已经竣工的单位工程且经发包人同意的，可进行单位工程验收，验收的程序按照第13.2款〔竣工验收〕的约定进行。</w:t>
      </w:r>
    </w:p>
    <w:p w14:paraId="0F989A8A">
      <w:pPr>
        <w:spacing w:line="360" w:lineRule="auto"/>
        <w:ind w:firstLine="420" w:firstLineChars="200"/>
        <w:jc w:val="left"/>
        <w:rPr>
          <w:rFonts w:ascii="宋体" w:hAnsi="宋体"/>
          <w:kern w:val="0"/>
          <w:szCs w:val="21"/>
        </w:rPr>
      </w:pPr>
      <w:r>
        <w:rPr>
          <w:rFonts w:hint="eastAsia" w:ascii="宋体" w:hAnsi="宋体"/>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63BD41D3">
      <w:pPr>
        <w:spacing w:line="360" w:lineRule="auto"/>
        <w:ind w:firstLine="420" w:firstLineChars="200"/>
        <w:jc w:val="left"/>
        <w:rPr>
          <w:rFonts w:ascii="宋体" w:hAnsi="宋体"/>
          <w:kern w:val="0"/>
          <w:szCs w:val="21"/>
        </w:rPr>
      </w:pPr>
      <w:r>
        <w:rPr>
          <w:rFonts w:hint="eastAsia" w:ascii="宋体" w:hAnsi="宋体"/>
          <w:kern w:val="0"/>
          <w:szCs w:val="21"/>
        </w:rPr>
        <w:t>13.4.2 发包人要求在工程竣工前交付单位工程，由此导致承包人费用增加和（或）工期延误的，由发包人承担由此增加的费用和（或）延误的工期，并支付承包人合理的利润。</w:t>
      </w:r>
    </w:p>
    <w:p w14:paraId="4984D6F5">
      <w:pPr>
        <w:pStyle w:val="7"/>
        <w:spacing w:before="0" w:beforeAutospacing="0" w:after="0" w:afterAutospacing="0" w:line="360" w:lineRule="auto"/>
        <w:ind w:firstLine="422" w:firstLineChars="200"/>
        <w:rPr>
          <w:sz w:val="21"/>
          <w:szCs w:val="21"/>
        </w:rPr>
      </w:pPr>
      <w:bookmarkStart w:id="854" w:name="_Toc351203591"/>
      <w:bookmarkStart w:id="855" w:name="_Toc532377279"/>
      <w:r>
        <w:rPr>
          <w:rFonts w:hint="eastAsia"/>
          <w:sz w:val="21"/>
          <w:szCs w:val="21"/>
        </w:rPr>
        <w:t>13.5 施工期运行</w:t>
      </w:r>
      <w:bookmarkEnd w:id="854"/>
      <w:bookmarkEnd w:id="855"/>
    </w:p>
    <w:p w14:paraId="4AF956DA">
      <w:pPr>
        <w:spacing w:line="360" w:lineRule="auto"/>
        <w:ind w:firstLine="420" w:firstLineChars="200"/>
        <w:jc w:val="left"/>
        <w:rPr>
          <w:rFonts w:ascii="宋体" w:hAnsi="宋体"/>
          <w:kern w:val="0"/>
          <w:szCs w:val="21"/>
        </w:rPr>
      </w:pPr>
      <w:r>
        <w:rPr>
          <w:rFonts w:hint="eastAsia" w:ascii="宋体" w:hAnsi="宋体"/>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2FEE290">
      <w:pPr>
        <w:spacing w:line="360" w:lineRule="auto"/>
        <w:ind w:firstLine="420" w:firstLineChars="200"/>
        <w:jc w:val="left"/>
        <w:rPr>
          <w:rFonts w:ascii="宋体" w:hAnsi="宋体"/>
          <w:kern w:val="0"/>
          <w:szCs w:val="21"/>
        </w:rPr>
      </w:pPr>
      <w:r>
        <w:rPr>
          <w:rFonts w:hint="eastAsia" w:ascii="宋体" w:hAnsi="宋体"/>
          <w:kern w:val="0"/>
          <w:szCs w:val="21"/>
        </w:rPr>
        <w:t>13.5.2 在施工期运行中发现工程或工程设备损坏或存在缺陷的，由承包人按第15.2款〔缺陷责任期〕约定进行修复。</w:t>
      </w:r>
    </w:p>
    <w:p w14:paraId="3AFD3133">
      <w:pPr>
        <w:pStyle w:val="7"/>
        <w:spacing w:before="0" w:beforeAutospacing="0" w:after="0" w:afterAutospacing="0" w:line="360" w:lineRule="auto"/>
        <w:ind w:firstLine="422" w:firstLineChars="200"/>
        <w:rPr>
          <w:sz w:val="21"/>
          <w:szCs w:val="21"/>
        </w:rPr>
      </w:pPr>
      <w:bookmarkStart w:id="856" w:name="_Toc296346613"/>
      <w:bookmarkStart w:id="857" w:name="_Toc296503112"/>
      <w:bookmarkStart w:id="858" w:name="_Toc532377280"/>
      <w:bookmarkStart w:id="859" w:name="_Toc351203592"/>
      <w:bookmarkStart w:id="860" w:name="_Toc337558809"/>
      <w:r>
        <w:rPr>
          <w:rFonts w:hint="eastAsia"/>
          <w:sz w:val="21"/>
          <w:szCs w:val="21"/>
        </w:rPr>
        <w:t>13.6 竣工退</w:t>
      </w:r>
      <w:bookmarkEnd w:id="856"/>
      <w:bookmarkEnd w:id="857"/>
      <w:r>
        <w:rPr>
          <w:rFonts w:hint="eastAsia"/>
          <w:sz w:val="21"/>
          <w:szCs w:val="21"/>
        </w:rPr>
        <w:t>场</w:t>
      </w:r>
      <w:bookmarkEnd w:id="858"/>
      <w:bookmarkEnd w:id="859"/>
    </w:p>
    <w:bookmarkEnd w:id="860"/>
    <w:p w14:paraId="10D7090C">
      <w:pPr>
        <w:spacing w:line="360" w:lineRule="auto"/>
        <w:ind w:firstLine="420" w:firstLineChars="200"/>
        <w:jc w:val="left"/>
        <w:rPr>
          <w:rFonts w:ascii="宋体" w:hAnsi="宋体"/>
          <w:kern w:val="0"/>
          <w:szCs w:val="21"/>
        </w:rPr>
      </w:pPr>
      <w:r>
        <w:rPr>
          <w:rFonts w:hint="eastAsia" w:ascii="宋体" w:hAnsi="宋体"/>
          <w:kern w:val="0"/>
          <w:szCs w:val="21"/>
        </w:rPr>
        <w:t>13.6.1 竣工退场</w:t>
      </w:r>
    </w:p>
    <w:p w14:paraId="623429F8">
      <w:pPr>
        <w:spacing w:line="360" w:lineRule="auto"/>
        <w:ind w:firstLine="420" w:firstLineChars="200"/>
        <w:jc w:val="left"/>
        <w:rPr>
          <w:rFonts w:ascii="宋体" w:hAnsi="宋体"/>
          <w:kern w:val="0"/>
          <w:szCs w:val="21"/>
        </w:rPr>
      </w:pPr>
      <w:r>
        <w:rPr>
          <w:rFonts w:hint="eastAsia" w:ascii="宋体" w:hAnsi="宋体"/>
          <w:kern w:val="0"/>
          <w:szCs w:val="21"/>
        </w:rPr>
        <w:t>颁发工程接收证书后，承包人应按以下要求对施工现场进行清理：</w:t>
      </w:r>
    </w:p>
    <w:p w14:paraId="4FB756A5">
      <w:pPr>
        <w:spacing w:line="360" w:lineRule="auto"/>
        <w:ind w:firstLine="420" w:firstLineChars="200"/>
        <w:jc w:val="left"/>
        <w:rPr>
          <w:rFonts w:ascii="宋体" w:hAnsi="宋体"/>
          <w:kern w:val="0"/>
          <w:szCs w:val="21"/>
        </w:rPr>
      </w:pPr>
      <w:r>
        <w:rPr>
          <w:rFonts w:hint="eastAsia" w:ascii="宋体" w:hAnsi="宋体"/>
          <w:kern w:val="0"/>
          <w:szCs w:val="21"/>
        </w:rPr>
        <w:t>（1）施工现场内残留的垃圾已全部清除出场；</w:t>
      </w:r>
    </w:p>
    <w:p w14:paraId="298E21E9">
      <w:pPr>
        <w:spacing w:line="360" w:lineRule="auto"/>
        <w:ind w:firstLine="420" w:firstLineChars="200"/>
        <w:jc w:val="left"/>
        <w:rPr>
          <w:rFonts w:ascii="宋体" w:hAnsi="宋体"/>
          <w:kern w:val="0"/>
          <w:szCs w:val="21"/>
        </w:rPr>
      </w:pPr>
      <w:r>
        <w:rPr>
          <w:rFonts w:hint="eastAsia" w:ascii="宋体" w:hAnsi="宋体"/>
          <w:kern w:val="0"/>
          <w:szCs w:val="21"/>
        </w:rPr>
        <w:t>（2）临时工程已拆除，场地已进行清理、平整或复原；</w:t>
      </w:r>
    </w:p>
    <w:p w14:paraId="27FC6644">
      <w:pPr>
        <w:spacing w:line="360" w:lineRule="auto"/>
        <w:ind w:firstLine="420" w:firstLineChars="200"/>
        <w:jc w:val="left"/>
        <w:rPr>
          <w:rFonts w:ascii="宋体" w:hAnsi="宋体"/>
          <w:kern w:val="0"/>
          <w:szCs w:val="21"/>
        </w:rPr>
      </w:pPr>
      <w:r>
        <w:rPr>
          <w:rFonts w:hint="eastAsia" w:ascii="宋体" w:hAnsi="宋体"/>
          <w:kern w:val="0"/>
          <w:szCs w:val="21"/>
        </w:rPr>
        <w:t>（3）按合同约定应撤离的人员、承包人施工设备和剩余的材料，包括废弃的施工设备和材料，已按计划撤离施工现场；</w:t>
      </w:r>
    </w:p>
    <w:p w14:paraId="56C056D8">
      <w:pPr>
        <w:spacing w:line="360" w:lineRule="auto"/>
        <w:ind w:firstLine="420" w:firstLineChars="200"/>
        <w:jc w:val="left"/>
        <w:rPr>
          <w:rFonts w:ascii="宋体" w:hAnsi="宋体"/>
          <w:kern w:val="0"/>
          <w:szCs w:val="21"/>
        </w:rPr>
      </w:pPr>
      <w:r>
        <w:rPr>
          <w:rFonts w:hint="eastAsia" w:ascii="宋体" w:hAnsi="宋体"/>
          <w:kern w:val="0"/>
          <w:szCs w:val="21"/>
        </w:rPr>
        <w:t>（4）施工现场周边及其附近道路、河道的施工堆积物，已全部清理；</w:t>
      </w:r>
    </w:p>
    <w:p w14:paraId="2F9A3EF9">
      <w:pPr>
        <w:spacing w:line="360" w:lineRule="auto"/>
        <w:ind w:firstLine="420" w:firstLineChars="200"/>
        <w:jc w:val="left"/>
        <w:rPr>
          <w:rFonts w:ascii="宋体" w:hAnsi="宋体"/>
          <w:kern w:val="0"/>
          <w:szCs w:val="21"/>
        </w:rPr>
      </w:pPr>
      <w:r>
        <w:rPr>
          <w:rFonts w:hint="eastAsia" w:ascii="宋体" w:hAnsi="宋体"/>
          <w:kern w:val="0"/>
          <w:szCs w:val="21"/>
        </w:rPr>
        <w:t>（5）施工现场其他场地清理工作已全部完成。</w:t>
      </w:r>
    </w:p>
    <w:p w14:paraId="0B5F2F1A">
      <w:pPr>
        <w:spacing w:line="360" w:lineRule="auto"/>
        <w:ind w:firstLine="420" w:firstLineChars="200"/>
        <w:jc w:val="left"/>
        <w:rPr>
          <w:rFonts w:ascii="宋体" w:hAnsi="宋体"/>
          <w:kern w:val="0"/>
          <w:szCs w:val="21"/>
        </w:rPr>
      </w:pPr>
      <w:r>
        <w:rPr>
          <w:rFonts w:hint="eastAsia" w:ascii="宋体" w:hAnsi="宋体"/>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D0B4164">
      <w:pPr>
        <w:spacing w:line="360" w:lineRule="auto"/>
        <w:ind w:firstLine="420" w:firstLineChars="200"/>
        <w:jc w:val="left"/>
        <w:rPr>
          <w:rFonts w:ascii="宋体" w:hAnsi="宋体"/>
          <w:kern w:val="0"/>
          <w:szCs w:val="21"/>
        </w:rPr>
      </w:pPr>
      <w:r>
        <w:rPr>
          <w:rFonts w:hint="eastAsia" w:ascii="宋体" w:hAnsi="宋体"/>
          <w:kern w:val="0"/>
          <w:szCs w:val="21"/>
        </w:rPr>
        <w:t>13.6.2 地表还原</w:t>
      </w:r>
    </w:p>
    <w:p w14:paraId="2C5714BB">
      <w:pPr>
        <w:spacing w:line="360" w:lineRule="auto"/>
        <w:ind w:firstLine="420" w:firstLineChars="200"/>
        <w:jc w:val="left"/>
        <w:rPr>
          <w:rFonts w:ascii="宋体" w:hAnsi="宋体"/>
          <w:kern w:val="0"/>
          <w:szCs w:val="21"/>
        </w:rPr>
      </w:pPr>
      <w:r>
        <w:rPr>
          <w:rFonts w:hint="eastAsia" w:ascii="宋体" w:hAnsi="宋体"/>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46CEFFA9">
      <w:pPr>
        <w:pStyle w:val="6"/>
        <w:keepNext/>
        <w:keepLines/>
        <w:spacing w:before="156" w:beforeLines="50" w:beforeAutospacing="0" w:after="156" w:afterLines="50" w:afterAutospacing="0" w:line="360" w:lineRule="auto"/>
        <w:jc w:val="both"/>
        <w:rPr>
          <w:bCs w:val="0"/>
          <w:kern w:val="2"/>
          <w:sz w:val="21"/>
          <w:szCs w:val="21"/>
        </w:rPr>
      </w:pPr>
      <w:bookmarkStart w:id="861" w:name="_Toc351203593"/>
      <w:bookmarkStart w:id="862" w:name="_Toc532377281"/>
      <w:bookmarkStart w:id="863" w:name="_Toc532375600"/>
      <w:bookmarkStart w:id="864" w:name="_Toc337558810"/>
      <w:bookmarkStart w:id="865" w:name="_Toc296346614"/>
      <w:bookmarkStart w:id="866" w:name="_Toc296503113"/>
      <w:r>
        <w:rPr>
          <w:rFonts w:hint="eastAsia"/>
          <w:kern w:val="2"/>
          <w:sz w:val="21"/>
          <w:szCs w:val="21"/>
        </w:rPr>
        <w:t>14. 竣工结算</w:t>
      </w:r>
      <w:bookmarkEnd w:id="861"/>
      <w:bookmarkEnd w:id="862"/>
      <w:bookmarkEnd w:id="863"/>
    </w:p>
    <w:bookmarkEnd w:id="864"/>
    <w:p w14:paraId="6A3B48A1">
      <w:pPr>
        <w:pStyle w:val="7"/>
        <w:spacing w:before="0" w:beforeAutospacing="0" w:after="0" w:afterAutospacing="0" w:line="360" w:lineRule="auto"/>
        <w:ind w:firstLine="422" w:firstLineChars="200"/>
        <w:rPr>
          <w:sz w:val="21"/>
          <w:szCs w:val="21"/>
        </w:rPr>
      </w:pPr>
      <w:bookmarkStart w:id="867" w:name="_Toc532377282"/>
      <w:bookmarkStart w:id="868" w:name="_Toc351203594"/>
      <w:bookmarkStart w:id="869" w:name="_Toc337558811"/>
      <w:r>
        <w:rPr>
          <w:rFonts w:hint="eastAsia"/>
          <w:sz w:val="21"/>
          <w:szCs w:val="21"/>
        </w:rPr>
        <w:t>14.1 竣工结算申请</w:t>
      </w:r>
      <w:bookmarkEnd w:id="867"/>
      <w:bookmarkEnd w:id="868"/>
    </w:p>
    <w:bookmarkEnd w:id="869"/>
    <w:p w14:paraId="65132B4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40C6AA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除专用合同条款另有约定外，竣工结算申请单应包括以下内容：</w:t>
      </w:r>
    </w:p>
    <w:p w14:paraId="51C6D47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（1）竣工结算合同价格；</w:t>
      </w:r>
    </w:p>
    <w:p w14:paraId="3A2F36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（2）发包人已支付承包人的款项；</w:t>
      </w:r>
    </w:p>
    <w:p w14:paraId="1737D0B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（3）应扣留的质量保证金。已缴纳履约保证金的或提供其他工程质量担保方式的除外； </w:t>
      </w:r>
    </w:p>
    <w:p w14:paraId="7142FFB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（4）发包人应支付承包人的合同价款。</w:t>
      </w:r>
    </w:p>
    <w:p w14:paraId="37B009F3">
      <w:pPr>
        <w:pStyle w:val="7"/>
        <w:spacing w:before="0" w:beforeAutospacing="0" w:after="0" w:afterAutospacing="0" w:line="360" w:lineRule="auto"/>
        <w:ind w:firstLine="422" w:firstLineChars="200"/>
        <w:rPr>
          <w:sz w:val="21"/>
          <w:szCs w:val="21"/>
        </w:rPr>
      </w:pPr>
      <w:bookmarkStart w:id="870" w:name="_Toc532377283"/>
      <w:bookmarkStart w:id="871" w:name="_Toc351203595"/>
      <w:bookmarkStart w:id="872" w:name="_Toc337558812"/>
      <w:r>
        <w:rPr>
          <w:rFonts w:hint="eastAsia"/>
          <w:sz w:val="21"/>
          <w:szCs w:val="21"/>
        </w:rPr>
        <w:t>14.2 竣工结算审核</w:t>
      </w:r>
      <w:bookmarkEnd w:id="870"/>
      <w:bookmarkEnd w:id="871"/>
    </w:p>
    <w:bookmarkEnd w:id="872"/>
    <w:p w14:paraId="58B3C7C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E79370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19B83A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9E36D5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62C5EDC3">
      <w:pPr>
        <w:pStyle w:val="7"/>
        <w:spacing w:before="0" w:beforeAutospacing="0" w:after="0" w:afterAutospacing="0" w:line="360" w:lineRule="auto"/>
        <w:ind w:firstLine="422" w:firstLineChars="200"/>
        <w:rPr>
          <w:sz w:val="21"/>
          <w:szCs w:val="21"/>
        </w:rPr>
      </w:pPr>
      <w:bookmarkStart w:id="873" w:name="_Toc351203596"/>
      <w:bookmarkStart w:id="874" w:name="_Toc532377284"/>
      <w:bookmarkStart w:id="875" w:name="_Toc337558813"/>
      <w:r>
        <w:rPr>
          <w:rFonts w:hint="eastAsia"/>
          <w:sz w:val="21"/>
          <w:szCs w:val="21"/>
        </w:rPr>
        <w:t>14.3 甩项竣工协议</w:t>
      </w:r>
      <w:bookmarkEnd w:id="873"/>
      <w:bookmarkEnd w:id="874"/>
    </w:p>
    <w:bookmarkEnd w:id="875"/>
    <w:p w14:paraId="7C13F920">
      <w:pPr>
        <w:autoSpaceDE w:val="0"/>
        <w:autoSpaceDN w:val="0"/>
        <w:spacing w:line="360" w:lineRule="auto"/>
        <w:ind w:firstLine="411" w:firstLineChars="196"/>
        <w:jc w:val="left"/>
        <w:rPr>
          <w:rFonts w:ascii="宋体" w:hAnsi="宋体"/>
          <w:kern w:val="0"/>
          <w:szCs w:val="21"/>
        </w:rPr>
      </w:pPr>
      <w:r>
        <w:rPr>
          <w:rFonts w:hint="eastAsia" w:ascii="宋体" w:hAnsi="宋体"/>
          <w:kern w:val="0"/>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25B22D14">
      <w:pPr>
        <w:pStyle w:val="7"/>
        <w:spacing w:before="0" w:beforeAutospacing="0" w:after="0" w:afterAutospacing="0" w:line="360" w:lineRule="auto"/>
        <w:ind w:firstLine="422" w:firstLineChars="200"/>
        <w:rPr>
          <w:sz w:val="21"/>
          <w:szCs w:val="21"/>
        </w:rPr>
      </w:pPr>
      <w:bookmarkStart w:id="876" w:name="_Toc532377285"/>
      <w:bookmarkStart w:id="877" w:name="_Toc351203597"/>
      <w:bookmarkStart w:id="878" w:name="_Toc337558814"/>
      <w:r>
        <w:rPr>
          <w:rFonts w:hint="eastAsia"/>
          <w:sz w:val="21"/>
          <w:szCs w:val="21"/>
        </w:rPr>
        <w:t>14.4 最终结清</w:t>
      </w:r>
      <w:bookmarkEnd w:id="876"/>
      <w:bookmarkEnd w:id="877"/>
    </w:p>
    <w:bookmarkEnd w:id="878"/>
    <w:p w14:paraId="08738D7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14.4.1 最终结清申请单</w:t>
      </w:r>
    </w:p>
    <w:p w14:paraId="1A2698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（1）除专用合同条款另有约定外，承包人应在缺陷责任期终止证书颁发后7天内，按专用合同条款约定的份数向发包人提交最终结清申请单，并提供相关证明材料。</w:t>
      </w:r>
    </w:p>
    <w:p w14:paraId="55B751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除专用合同条款另有约定外，最终结清申请单应列明质量保证金、应扣除的质量保证金、缺陷责任期内发生的增减费用。</w:t>
      </w:r>
    </w:p>
    <w:p w14:paraId="410BA7D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（2）发包人对最终结清申请单内容有异议的，有权要求承包人进行修正和提供补充资料，承包人应向发包人提交修正后的最终结清申请单。</w:t>
      </w:r>
    </w:p>
    <w:p w14:paraId="5BF7FE4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14.4.2 最终结清证书和支付</w:t>
      </w:r>
    </w:p>
    <w:p w14:paraId="1A6884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CB1042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EC5716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（3）承包人对发包人颁发的最终结清证书有异议的，按第20条〔争议解决〕的约定办理。</w:t>
      </w:r>
    </w:p>
    <w:p w14:paraId="262B6E89">
      <w:pPr>
        <w:pStyle w:val="6"/>
        <w:keepNext/>
        <w:keepLines/>
        <w:spacing w:before="156" w:beforeLines="50" w:beforeAutospacing="0" w:after="156" w:afterLines="50" w:afterAutospacing="0" w:line="360" w:lineRule="auto"/>
        <w:jc w:val="both"/>
        <w:rPr>
          <w:bCs w:val="0"/>
          <w:kern w:val="2"/>
          <w:sz w:val="21"/>
          <w:szCs w:val="21"/>
        </w:rPr>
      </w:pPr>
      <w:bookmarkStart w:id="879" w:name="_Toc532377286"/>
      <w:bookmarkStart w:id="880" w:name="_Toc351203598"/>
      <w:bookmarkStart w:id="881" w:name="_Toc532375601"/>
      <w:bookmarkStart w:id="882" w:name="_Toc337558815"/>
      <w:r>
        <w:rPr>
          <w:rFonts w:hint="eastAsia"/>
          <w:kern w:val="2"/>
          <w:sz w:val="21"/>
          <w:szCs w:val="21"/>
        </w:rPr>
        <w:t>15. 缺陷责任与保修</w:t>
      </w:r>
      <w:bookmarkEnd w:id="879"/>
      <w:bookmarkEnd w:id="880"/>
      <w:bookmarkEnd w:id="881"/>
    </w:p>
    <w:bookmarkEnd w:id="865"/>
    <w:bookmarkEnd w:id="866"/>
    <w:bookmarkEnd w:id="882"/>
    <w:p w14:paraId="1851F043">
      <w:pPr>
        <w:pStyle w:val="7"/>
        <w:spacing w:before="0" w:beforeAutospacing="0" w:after="0" w:afterAutospacing="0" w:line="360" w:lineRule="auto"/>
        <w:ind w:firstLine="422" w:firstLineChars="200"/>
        <w:rPr>
          <w:sz w:val="21"/>
          <w:szCs w:val="21"/>
        </w:rPr>
      </w:pPr>
      <w:bookmarkStart w:id="883" w:name="_Toc532377287"/>
      <w:bookmarkStart w:id="884" w:name="_Toc351203599"/>
      <w:bookmarkStart w:id="885" w:name="_Toc337558816"/>
      <w:bookmarkStart w:id="886" w:name="_Toc296346615"/>
      <w:bookmarkStart w:id="887" w:name="_Toc296503114"/>
      <w:r>
        <w:rPr>
          <w:rFonts w:hint="eastAsia"/>
          <w:sz w:val="21"/>
          <w:szCs w:val="21"/>
        </w:rPr>
        <w:t>15.1 工程保修的原则</w:t>
      </w:r>
      <w:bookmarkEnd w:id="883"/>
      <w:bookmarkEnd w:id="884"/>
    </w:p>
    <w:bookmarkEnd w:id="885"/>
    <w:p w14:paraId="147C51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在工程移交发包人后，因承包人原因产生的质量缺陷，承包人应承担质量缺陷责任和保修义务。缺陷责任期届满，承包人仍应按合同约定的工程各部位保修年限承担保修义务。</w:t>
      </w:r>
    </w:p>
    <w:p w14:paraId="4CE8563A">
      <w:pPr>
        <w:pStyle w:val="7"/>
        <w:spacing w:before="0" w:beforeAutospacing="0" w:after="0" w:afterAutospacing="0" w:line="360" w:lineRule="auto"/>
        <w:ind w:firstLine="422" w:firstLineChars="200"/>
        <w:rPr>
          <w:sz w:val="21"/>
          <w:szCs w:val="21"/>
        </w:rPr>
      </w:pPr>
      <w:bookmarkStart w:id="888" w:name="_Toc532377288"/>
      <w:bookmarkStart w:id="889" w:name="_Toc351203600"/>
      <w:bookmarkStart w:id="890" w:name="_Toc337558817"/>
      <w:r>
        <w:rPr>
          <w:rFonts w:hint="eastAsia"/>
          <w:sz w:val="21"/>
          <w:szCs w:val="21"/>
        </w:rPr>
        <w:t>15.2 缺陷责任期</w:t>
      </w:r>
      <w:bookmarkEnd w:id="886"/>
      <w:bookmarkEnd w:id="887"/>
      <w:bookmarkEnd w:id="888"/>
      <w:bookmarkEnd w:id="889"/>
    </w:p>
    <w:bookmarkEnd w:id="890"/>
    <w:p w14:paraId="33E859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15.2.1 缺陷责任期从工程通过竣工验收之日起计算，合同当事人应在专用合同条款约定缺陷责任期的具体期限，但该期限最长不超过24个月。</w:t>
      </w:r>
    </w:p>
    <w:p w14:paraId="51504D8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2D4E4D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但缺陷责任期（含延长部分）最长不能超过24个月。</w:t>
      </w:r>
    </w:p>
    <w:p w14:paraId="560688A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由他人原因造成的缺陷，发包人负责组织维修，承包人不承担费用，且发包人不得从保证金中扣除费用。</w:t>
      </w:r>
    </w:p>
    <w:p w14:paraId="6C5F704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15.2.3 任何一项缺陷或损坏修复后，经检查证明其影响了工程或工程设备的使用性能，承包人应重新进行合同约定的试验和试运行，试验和试运行的全部费用应由责任方承担。</w:t>
      </w:r>
    </w:p>
    <w:p w14:paraId="1DFC6F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BD458A5">
      <w:pPr>
        <w:pStyle w:val="7"/>
        <w:spacing w:before="0" w:beforeAutospacing="0" w:after="0" w:afterAutospacing="0" w:line="360" w:lineRule="auto"/>
        <w:ind w:firstLine="422" w:firstLineChars="200"/>
        <w:rPr>
          <w:sz w:val="21"/>
          <w:szCs w:val="21"/>
        </w:rPr>
      </w:pPr>
      <w:bookmarkStart w:id="891" w:name="_Toc351203601"/>
      <w:bookmarkStart w:id="892" w:name="_Toc532377289"/>
      <w:bookmarkStart w:id="893" w:name="_Toc337558818"/>
      <w:bookmarkStart w:id="894" w:name="_Toc296346616"/>
      <w:bookmarkStart w:id="895" w:name="_Toc296503115"/>
      <w:r>
        <w:rPr>
          <w:rFonts w:hint="eastAsia"/>
          <w:sz w:val="21"/>
          <w:szCs w:val="21"/>
        </w:rPr>
        <w:t>15.3 质量保证金</w:t>
      </w:r>
      <w:bookmarkEnd w:id="891"/>
      <w:bookmarkEnd w:id="892"/>
    </w:p>
    <w:bookmarkEnd w:id="893"/>
    <w:p w14:paraId="52A824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经合同当事人协商一致扣留质量保证金的，应在专用合同条款中予以明确。</w:t>
      </w:r>
    </w:p>
    <w:p w14:paraId="0DB6F97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在工程项目竣工前，承包人已经提供履约担保的，发包人不得同时预留工程质量保证金。</w:t>
      </w:r>
    </w:p>
    <w:p w14:paraId="0A7B78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15.3.1 承包人提供质量保证金的方式</w:t>
      </w:r>
    </w:p>
    <w:p w14:paraId="5CDAD76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承包人提供质量保证金有以下三种方式：</w:t>
      </w:r>
    </w:p>
    <w:p w14:paraId="536F2A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（1）质量保证金保函；</w:t>
      </w:r>
    </w:p>
    <w:p w14:paraId="429EA72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（2）相应比例的工程款；</w:t>
      </w:r>
    </w:p>
    <w:p w14:paraId="05E4691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（3）双方约定的其他方式。</w:t>
      </w:r>
    </w:p>
    <w:p w14:paraId="028B07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除专用合同条款另有约定外，质量保证金原则上采用上述第（1）种方式。</w:t>
      </w:r>
    </w:p>
    <w:p w14:paraId="60AA294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15.3.2 质量保证金的扣留</w:t>
      </w:r>
    </w:p>
    <w:p w14:paraId="4B3BAB1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质量保证金的扣留有以下三种方式：</w:t>
      </w:r>
    </w:p>
    <w:p w14:paraId="0C90EB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（1）在支付工程进度款时逐次扣留，在此情形下，质量保证金的计算基数不包括预付款的支付、扣回以及价格调整的金额；</w:t>
      </w:r>
    </w:p>
    <w:p w14:paraId="10C7A3F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（2）工</w:t>
      </w:r>
      <w:bookmarkStart w:id="896" w:name="#go6"/>
      <w:bookmarkEnd w:id="896"/>
      <w:r>
        <w:rPr>
          <w:rFonts w:hint="eastAsia" w:ascii="宋体" w:hAnsi="宋体"/>
          <w:kern w:val="0"/>
          <w:szCs w:val="21"/>
        </w:rPr>
        <w:t>程竣工结算时一次性扣留质量保证金；</w:t>
      </w:r>
    </w:p>
    <w:p w14:paraId="5F5444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（3）双方约定的其他扣留方式。</w:t>
      </w:r>
    </w:p>
    <w:p w14:paraId="6FD22EC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除专用合同条款另有约定外，质量保证金的扣留原则上采用上述第（1）种方式。</w:t>
      </w:r>
    </w:p>
    <w:p w14:paraId="736FCC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w:t>
      </w:r>
      <w:bookmarkStart w:id="897" w:name="#go4"/>
      <w:bookmarkEnd w:id="897"/>
      <w:r>
        <w:rPr>
          <w:rFonts w:hint="eastAsia" w:ascii="宋体" w:hAnsi="宋体"/>
          <w:kern w:val="0"/>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739D7CE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发包人在退还质量保证金的同时按照中国人民银行发布的同期同类贷款基准利率支付利息。</w:t>
      </w:r>
    </w:p>
    <w:p w14:paraId="5E09B54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15.3.3 质量保证金的退还</w:t>
      </w:r>
    </w:p>
    <w:p w14:paraId="531E3A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缺陷责任期内，承包人认真履行合同约定的责任，到期后，承包人可向发包人申请返还保证金。</w:t>
      </w:r>
    </w:p>
    <w:p w14:paraId="522AD75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02D0F77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发包人和承包人对保证金预留、返还以及工程维修质量、费用有争议的，按合同第20条约定的争议和纠纷解决程序处理。</w:t>
      </w:r>
    </w:p>
    <w:p w14:paraId="0F1EF8E3">
      <w:pPr>
        <w:pStyle w:val="7"/>
        <w:spacing w:before="0" w:beforeAutospacing="0" w:after="0" w:afterAutospacing="0" w:line="360" w:lineRule="auto"/>
        <w:ind w:firstLine="422" w:firstLineChars="200"/>
        <w:rPr>
          <w:sz w:val="21"/>
          <w:szCs w:val="21"/>
        </w:rPr>
      </w:pPr>
      <w:bookmarkStart w:id="898" w:name="_Toc532377290"/>
      <w:bookmarkStart w:id="899" w:name="_Toc351203602"/>
      <w:bookmarkStart w:id="900" w:name="_Toc337558819"/>
      <w:r>
        <w:rPr>
          <w:rFonts w:hint="eastAsia"/>
          <w:sz w:val="21"/>
          <w:szCs w:val="21"/>
        </w:rPr>
        <w:t>15.4 保修</w:t>
      </w:r>
      <w:bookmarkEnd w:id="898"/>
      <w:bookmarkEnd w:id="899"/>
    </w:p>
    <w:bookmarkEnd w:id="894"/>
    <w:bookmarkEnd w:id="895"/>
    <w:bookmarkEnd w:id="900"/>
    <w:p w14:paraId="246AB1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15.4.1保修责任</w:t>
      </w:r>
    </w:p>
    <w:p w14:paraId="580480F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22B1D1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发包人未经竣工验收擅自使用工程的，保修期自转移占有之日起算。</w:t>
      </w:r>
    </w:p>
    <w:p w14:paraId="15A87E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15.4.2 修复费用</w:t>
      </w:r>
    </w:p>
    <w:p w14:paraId="2A46A1A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保修期内，修复的费用按照以下约定处理：</w:t>
      </w:r>
    </w:p>
    <w:p w14:paraId="55BCE26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（1）保修期内，因承包人原因造成工程的缺陷、损坏，承包人应负责修复，并承担修复的费用以及因工程的缺陷、损坏造成的人身伤害和财产损失；</w:t>
      </w:r>
    </w:p>
    <w:p w14:paraId="1ADCA8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（2）保修期内，因发包人使用不当造成工程的缺陷、损坏，可以委托承包人修复，但发包人应承担修复的费用，并支付承包人合理利润；</w:t>
      </w:r>
    </w:p>
    <w:p w14:paraId="482E9A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（3）因其他原因造成工程的缺陷、损坏，可以委托承包人修复，发包人应承担修复的费用，并支付承包人合理的利润，因工程的缺陷、损坏造成的人身伤害和财产损失由责任方承担。</w:t>
      </w:r>
    </w:p>
    <w:p w14:paraId="0E892E0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15.4.3 修复通知</w:t>
      </w:r>
    </w:p>
    <w:p w14:paraId="063F65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B096FF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15.4.4 未能修复</w:t>
      </w:r>
    </w:p>
    <w:p w14:paraId="5188A08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7782BC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15.4.5 承包人出入权</w:t>
      </w:r>
    </w:p>
    <w:p w14:paraId="5D6623A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8577C31">
      <w:pPr>
        <w:pStyle w:val="6"/>
        <w:keepNext/>
        <w:keepLines/>
        <w:spacing w:before="156" w:beforeLines="50" w:beforeAutospacing="0" w:after="156" w:afterLines="50" w:afterAutospacing="0" w:line="360" w:lineRule="auto"/>
        <w:jc w:val="both"/>
        <w:rPr>
          <w:bCs w:val="0"/>
          <w:kern w:val="2"/>
          <w:sz w:val="21"/>
          <w:szCs w:val="21"/>
        </w:rPr>
      </w:pPr>
      <w:bookmarkStart w:id="901" w:name="_Toc532375602"/>
      <w:bookmarkStart w:id="902" w:name="_Toc532377291"/>
      <w:bookmarkStart w:id="903" w:name="_Toc351203603"/>
      <w:bookmarkStart w:id="904" w:name="_Toc337558820"/>
      <w:r>
        <w:rPr>
          <w:rFonts w:hint="eastAsia"/>
          <w:kern w:val="2"/>
          <w:sz w:val="21"/>
          <w:szCs w:val="21"/>
        </w:rPr>
        <w:t>16. 违约</w:t>
      </w:r>
      <w:bookmarkEnd w:id="901"/>
      <w:bookmarkEnd w:id="902"/>
      <w:bookmarkEnd w:id="903"/>
    </w:p>
    <w:bookmarkEnd w:id="904"/>
    <w:p w14:paraId="77591D94">
      <w:pPr>
        <w:pStyle w:val="7"/>
        <w:spacing w:before="0" w:beforeAutospacing="0" w:after="0" w:afterAutospacing="0" w:line="360" w:lineRule="auto"/>
        <w:ind w:firstLine="422" w:firstLineChars="200"/>
        <w:rPr>
          <w:sz w:val="21"/>
          <w:szCs w:val="21"/>
        </w:rPr>
      </w:pPr>
      <w:bookmarkStart w:id="905" w:name="_Toc296346630"/>
      <w:bookmarkStart w:id="906" w:name="_Toc296503129"/>
      <w:bookmarkStart w:id="907" w:name="_Toc351203604"/>
      <w:bookmarkStart w:id="908" w:name="_Toc532377292"/>
      <w:bookmarkStart w:id="909" w:name="_Toc337558821"/>
      <w:r>
        <w:rPr>
          <w:rFonts w:hint="eastAsia"/>
          <w:sz w:val="21"/>
          <w:szCs w:val="21"/>
        </w:rPr>
        <w:t>16.1 发</w:t>
      </w:r>
      <w:bookmarkEnd w:id="905"/>
      <w:bookmarkEnd w:id="906"/>
      <w:r>
        <w:rPr>
          <w:rFonts w:hint="eastAsia"/>
          <w:sz w:val="21"/>
          <w:szCs w:val="21"/>
        </w:rPr>
        <w:t>包人违约</w:t>
      </w:r>
      <w:bookmarkEnd w:id="907"/>
      <w:bookmarkEnd w:id="908"/>
    </w:p>
    <w:bookmarkEnd w:id="909"/>
    <w:p w14:paraId="601175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16.1.1 发包人违约的情形</w:t>
      </w:r>
    </w:p>
    <w:p w14:paraId="6852D6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在合同履行过程中发生的下列情形，属于发包人违约：</w:t>
      </w:r>
    </w:p>
    <w:p w14:paraId="09DF5F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（1）因发包人原因未能在计划开工日期前7天内下达开工通知的；</w:t>
      </w:r>
    </w:p>
    <w:p w14:paraId="1333B03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（2）因发包人原因未能按合同约定支付合同价款的；</w:t>
      </w:r>
    </w:p>
    <w:p w14:paraId="290BCF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（3）发包人违反第10.1款〔变更的范围〕第（2）项约定，自行实施被取消的工作或转由他人实施的；</w:t>
      </w:r>
    </w:p>
    <w:p w14:paraId="1A73400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（4）发包人提供的材料、工程设备的规格、数量或质量不符合合同约定，或因发包人原因导致交货日期延误或交货地点变更等情况的；</w:t>
      </w:r>
    </w:p>
    <w:p w14:paraId="24E8ACE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（5）因发包人违反合同约定造成暂停施工的；</w:t>
      </w:r>
    </w:p>
    <w:p w14:paraId="2BB8FAE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（6）发包人无正当理由没有在约定期限内发出复工指示，导致承包人无法复工的；</w:t>
      </w:r>
    </w:p>
    <w:p w14:paraId="6588FE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（7）发包人明确表示或者以其行为表明不履行合同主要义务的；</w:t>
      </w:r>
    </w:p>
    <w:p w14:paraId="4149174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（8）发包人未能按照合同约定履行其他义务的。</w:t>
      </w:r>
    </w:p>
    <w:p w14:paraId="5F04850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0C7D45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16.1.2 发包人违约的责任</w:t>
      </w:r>
    </w:p>
    <w:p w14:paraId="0D8ECC2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发包人应承担因其违约给承包人增加的费用和（或）延误的工期，并支付承包人合理的利润。此外，合同当事人可在专用合同条款中另行约定发包人违约责任的承担方式和计算方法。</w:t>
      </w:r>
    </w:p>
    <w:p w14:paraId="5E5E303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16.1.3 因发包人违约解除合同</w:t>
      </w:r>
    </w:p>
    <w:p w14:paraId="22A5555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58BF50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16.1.4 因发包人违约解除合同后的付款</w:t>
      </w:r>
    </w:p>
    <w:p w14:paraId="4C2B8F8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承包人按照本款约定解除合同的，发包人应在解除合同后28天内支付下列款项，并解除履约担保：</w:t>
      </w:r>
    </w:p>
    <w:p w14:paraId="6B784BE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（1）合同解除前所完成工作的价款；</w:t>
      </w:r>
    </w:p>
    <w:p w14:paraId="0C7ED6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（2）承包人为工程施工订购并已付款的材料、工程设备和其他物品的价款；</w:t>
      </w:r>
    </w:p>
    <w:p w14:paraId="7008469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（3）承包人撤离施工现场以及遣散承包人人员的款项；</w:t>
      </w:r>
    </w:p>
    <w:p w14:paraId="083BD8E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（4）按照合同约定在合同解除前应支付的违约金；</w:t>
      </w:r>
    </w:p>
    <w:p w14:paraId="5440C72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（5）按照合同约定应当支付给承包人的其他款项；</w:t>
      </w:r>
    </w:p>
    <w:p w14:paraId="18AC047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（6）按照合同约定应退还的质量保证金；</w:t>
      </w:r>
    </w:p>
    <w:p w14:paraId="3A3446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（7）因解除合同给承包人造成的损失。</w:t>
      </w:r>
    </w:p>
    <w:p w14:paraId="378007A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合同当事人未能就解除合同后的结清达成一致的，按照第20条〔争议解决〕的约定处理。</w:t>
      </w:r>
    </w:p>
    <w:p w14:paraId="5EF775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承包人应妥善做好已完工程和与工程有关的已购材料、工程设备的保护和移交工作，并将施工设备和人员撤出施工现场，发包人应为承包人撤出提供必要条件。</w:t>
      </w:r>
    </w:p>
    <w:p w14:paraId="7C3BB9D8">
      <w:pPr>
        <w:pStyle w:val="7"/>
        <w:spacing w:before="0" w:beforeAutospacing="0" w:after="0" w:afterAutospacing="0" w:line="360" w:lineRule="auto"/>
        <w:ind w:firstLine="422" w:firstLineChars="200"/>
        <w:rPr>
          <w:sz w:val="21"/>
          <w:szCs w:val="21"/>
        </w:rPr>
      </w:pPr>
      <w:bookmarkStart w:id="910" w:name="_Toc351203605"/>
      <w:bookmarkStart w:id="911" w:name="_Toc532377293"/>
      <w:bookmarkStart w:id="912" w:name="_Toc296503131"/>
      <w:bookmarkStart w:id="913" w:name="_Toc337558822"/>
      <w:bookmarkStart w:id="914" w:name="_Toc296346632"/>
      <w:r>
        <w:rPr>
          <w:rFonts w:hint="eastAsia"/>
          <w:sz w:val="21"/>
          <w:szCs w:val="21"/>
        </w:rPr>
        <w:t>16.2 承包人违约</w:t>
      </w:r>
      <w:bookmarkEnd w:id="910"/>
      <w:bookmarkEnd w:id="911"/>
    </w:p>
    <w:bookmarkEnd w:id="912"/>
    <w:bookmarkEnd w:id="913"/>
    <w:bookmarkEnd w:id="914"/>
    <w:p w14:paraId="6B4F4A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16.2.1 承包人违约的情形</w:t>
      </w:r>
    </w:p>
    <w:p w14:paraId="4101395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在合同履行过程中发生的下列情形，属于承包人违约：</w:t>
      </w:r>
    </w:p>
    <w:p w14:paraId="6A3DCA7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（1）承包人违反合同约定进行转包或违法分包的；</w:t>
      </w:r>
    </w:p>
    <w:p w14:paraId="4E8B203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（2）承包人违反合同约定采购和使用不合格的材料和工程设备的；</w:t>
      </w:r>
    </w:p>
    <w:p w14:paraId="2E43DA2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（3）因承包人原因导致工程质量不符合合同要求的； </w:t>
      </w:r>
    </w:p>
    <w:p w14:paraId="3C65BE5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（4）承包人违反第8.9款〔材料与设备专用要求〕的约定，未经批准，私自将已按照合同约定进入施工现场的材料或设备撤离施工现场的；</w:t>
      </w:r>
    </w:p>
    <w:p w14:paraId="2AC7098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（5）承包人未能按施工进度计划及时完成合同约定的工作，造成工期延误的；</w:t>
      </w:r>
    </w:p>
    <w:p w14:paraId="50EA1CD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（6）承包人在缺陷责任期及保修期内，未能在合理期限对工程缺陷进行修复，或拒绝按发包人要求进行修复的；</w:t>
      </w:r>
    </w:p>
    <w:p w14:paraId="7BC8412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（7）承包人明确表示或者以其行为表明不履行合同主要义务的；</w:t>
      </w:r>
    </w:p>
    <w:p w14:paraId="337EA23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（8）承包人未能按照合同约定履行其他义务的。</w:t>
      </w:r>
    </w:p>
    <w:p w14:paraId="3C3B90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承包人发生除本项第（7）目约定以外的其他违约情况时，监理人可向承包人发出整改通知，要求其在指定的期限内改正。</w:t>
      </w:r>
    </w:p>
    <w:p w14:paraId="0147AB5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16.2.2 承包人违约的责任</w:t>
      </w:r>
    </w:p>
    <w:p w14:paraId="5FA12D9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承包人应承担因其违约行为而增加的费用和（或）延误的工期。此外，合同当事人可在专用合同条款中另行约定承包人违约责任的承担方式和计算方法。</w:t>
      </w:r>
    </w:p>
    <w:p w14:paraId="6AF57BB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16.2.3 因承包人违约解除合同</w:t>
      </w:r>
    </w:p>
    <w:p w14:paraId="15F48B0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0C3AD40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16.2.4因承包人违约解除合同后的处理</w:t>
      </w:r>
    </w:p>
    <w:p w14:paraId="6C7E0DB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因承包人原因导致合同解除的，则合同当事人应在合同解除后28天内完成估价、付款和清算，并按以下约定执行：</w:t>
      </w:r>
    </w:p>
    <w:p w14:paraId="225DA4F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（1）合同解除后，按第4.4款〔商定或确定〕商定或确定承包人实际完成工作对应的合同价款，以及承包人已提供的材料、工程设备、施工设备和临时工程等的价值；</w:t>
      </w:r>
    </w:p>
    <w:p w14:paraId="4547EF9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（2）合同解除后，承包人应支付的违约金；</w:t>
      </w:r>
    </w:p>
    <w:p w14:paraId="79C4D12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（3）合同解除后，因解除合同给发包人造成的损失；</w:t>
      </w:r>
    </w:p>
    <w:p w14:paraId="1B60884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（4）合同解除后，承包人应按照发包人要求和监理人的指示完成现场的清理和撤离；</w:t>
      </w:r>
    </w:p>
    <w:p w14:paraId="4662C2F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（5）发包人和承包人应在合同解除后进行清算，出具最终结清付款证书，结清全部款项。</w:t>
      </w:r>
    </w:p>
    <w:p w14:paraId="799216C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0C915E7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16.2.5采购合同权益转让</w:t>
      </w:r>
    </w:p>
    <w:p w14:paraId="12B2749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D7E94D3">
      <w:pPr>
        <w:pStyle w:val="7"/>
        <w:spacing w:before="0" w:beforeAutospacing="0" w:after="0" w:afterAutospacing="0" w:line="360" w:lineRule="auto"/>
        <w:ind w:firstLine="422" w:firstLineChars="200"/>
        <w:rPr>
          <w:sz w:val="21"/>
          <w:szCs w:val="21"/>
        </w:rPr>
      </w:pPr>
      <w:bookmarkStart w:id="915" w:name="_Toc532377294"/>
      <w:bookmarkStart w:id="916" w:name="_Toc351203606"/>
      <w:r>
        <w:rPr>
          <w:rFonts w:hint="eastAsia"/>
          <w:sz w:val="21"/>
          <w:szCs w:val="21"/>
        </w:rPr>
        <w:t>16.3 第三人造成的违约</w:t>
      </w:r>
      <w:bookmarkEnd w:id="915"/>
      <w:bookmarkEnd w:id="916"/>
    </w:p>
    <w:p w14:paraId="5BB034A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在履行合同过程中，一方当事人因第三人的原因造成违约的，应当向对方当事人承担违约责任。一方当事人和第三人之间的纠纷，依照法律规定或者按照约定解决。</w:t>
      </w:r>
    </w:p>
    <w:p w14:paraId="148C415C">
      <w:pPr>
        <w:pStyle w:val="6"/>
        <w:keepNext/>
        <w:keepLines/>
        <w:spacing w:before="156" w:beforeLines="50" w:beforeAutospacing="0" w:after="156" w:afterLines="50" w:afterAutospacing="0" w:line="360" w:lineRule="auto"/>
        <w:jc w:val="both"/>
        <w:rPr>
          <w:bCs w:val="0"/>
          <w:kern w:val="2"/>
          <w:sz w:val="21"/>
          <w:szCs w:val="21"/>
        </w:rPr>
      </w:pPr>
      <w:bookmarkStart w:id="917" w:name="_Toc351203607"/>
      <w:bookmarkStart w:id="918" w:name="_Toc337558823"/>
      <w:bookmarkStart w:id="919" w:name="_Toc532375603"/>
      <w:bookmarkStart w:id="920" w:name="_Toc532377295"/>
      <w:bookmarkStart w:id="921" w:name="_Toc296503116"/>
      <w:bookmarkStart w:id="922" w:name="_Toc296346617"/>
      <w:r>
        <w:rPr>
          <w:rFonts w:hint="eastAsia"/>
          <w:kern w:val="2"/>
          <w:sz w:val="21"/>
          <w:szCs w:val="21"/>
        </w:rPr>
        <w:t>17. 不可抗力</w:t>
      </w:r>
      <w:bookmarkEnd w:id="917"/>
      <w:bookmarkEnd w:id="918"/>
      <w:bookmarkEnd w:id="919"/>
      <w:bookmarkEnd w:id="920"/>
      <w:bookmarkEnd w:id="921"/>
      <w:bookmarkEnd w:id="922"/>
    </w:p>
    <w:p w14:paraId="0C8A6D9E">
      <w:pPr>
        <w:pStyle w:val="7"/>
        <w:spacing w:before="0" w:beforeAutospacing="0" w:after="0" w:afterAutospacing="0" w:line="360" w:lineRule="auto"/>
        <w:ind w:firstLine="422" w:firstLineChars="200"/>
        <w:rPr>
          <w:sz w:val="21"/>
          <w:szCs w:val="21"/>
        </w:rPr>
      </w:pPr>
      <w:bookmarkStart w:id="923" w:name="_Toc351203608"/>
      <w:bookmarkStart w:id="924" w:name="_Toc532377296"/>
      <w:bookmarkStart w:id="925" w:name="_Toc296503117"/>
      <w:bookmarkStart w:id="926" w:name="_Toc296346618"/>
      <w:bookmarkStart w:id="927" w:name="_Toc337558824"/>
      <w:r>
        <w:rPr>
          <w:rFonts w:hint="eastAsia"/>
          <w:sz w:val="21"/>
          <w:szCs w:val="21"/>
        </w:rPr>
        <w:t>17.1 不可抗力的确认</w:t>
      </w:r>
      <w:bookmarkEnd w:id="923"/>
      <w:bookmarkEnd w:id="924"/>
    </w:p>
    <w:bookmarkEnd w:id="925"/>
    <w:bookmarkEnd w:id="926"/>
    <w:bookmarkEnd w:id="927"/>
    <w:p w14:paraId="747C55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2062B20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394635D6">
      <w:pPr>
        <w:pStyle w:val="7"/>
        <w:spacing w:before="0" w:beforeAutospacing="0" w:after="0" w:afterAutospacing="0" w:line="360" w:lineRule="auto"/>
        <w:ind w:firstLine="422" w:firstLineChars="200"/>
        <w:rPr>
          <w:sz w:val="21"/>
          <w:szCs w:val="21"/>
        </w:rPr>
      </w:pPr>
      <w:bookmarkStart w:id="928" w:name="_Toc532377297"/>
      <w:bookmarkStart w:id="929" w:name="_Toc351203609"/>
      <w:bookmarkStart w:id="930" w:name="_Toc337558825"/>
      <w:bookmarkStart w:id="931" w:name="_Toc296503118"/>
      <w:bookmarkStart w:id="932" w:name="_Toc296346619"/>
      <w:r>
        <w:rPr>
          <w:rFonts w:hint="eastAsia"/>
          <w:sz w:val="21"/>
          <w:szCs w:val="21"/>
        </w:rPr>
        <w:t>17.2 不可抗力的通知</w:t>
      </w:r>
      <w:bookmarkEnd w:id="928"/>
      <w:bookmarkEnd w:id="929"/>
    </w:p>
    <w:bookmarkEnd w:id="930"/>
    <w:bookmarkEnd w:id="931"/>
    <w:bookmarkEnd w:id="932"/>
    <w:p w14:paraId="5BA6DA5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合同一方当事人遇到不可抗力事件，使其履行合同义务受到阻碍时，应立即通知合同另一方当事人和监理人，书面说明不可抗力和受阻碍的详细情况，并提供必要的证明。</w:t>
      </w:r>
    </w:p>
    <w:p w14:paraId="3433A2C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46C03596">
      <w:pPr>
        <w:pStyle w:val="7"/>
        <w:spacing w:before="0" w:beforeAutospacing="0" w:after="0" w:afterAutospacing="0" w:line="360" w:lineRule="auto"/>
        <w:ind w:firstLine="422" w:firstLineChars="200"/>
        <w:rPr>
          <w:sz w:val="21"/>
          <w:szCs w:val="21"/>
        </w:rPr>
      </w:pPr>
      <w:bookmarkStart w:id="933" w:name="_Toc532377298"/>
      <w:r>
        <w:rPr>
          <w:rFonts w:hint="eastAsia"/>
          <w:sz w:val="21"/>
          <w:szCs w:val="21"/>
        </w:rPr>
        <w:t>17.3 不可抗力后果的承担</w:t>
      </w:r>
      <w:bookmarkEnd w:id="933"/>
    </w:p>
    <w:p w14:paraId="09A1022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17.3.1 不可抗力引起的后果及造成的损失由合同当事人按照法律规定及合同约定各自承担。不可抗力发生前已完成的工程应当按照合同约定进行计量支付。</w:t>
      </w:r>
    </w:p>
    <w:p w14:paraId="3888880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17.3.2 不可抗力导致的人员伤亡、财产损失、费用增加和（或）工期延误等后果，由合同当事人按以下原则承担：</w:t>
      </w:r>
    </w:p>
    <w:p w14:paraId="79F2154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（1）永久工程、已运至施工现场的材料和工程设备的损坏，以及因工程损坏造成的第三人人员伤亡和财产损失由发包人承担；</w:t>
      </w:r>
    </w:p>
    <w:p w14:paraId="1E369B6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（2）承包人施工设备的损坏由承包人承担；</w:t>
      </w:r>
    </w:p>
    <w:p w14:paraId="1429314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（3）发包人和承包人承担各自人员伤亡和财产的损失；</w:t>
      </w:r>
    </w:p>
    <w:p w14:paraId="6370F30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CECABE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（5）因不可抗力引起或将引起工期延误，发包人要求赶工的，由此增加的赶工费用由发包人承担；</w:t>
      </w:r>
    </w:p>
    <w:p w14:paraId="6EA7F3F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（6）承包人在停工期间按照发包人要求照管、清理和修复工程的费用由发包人承担。</w:t>
      </w:r>
    </w:p>
    <w:p w14:paraId="6A2317B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不可抗力发生后，合同当事人均应采取措施尽量避免和减少损失的扩大，任何一方当事人没有采取有效措施导致损失扩大的，应对扩大的损失承担责任。</w:t>
      </w:r>
    </w:p>
    <w:p w14:paraId="545F09C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因合同一方迟延履行合同义务，在迟延履行期间遭遇不可抗力的，不免除其违约责任。</w:t>
      </w:r>
    </w:p>
    <w:p w14:paraId="2EABE963">
      <w:pPr>
        <w:pStyle w:val="7"/>
        <w:spacing w:before="0" w:beforeAutospacing="0" w:after="0" w:afterAutospacing="0" w:line="360" w:lineRule="auto"/>
        <w:ind w:firstLine="422" w:firstLineChars="200"/>
        <w:rPr>
          <w:sz w:val="21"/>
          <w:szCs w:val="21"/>
        </w:rPr>
      </w:pPr>
      <w:bookmarkStart w:id="934" w:name="_Toc351203611"/>
      <w:bookmarkStart w:id="935" w:name="_Toc532377299"/>
      <w:bookmarkStart w:id="936" w:name="_Toc337558827"/>
      <w:r>
        <w:rPr>
          <w:rFonts w:hint="eastAsia"/>
          <w:sz w:val="21"/>
          <w:szCs w:val="21"/>
        </w:rPr>
        <w:t>17.4 因不可抗力解除合同</w:t>
      </w:r>
      <w:bookmarkEnd w:id="934"/>
      <w:bookmarkEnd w:id="935"/>
    </w:p>
    <w:bookmarkEnd w:id="936"/>
    <w:p w14:paraId="0A14C76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1A953FD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（1）合同解除前承包人已完成工作的价款；</w:t>
      </w:r>
    </w:p>
    <w:p w14:paraId="029B79F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（2）承包人为工程订购的并已交付给承包人，或承包人有责任接受交付的材料、工程设备和其他物品的价款；</w:t>
      </w:r>
    </w:p>
    <w:p w14:paraId="0F8A953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（3）发包人要求承包人退货或解除订货合同而产生的费用，或因不能退货或解除合同而产生的损失；</w:t>
      </w:r>
    </w:p>
    <w:p w14:paraId="6737BC5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（4）承包人撤离施工现场以及遣散承包人人员的费用；</w:t>
      </w:r>
    </w:p>
    <w:p w14:paraId="259F1F5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（5）按照合同约定在合同解除前应支付给承包人的其他款项；</w:t>
      </w:r>
    </w:p>
    <w:p w14:paraId="35779A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（6）扣减承包人按照合同约定应向发包人支付的款项；</w:t>
      </w:r>
    </w:p>
    <w:p w14:paraId="6AD497A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（7）双方商定或确定的其他款项。</w:t>
      </w:r>
    </w:p>
    <w:p w14:paraId="5F27D1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除专用合同条款另有约定外，合同解除后，发包人应在商定或确定上述款项后28天内完成上述款项的支付。</w:t>
      </w:r>
    </w:p>
    <w:p w14:paraId="282EB5D6">
      <w:pPr>
        <w:pStyle w:val="6"/>
        <w:keepNext/>
        <w:keepLines/>
        <w:spacing w:before="156" w:beforeLines="50" w:beforeAutospacing="0" w:after="156" w:afterLines="50" w:afterAutospacing="0" w:line="360" w:lineRule="auto"/>
        <w:jc w:val="both"/>
        <w:rPr>
          <w:bCs w:val="0"/>
          <w:kern w:val="2"/>
          <w:sz w:val="21"/>
          <w:szCs w:val="21"/>
        </w:rPr>
      </w:pPr>
      <w:bookmarkStart w:id="937" w:name="_Toc351203612"/>
      <w:bookmarkStart w:id="938" w:name="_Toc532377300"/>
      <w:bookmarkStart w:id="939" w:name="_Toc532375604"/>
      <w:bookmarkStart w:id="940" w:name="_Toc337558828"/>
      <w:bookmarkStart w:id="941" w:name="_Toc296503120"/>
      <w:bookmarkStart w:id="942" w:name="_Toc296346621"/>
      <w:r>
        <w:rPr>
          <w:rFonts w:hint="eastAsia"/>
          <w:kern w:val="2"/>
          <w:sz w:val="21"/>
          <w:szCs w:val="21"/>
        </w:rPr>
        <w:t>18. 保险</w:t>
      </w:r>
      <w:bookmarkEnd w:id="937"/>
      <w:bookmarkEnd w:id="938"/>
      <w:bookmarkEnd w:id="939"/>
    </w:p>
    <w:bookmarkEnd w:id="940"/>
    <w:bookmarkEnd w:id="941"/>
    <w:bookmarkEnd w:id="942"/>
    <w:p w14:paraId="50EB3EB3">
      <w:pPr>
        <w:pStyle w:val="7"/>
        <w:spacing w:before="0" w:beforeAutospacing="0" w:after="0" w:afterAutospacing="0" w:line="360" w:lineRule="auto"/>
        <w:ind w:firstLine="422" w:firstLineChars="200"/>
        <w:rPr>
          <w:sz w:val="21"/>
          <w:szCs w:val="21"/>
        </w:rPr>
      </w:pPr>
      <w:bookmarkStart w:id="943" w:name="_Toc532377301"/>
      <w:bookmarkStart w:id="944" w:name="_Toc351203613"/>
      <w:bookmarkStart w:id="945" w:name="_Toc296503121"/>
      <w:bookmarkStart w:id="946" w:name="_Toc337558829"/>
      <w:bookmarkStart w:id="947" w:name="_Toc296346622"/>
      <w:r>
        <w:rPr>
          <w:rFonts w:hint="eastAsia"/>
          <w:sz w:val="21"/>
          <w:szCs w:val="21"/>
        </w:rPr>
        <w:t>18.1 工程保险</w:t>
      </w:r>
      <w:bookmarkEnd w:id="943"/>
      <w:bookmarkEnd w:id="944"/>
    </w:p>
    <w:bookmarkEnd w:id="945"/>
    <w:bookmarkEnd w:id="946"/>
    <w:bookmarkEnd w:id="947"/>
    <w:p w14:paraId="2B0B43E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除专用合同条款另有约定外，发包人应投保建筑工程一切险或安装工程一切险；发包人委托承包人投保的，因投保产生的保险费和其他相关费用由发包人承担。</w:t>
      </w:r>
    </w:p>
    <w:p w14:paraId="017BA529">
      <w:pPr>
        <w:pStyle w:val="7"/>
        <w:spacing w:before="0" w:beforeAutospacing="0" w:after="0" w:afterAutospacing="0" w:line="360" w:lineRule="auto"/>
        <w:ind w:firstLine="422" w:firstLineChars="200"/>
        <w:rPr>
          <w:sz w:val="21"/>
          <w:szCs w:val="21"/>
        </w:rPr>
      </w:pPr>
      <w:bookmarkStart w:id="948" w:name="_Toc351203614"/>
      <w:bookmarkStart w:id="949" w:name="_Toc532377302"/>
      <w:bookmarkStart w:id="950" w:name="_Toc296503122"/>
      <w:bookmarkStart w:id="951" w:name="_Toc337558830"/>
      <w:bookmarkStart w:id="952" w:name="_Toc296346623"/>
      <w:r>
        <w:rPr>
          <w:rFonts w:hint="eastAsia"/>
          <w:sz w:val="21"/>
          <w:szCs w:val="21"/>
        </w:rPr>
        <w:t>18.2 工伤保险</w:t>
      </w:r>
      <w:bookmarkEnd w:id="948"/>
      <w:bookmarkEnd w:id="949"/>
    </w:p>
    <w:bookmarkEnd w:id="950"/>
    <w:bookmarkEnd w:id="951"/>
    <w:bookmarkEnd w:id="952"/>
    <w:p w14:paraId="5F82AE6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18.2.1 发包人应依照法律规定参加工伤保险，并为在施工现场的全部员工办理工伤保险，缴纳工伤保险费，并要求监理人及由发包人为履行合同聘请的第三方依法参加工伤保险。</w:t>
      </w:r>
    </w:p>
    <w:p w14:paraId="5E7EDCC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18.2.2 承包人应依照法律规定参加工伤保险，并为其履行合同的全部员工办理工伤保险，缴纳工伤保险费，并要求分包人及由承包人为履行合同聘请的第三方依法参加工伤保险。</w:t>
      </w:r>
    </w:p>
    <w:p w14:paraId="58EDFEFE">
      <w:pPr>
        <w:pStyle w:val="7"/>
        <w:spacing w:before="0" w:beforeAutospacing="0" w:after="0" w:afterAutospacing="0" w:line="360" w:lineRule="auto"/>
        <w:ind w:firstLine="422" w:firstLineChars="200"/>
        <w:rPr>
          <w:sz w:val="21"/>
          <w:szCs w:val="21"/>
        </w:rPr>
      </w:pPr>
      <w:bookmarkStart w:id="953" w:name="_Toc351203615"/>
      <w:bookmarkStart w:id="954" w:name="_Toc532377303"/>
      <w:bookmarkStart w:id="955" w:name="_Toc337558831"/>
      <w:bookmarkStart w:id="956" w:name="_Toc296503125"/>
      <w:bookmarkStart w:id="957" w:name="_Toc296346626"/>
      <w:r>
        <w:rPr>
          <w:rFonts w:hint="eastAsia"/>
          <w:sz w:val="21"/>
          <w:szCs w:val="21"/>
        </w:rPr>
        <w:t>18.3其他保险</w:t>
      </w:r>
      <w:bookmarkEnd w:id="953"/>
      <w:bookmarkEnd w:id="954"/>
    </w:p>
    <w:bookmarkEnd w:id="955"/>
    <w:bookmarkEnd w:id="956"/>
    <w:bookmarkEnd w:id="957"/>
    <w:p w14:paraId="27FA607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发包人和承包人可以为其施工现场的全部人员办理意外伤害保险并支付保险费，包括其员工及为履行合同聘请的第三方的人员，具体事项由合同当事人在专用合同条款约定。</w:t>
      </w:r>
    </w:p>
    <w:p w14:paraId="4D71568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除专用合同条款另有约定外，承包人应为其施工设备等办理财产保险。</w:t>
      </w:r>
    </w:p>
    <w:p w14:paraId="757707D3">
      <w:pPr>
        <w:pStyle w:val="7"/>
        <w:spacing w:before="0" w:beforeAutospacing="0" w:after="0" w:afterAutospacing="0" w:line="360" w:lineRule="auto"/>
        <w:ind w:firstLine="422" w:firstLineChars="200"/>
        <w:rPr>
          <w:sz w:val="21"/>
          <w:szCs w:val="21"/>
        </w:rPr>
      </w:pPr>
      <w:bookmarkStart w:id="958" w:name="_Toc351203616"/>
      <w:bookmarkStart w:id="959" w:name="_Toc532377304"/>
      <w:r>
        <w:rPr>
          <w:rFonts w:hint="eastAsia"/>
          <w:sz w:val="21"/>
          <w:szCs w:val="21"/>
        </w:rPr>
        <w:t>18.4持续保险</w:t>
      </w:r>
      <w:bookmarkEnd w:id="958"/>
      <w:bookmarkEnd w:id="959"/>
    </w:p>
    <w:p w14:paraId="147BB9F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合同当事人应与保险人保持联系，使保险人能够随时了解工程实施中的变动，并确保按保险合同条款要求持续保险。</w:t>
      </w:r>
    </w:p>
    <w:p w14:paraId="782660BE">
      <w:pPr>
        <w:pStyle w:val="7"/>
        <w:spacing w:before="0" w:beforeAutospacing="0" w:after="0" w:afterAutospacing="0" w:line="360" w:lineRule="auto"/>
        <w:ind w:firstLine="422" w:firstLineChars="200"/>
        <w:rPr>
          <w:sz w:val="21"/>
          <w:szCs w:val="21"/>
        </w:rPr>
      </w:pPr>
      <w:bookmarkStart w:id="960" w:name="_Toc351203617"/>
      <w:bookmarkStart w:id="961" w:name="_Toc532377305"/>
      <w:bookmarkStart w:id="962" w:name="_Toc296503126"/>
      <w:bookmarkStart w:id="963" w:name="_Toc296346627"/>
      <w:bookmarkStart w:id="964" w:name="_Toc337558832"/>
      <w:r>
        <w:rPr>
          <w:rFonts w:hint="eastAsia"/>
          <w:sz w:val="21"/>
          <w:szCs w:val="21"/>
        </w:rPr>
        <w:t>18.5 保险凭证</w:t>
      </w:r>
      <w:bookmarkEnd w:id="960"/>
      <w:bookmarkEnd w:id="961"/>
    </w:p>
    <w:bookmarkEnd w:id="962"/>
    <w:bookmarkEnd w:id="963"/>
    <w:bookmarkEnd w:id="964"/>
    <w:p w14:paraId="6AC231A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合同当事人应及时向另一方当事人提交其已投保的各项保险的凭证和保险单复印件。</w:t>
      </w:r>
    </w:p>
    <w:p w14:paraId="651341C6">
      <w:pPr>
        <w:pStyle w:val="7"/>
        <w:spacing w:before="0" w:beforeAutospacing="0" w:after="0" w:afterAutospacing="0" w:line="360" w:lineRule="auto"/>
        <w:ind w:firstLine="422" w:firstLineChars="200"/>
        <w:rPr>
          <w:sz w:val="21"/>
          <w:szCs w:val="21"/>
        </w:rPr>
      </w:pPr>
      <w:bookmarkStart w:id="965" w:name="_Toc351203618"/>
      <w:bookmarkStart w:id="966" w:name="_Toc532377306"/>
      <w:bookmarkStart w:id="967" w:name="_Toc296503127"/>
      <w:bookmarkStart w:id="968" w:name="_Toc296346628"/>
      <w:bookmarkStart w:id="969" w:name="_Toc337558833"/>
      <w:r>
        <w:rPr>
          <w:rFonts w:hint="eastAsia"/>
          <w:sz w:val="21"/>
          <w:szCs w:val="21"/>
        </w:rPr>
        <w:t>18.6 未按约定投保的补救</w:t>
      </w:r>
      <w:bookmarkEnd w:id="965"/>
      <w:bookmarkEnd w:id="966"/>
    </w:p>
    <w:bookmarkEnd w:id="967"/>
    <w:bookmarkEnd w:id="968"/>
    <w:bookmarkEnd w:id="969"/>
    <w:p w14:paraId="207110D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18.6.1发包人未按合同约定办理保险，或未能使保险持续有效的，则承包人可代为办理，所需费用由发包人承担。发包人未按合同约定办理保险，导致未能得到足额赔偿的，由发包人负责补足。</w:t>
      </w:r>
    </w:p>
    <w:p w14:paraId="7FD3161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18.6.2承包人未按合同约定办理保险，或未能使保险持续有效的，则发包人可代为办理，所需费用由承包人承担。承包人未按合同约定办理保险，导致未能得到足额赔偿的，由承包人负责补足。</w:t>
      </w:r>
    </w:p>
    <w:p w14:paraId="207896A9">
      <w:pPr>
        <w:pStyle w:val="7"/>
        <w:spacing w:before="0" w:beforeAutospacing="0" w:after="0" w:afterAutospacing="0" w:line="360" w:lineRule="auto"/>
        <w:ind w:firstLine="422" w:firstLineChars="200"/>
        <w:rPr>
          <w:sz w:val="21"/>
          <w:szCs w:val="21"/>
        </w:rPr>
      </w:pPr>
      <w:bookmarkStart w:id="970" w:name="_Toc351203619"/>
      <w:bookmarkStart w:id="971" w:name="_Toc532377307"/>
      <w:bookmarkStart w:id="972" w:name="_Toc337558834"/>
      <w:r>
        <w:rPr>
          <w:rFonts w:hint="eastAsia"/>
          <w:sz w:val="21"/>
          <w:szCs w:val="21"/>
        </w:rPr>
        <w:t>18.7 通知义务</w:t>
      </w:r>
      <w:bookmarkEnd w:id="970"/>
      <w:bookmarkEnd w:id="971"/>
    </w:p>
    <w:bookmarkEnd w:id="972"/>
    <w:p w14:paraId="455090B6">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6A9914B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保险事故发生时，投保人应按照保险合同规定的条件和期限及时向保险人报告。发包人和承包人应当在知道保险事故发生后及时通知对方。</w:t>
      </w:r>
    </w:p>
    <w:p w14:paraId="47C2F49F">
      <w:pPr>
        <w:pStyle w:val="6"/>
        <w:keepNext/>
        <w:keepLines/>
        <w:spacing w:before="156" w:beforeLines="50" w:beforeAutospacing="0" w:after="156" w:afterLines="50" w:afterAutospacing="0" w:line="360" w:lineRule="auto"/>
        <w:jc w:val="both"/>
        <w:rPr>
          <w:bCs w:val="0"/>
          <w:kern w:val="2"/>
          <w:sz w:val="21"/>
          <w:szCs w:val="21"/>
        </w:rPr>
      </w:pPr>
      <w:bookmarkStart w:id="973" w:name="_Toc532375605"/>
      <w:bookmarkStart w:id="974" w:name="_Toc532377308"/>
      <w:r>
        <w:rPr>
          <w:rFonts w:hint="eastAsia"/>
          <w:kern w:val="2"/>
          <w:sz w:val="21"/>
          <w:szCs w:val="21"/>
        </w:rPr>
        <w:t>19. 索赔</w:t>
      </w:r>
      <w:bookmarkEnd w:id="973"/>
      <w:bookmarkEnd w:id="974"/>
    </w:p>
    <w:p w14:paraId="707B8463">
      <w:pPr>
        <w:pStyle w:val="7"/>
        <w:spacing w:before="0" w:beforeAutospacing="0" w:after="0" w:afterAutospacing="0" w:line="360" w:lineRule="auto"/>
        <w:ind w:firstLine="422" w:firstLineChars="200"/>
        <w:rPr>
          <w:sz w:val="21"/>
          <w:szCs w:val="21"/>
        </w:rPr>
      </w:pPr>
      <w:bookmarkStart w:id="975" w:name="_Toc532377309"/>
      <w:r>
        <w:rPr>
          <w:rFonts w:hint="eastAsia"/>
          <w:sz w:val="21"/>
          <w:szCs w:val="21"/>
        </w:rPr>
        <w:t>19.1承包人的索赔</w:t>
      </w:r>
      <w:bookmarkEnd w:id="975"/>
    </w:p>
    <w:p w14:paraId="11CFB89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根据合同约定，承包人认为有权得到追加付款和（或）延长工期的，应按以下程序向发包人提出索赔：</w:t>
      </w:r>
    </w:p>
    <w:p w14:paraId="665DC63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0AE0DD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（2）承包人应在发出索赔意向通知书后28天内，向监理人正式递交索赔报告；索赔报告应详细说明索赔理由以及要求追加的付款金额和（或）延长的工期，并附必要的记录和证明材料；</w:t>
      </w:r>
    </w:p>
    <w:p w14:paraId="3323D1D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（3）索赔事件具有持续影响的，承包人应按合理时间间隔继续递交延续索赔通知，说明持续影响的实际情况和记录，列出累计的追加付款金额和（或）工期延长天数；</w:t>
      </w:r>
    </w:p>
    <w:p w14:paraId="2CE11B8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（4）在索赔事件影响结束后28天内，承包人应向监理人递交最终索赔报告，说明最终要求索赔的追加付款金额和（或）延长的工期，并附必要的记录和证明材料。</w:t>
      </w:r>
    </w:p>
    <w:p w14:paraId="324943DD">
      <w:pPr>
        <w:pStyle w:val="7"/>
        <w:spacing w:before="0" w:beforeAutospacing="0" w:after="0" w:afterAutospacing="0" w:line="360" w:lineRule="auto"/>
        <w:ind w:firstLine="422" w:firstLineChars="200"/>
        <w:rPr>
          <w:sz w:val="21"/>
          <w:szCs w:val="21"/>
        </w:rPr>
      </w:pPr>
      <w:bookmarkStart w:id="976" w:name="_Toc351203622"/>
      <w:bookmarkStart w:id="977" w:name="_Toc532377310"/>
      <w:bookmarkStart w:id="978" w:name="_Toc337558837"/>
      <w:bookmarkStart w:id="979" w:name="_Toc296346643"/>
      <w:bookmarkStart w:id="980" w:name="_Toc296503142"/>
      <w:r>
        <w:rPr>
          <w:rFonts w:hint="eastAsia"/>
          <w:sz w:val="21"/>
          <w:szCs w:val="21"/>
        </w:rPr>
        <w:t>19.2 对承包人索赔的处理</w:t>
      </w:r>
      <w:bookmarkEnd w:id="976"/>
      <w:bookmarkEnd w:id="977"/>
    </w:p>
    <w:bookmarkEnd w:id="978"/>
    <w:bookmarkEnd w:id="979"/>
    <w:bookmarkEnd w:id="980"/>
    <w:p w14:paraId="7092882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对承包人索赔的处理如下：</w:t>
      </w:r>
    </w:p>
    <w:p w14:paraId="2174881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（1）监理人应在收到索赔报告后14天内完成审查并报送发包人。监理人对索赔报告存在异议的，有权要求承包人提交全部原始记录副本；</w:t>
      </w:r>
    </w:p>
    <w:p w14:paraId="0437D4B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5893EE45">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（3）承包人接受索赔处理结果的，索赔款项在当期进度款中进行支付；承包人不接受索赔处理结果的，按照第20条〔争议解决〕约定处理。</w:t>
      </w:r>
    </w:p>
    <w:p w14:paraId="34D13687">
      <w:pPr>
        <w:pStyle w:val="7"/>
        <w:spacing w:before="0" w:beforeAutospacing="0" w:after="0" w:afterAutospacing="0" w:line="360" w:lineRule="auto"/>
        <w:ind w:firstLine="422" w:firstLineChars="200"/>
        <w:rPr>
          <w:sz w:val="21"/>
          <w:szCs w:val="21"/>
        </w:rPr>
      </w:pPr>
      <w:bookmarkStart w:id="981" w:name="_Toc351203623"/>
      <w:bookmarkStart w:id="982" w:name="_Toc532377311"/>
      <w:bookmarkStart w:id="983" w:name="_Toc296346644"/>
      <w:bookmarkStart w:id="984" w:name="_Toc337558838"/>
      <w:bookmarkStart w:id="985" w:name="_Toc296503143"/>
      <w:r>
        <w:rPr>
          <w:rFonts w:hint="eastAsia"/>
          <w:sz w:val="21"/>
          <w:szCs w:val="21"/>
        </w:rPr>
        <w:t>19.3发包人的索赔</w:t>
      </w:r>
      <w:bookmarkEnd w:id="981"/>
      <w:bookmarkEnd w:id="982"/>
    </w:p>
    <w:bookmarkEnd w:id="983"/>
    <w:bookmarkEnd w:id="984"/>
    <w:bookmarkEnd w:id="985"/>
    <w:p w14:paraId="5A60016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根据合同约定，发包人认为有权得到赔付金额和（或）延长缺陷责任期的，监理人应向承包人发出通知并附有详细的证明。</w:t>
      </w:r>
    </w:p>
    <w:p w14:paraId="19F5DAD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74F66E0">
      <w:pPr>
        <w:pStyle w:val="7"/>
        <w:spacing w:before="0" w:beforeAutospacing="0" w:after="0" w:afterAutospacing="0" w:line="360" w:lineRule="auto"/>
        <w:ind w:firstLine="422" w:firstLineChars="200"/>
        <w:rPr>
          <w:sz w:val="21"/>
          <w:szCs w:val="21"/>
        </w:rPr>
      </w:pPr>
      <w:bookmarkStart w:id="986" w:name="_Toc532377312"/>
      <w:bookmarkStart w:id="987" w:name="_Toc351203624"/>
      <w:bookmarkStart w:id="988" w:name="_Toc337558839"/>
      <w:bookmarkStart w:id="989" w:name="_Toc296503144"/>
      <w:bookmarkStart w:id="990" w:name="_Toc296346645"/>
      <w:r>
        <w:rPr>
          <w:rFonts w:hint="eastAsia"/>
          <w:sz w:val="21"/>
          <w:szCs w:val="21"/>
        </w:rPr>
        <w:t>19.4 对发包人索赔的处理</w:t>
      </w:r>
      <w:bookmarkEnd w:id="986"/>
      <w:bookmarkEnd w:id="987"/>
    </w:p>
    <w:bookmarkEnd w:id="988"/>
    <w:bookmarkEnd w:id="989"/>
    <w:bookmarkEnd w:id="990"/>
    <w:p w14:paraId="1DDCB57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对发包人索赔的处理如下：</w:t>
      </w:r>
    </w:p>
    <w:p w14:paraId="08022533">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（1）承包人收到发包人提交的索赔报告后，应及时审查索赔报告的内容、查验发包人证明材料；</w:t>
      </w:r>
    </w:p>
    <w:p w14:paraId="3F858CC9">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（2）承包人应在收到索赔报告或有关索赔的进一步证明材料后28天内，将索赔处理结果答复发包人。如果承包人未在上述期限内作出答复的，则视为对发包人索赔要求的认可；</w:t>
      </w:r>
    </w:p>
    <w:p w14:paraId="75E9ADAA">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（3）承包人接受索赔处理结果的，发包人可从应支付给承包人的合同价款中扣除赔付的金额或延长缺陷责任期；发包人不接受索赔处理结果的，按第20条〔争议解决〕约定处理。</w:t>
      </w:r>
    </w:p>
    <w:p w14:paraId="178BEF25">
      <w:pPr>
        <w:pStyle w:val="7"/>
        <w:spacing w:before="0" w:beforeAutospacing="0" w:after="0" w:afterAutospacing="0" w:line="360" w:lineRule="auto"/>
        <w:ind w:firstLine="420" w:firstLineChars="200"/>
        <w:rPr>
          <w:b w:val="0"/>
          <w:sz w:val="21"/>
          <w:szCs w:val="21"/>
        </w:rPr>
      </w:pPr>
      <w:bookmarkStart w:id="991" w:name="_Toc351203625"/>
      <w:bookmarkStart w:id="992" w:name="_Toc532377313"/>
      <w:r>
        <w:rPr>
          <w:rFonts w:hint="eastAsia"/>
          <w:b w:val="0"/>
          <w:sz w:val="21"/>
          <w:szCs w:val="21"/>
        </w:rPr>
        <w:t>19.5 提出索赔的期限</w:t>
      </w:r>
      <w:bookmarkEnd w:id="991"/>
      <w:bookmarkEnd w:id="992"/>
    </w:p>
    <w:p w14:paraId="4727070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（1）承包人按第14.2款〔竣工结算审核〕约定接收竣工付款证书后，应被视为已无权再提出在工程接收证书颁发前所发生的任何索赔。</w:t>
      </w:r>
    </w:p>
    <w:p w14:paraId="63399CCD">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（2）承包人按第14.4款〔最终结清〕提交的最终结清申请单中，只限于提出工程接收证书颁发后发生的索赔。提出索赔的期限自接受最终结清证书时终止。</w:t>
      </w:r>
    </w:p>
    <w:p w14:paraId="3DAF9AD7">
      <w:pPr>
        <w:pStyle w:val="6"/>
        <w:keepNext/>
        <w:keepLines/>
        <w:spacing w:before="156" w:beforeLines="50" w:beforeAutospacing="0" w:after="156" w:afterLines="50" w:afterAutospacing="0" w:line="360" w:lineRule="auto"/>
        <w:jc w:val="both"/>
        <w:rPr>
          <w:bCs w:val="0"/>
          <w:kern w:val="2"/>
          <w:sz w:val="21"/>
          <w:szCs w:val="21"/>
        </w:rPr>
      </w:pPr>
      <w:bookmarkStart w:id="993" w:name="_Toc351203626"/>
      <w:bookmarkStart w:id="994" w:name="_Toc532375606"/>
      <w:bookmarkStart w:id="995" w:name="_Toc532377314"/>
      <w:r>
        <w:rPr>
          <w:rFonts w:hint="eastAsia"/>
          <w:kern w:val="2"/>
          <w:sz w:val="21"/>
          <w:szCs w:val="21"/>
        </w:rPr>
        <w:t>20</w:t>
      </w:r>
      <w:bookmarkStart w:id="996" w:name="_Toc296346647"/>
      <w:bookmarkStart w:id="997" w:name="_Toc296503146"/>
      <w:bookmarkStart w:id="998" w:name="_Toc337558840"/>
      <w:r>
        <w:rPr>
          <w:rFonts w:hint="eastAsia"/>
          <w:kern w:val="2"/>
          <w:sz w:val="21"/>
          <w:szCs w:val="21"/>
        </w:rPr>
        <w:t>. 争议解决</w:t>
      </w:r>
      <w:bookmarkEnd w:id="993"/>
      <w:bookmarkEnd w:id="994"/>
      <w:bookmarkEnd w:id="995"/>
    </w:p>
    <w:bookmarkEnd w:id="996"/>
    <w:bookmarkEnd w:id="997"/>
    <w:bookmarkEnd w:id="998"/>
    <w:p w14:paraId="3C618509">
      <w:pPr>
        <w:pStyle w:val="7"/>
        <w:spacing w:before="0" w:beforeAutospacing="0" w:after="0" w:afterAutospacing="0" w:line="360" w:lineRule="auto"/>
        <w:ind w:firstLine="422" w:firstLineChars="200"/>
        <w:rPr>
          <w:sz w:val="21"/>
          <w:szCs w:val="21"/>
        </w:rPr>
      </w:pPr>
      <w:bookmarkStart w:id="999" w:name="_Toc532377315"/>
      <w:bookmarkStart w:id="1000" w:name="_Toc351203627"/>
      <w:bookmarkStart w:id="1001" w:name="_Toc296346648"/>
      <w:bookmarkStart w:id="1002" w:name="_Toc296503147"/>
      <w:bookmarkStart w:id="1003" w:name="_Toc337558841"/>
      <w:r>
        <w:rPr>
          <w:rFonts w:hint="eastAsia"/>
          <w:sz w:val="21"/>
          <w:szCs w:val="21"/>
        </w:rPr>
        <w:t>20.1和解</w:t>
      </w:r>
      <w:bookmarkEnd w:id="999"/>
      <w:bookmarkEnd w:id="1000"/>
    </w:p>
    <w:bookmarkEnd w:id="1001"/>
    <w:bookmarkEnd w:id="1002"/>
    <w:bookmarkEnd w:id="1003"/>
    <w:p w14:paraId="4220E91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合同当事人可以就争议自行和解，自行和解达成协议的经双方签字并盖章后作为合同补充文件，双方均应遵照执行。</w:t>
      </w:r>
    </w:p>
    <w:p w14:paraId="52F047AA">
      <w:pPr>
        <w:pStyle w:val="7"/>
        <w:spacing w:before="0" w:beforeAutospacing="0" w:after="0" w:afterAutospacing="0" w:line="360" w:lineRule="auto"/>
        <w:ind w:firstLine="422" w:firstLineChars="200"/>
        <w:rPr>
          <w:sz w:val="21"/>
          <w:szCs w:val="21"/>
        </w:rPr>
      </w:pPr>
      <w:bookmarkStart w:id="1004" w:name="_Toc351203628"/>
      <w:bookmarkStart w:id="1005" w:name="_Toc532377316"/>
      <w:r>
        <w:rPr>
          <w:rFonts w:hint="eastAsia"/>
          <w:sz w:val="21"/>
          <w:szCs w:val="21"/>
        </w:rPr>
        <w:t>20</w:t>
      </w:r>
      <w:bookmarkStart w:id="1006" w:name="_Toc296346649"/>
      <w:bookmarkStart w:id="1007" w:name="_Toc296503148"/>
      <w:bookmarkStart w:id="1008" w:name="_Toc337558842"/>
      <w:r>
        <w:rPr>
          <w:rFonts w:hint="eastAsia"/>
          <w:sz w:val="21"/>
          <w:szCs w:val="21"/>
        </w:rPr>
        <w:t>.2调解</w:t>
      </w:r>
      <w:bookmarkEnd w:id="1004"/>
      <w:bookmarkEnd w:id="1005"/>
    </w:p>
    <w:bookmarkEnd w:id="1006"/>
    <w:bookmarkEnd w:id="1007"/>
    <w:bookmarkEnd w:id="1008"/>
    <w:p w14:paraId="4E023E78">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合同当事人可以就争议请求建设行政主管部门、行业协会或其他第三方进行调解，调解达成协议的，经双方签字并盖章后作为合同补充文件，双方均应遵照执行。</w:t>
      </w:r>
    </w:p>
    <w:p w14:paraId="3DE392A7">
      <w:pPr>
        <w:pStyle w:val="7"/>
        <w:spacing w:before="0" w:beforeAutospacing="0" w:after="0" w:afterAutospacing="0" w:line="360" w:lineRule="auto"/>
        <w:ind w:firstLine="422" w:firstLineChars="200"/>
        <w:rPr>
          <w:sz w:val="21"/>
          <w:szCs w:val="21"/>
        </w:rPr>
      </w:pPr>
      <w:bookmarkStart w:id="1009" w:name="_Toc351203629"/>
      <w:bookmarkStart w:id="1010" w:name="_Toc532377317"/>
      <w:bookmarkStart w:id="1011" w:name="_Toc337558843"/>
      <w:bookmarkStart w:id="1012" w:name="_Toc296503149"/>
      <w:bookmarkStart w:id="1013" w:name="_Toc296346650"/>
      <w:r>
        <w:rPr>
          <w:rFonts w:hint="eastAsia"/>
          <w:sz w:val="21"/>
          <w:szCs w:val="21"/>
        </w:rPr>
        <w:t>20.3争议评审</w:t>
      </w:r>
      <w:bookmarkEnd w:id="1009"/>
      <w:bookmarkEnd w:id="1010"/>
    </w:p>
    <w:bookmarkEnd w:id="1011"/>
    <w:bookmarkEnd w:id="1012"/>
    <w:bookmarkEnd w:id="1013"/>
    <w:p w14:paraId="3F29111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合同当事人在专用合同条款中约定采取争议评审方式解决争议以及评审规则，并按下列约定执行： </w:t>
      </w:r>
    </w:p>
    <w:p w14:paraId="728B6F8F">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20.3.1 争议评审小组的确定</w:t>
      </w:r>
    </w:p>
    <w:p w14:paraId="6EE9B16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合同当事人可以共同选择一名或三名争议评审员，组成争议评审小组。除专用合同条款另有约定外，合同当事人应当自合同签订后28天内，或者争议发生后14天内，选定争议评审员。</w:t>
      </w:r>
    </w:p>
    <w:p w14:paraId="73949FC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CB716D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除专用合同条款另有约定外，评审员报酬由发包人和承包人各承担一半。</w:t>
      </w:r>
    </w:p>
    <w:p w14:paraId="24AFD80C">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20.3.2 争议评审小组的决定</w:t>
      </w:r>
    </w:p>
    <w:p w14:paraId="4D14E6DB">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11F85E2">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20.3.3 争议评审小组决定的效力</w:t>
      </w:r>
    </w:p>
    <w:p w14:paraId="760C1960">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争议评审小组作出的书面决定经合同当事人签字确认后，对双方具有约束力，双方应遵照执行。</w:t>
      </w:r>
    </w:p>
    <w:p w14:paraId="6F42E181">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任何一方当事人不接受争议评审小组决定或不履行争议评审小组决定的，双方可选择采用其他争议解决方式。</w:t>
      </w:r>
    </w:p>
    <w:p w14:paraId="2DA977C3">
      <w:pPr>
        <w:pStyle w:val="7"/>
        <w:spacing w:before="0" w:beforeAutospacing="0" w:after="0" w:afterAutospacing="0" w:line="360" w:lineRule="auto"/>
        <w:ind w:firstLine="422" w:firstLineChars="200"/>
        <w:rPr>
          <w:sz w:val="21"/>
          <w:szCs w:val="21"/>
        </w:rPr>
      </w:pPr>
      <w:bookmarkStart w:id="1014" w:name="_Toc532377318"/>
      <w:bookmarkStart w:id="1015" w:name="_Toc351203630"/>
      <w:bookmarkStart w:id="1016" w:name="_Toc296503150"/>
      <w:bookmarkStart w:id="1017" w:name="_Toc337558844"/>
      <w:bookmarkStart w:id="1018" w:name="_Toc296346651"/>
      <w:r>
        <w:rPr>
          <w:rFonts w:hint="eastAsia"/>
          <w:sz w:val="21"/>
          <w:szCs w:val="21"/>
        </w:rPr>
        <w:t>20.4仲裁或诉讼</w:t>
      </w:r>
      <w:bookmarkEnd w:id="1014"/>
      <w:bookmarkEnd w:id="1015"/>
    </w:p>
    <w:bookmarkEnd w:id="1016"/>
    <w:bookmarkEnd w:id="1017"/>
    <w:bookmarkEnd w:id="1018"/>
    <w:p w14:paraId="66F0F464">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因合同及合同有关事项产生的争议，合同当事人可以在专用合同条款中约定以下一种方式解决争议：</w:t>
      </w:r>
    </w:p>
    <w:p w14:paraId="58867107">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（1）向约定的仲裁委员会申请仲裁；</w:t>
      </w:r>
    </w:p>
    <w:p w14:paraId="1DBCA76E">
      <w:pPr>
        <w:autoSpaceDE w:val="0"/>
        <w:autoSpaceDN w:val="0"/>
        <w:spacing w:line="360" w:lineRule="auto"/>
        <w:ind w:firstLine="420" w:firstLineChars="200"/>
        <w:jc w:val="left"/>
        <w:rPr>
          <w:rFonts w:ascii="宋体" w:hAnsi="宋体"/>
          <w:kern w:val="0"/>
          <w:szCs w:val="21"/>
        </w:rPr>
      </w:pPr>
      <w:r>
        <w:rPr>
          <w:rFonts w:hint="eastAsia" w:ascii="宋体" w:hAnsi="宋体"/>
          <w:kern w:val="0"/>
          <w:szCs w:val="21"/>
        </w:rPr>
        <w:t>（2）向有管辖权的人民法院起诉。</w:t>
      </w:r>
    </w:p>
    <w:p w14:paraId="502ADCF3">
      <w:pPr>
        <w:pStyle w:val="7"/>
        <w:spacing w:before="0" w:beforeAutospacing="0" w:after="0" w:afterAutospacing="0" w:line="360" w:lineRule="auto"/>
        <w:ind w:firstLine="420" w:firstLineChars="200"/>
        <w:rPr>
          <w:b w:val="0"/>
          <w:sz w:val="21"/>
          <w:szCs w:val="21"/>
        </w:rPr>
      </w:pPr>
      <w:bookmarkStart w:id="1019" w:name="_Toc532377319"/>
      <w:bookmarkStart w:id="1020" w:name="_Toc351203631"/>
      <w:bookmarkStart w:id="1021" w:name="_Toc296503152"/>
      <w:bookmarkStart w:id="1022" w:name="_Toc296346653"/>
      <w:bookmarkStart w:id="1023" w:name="_Toc337558845"/>
      <w:r>
        <w:rPr>
          <w:rFonts w:hint="eastAsia"/>
          <w:b w:val="0"/>
          <w:sz w:val="21"/>
          <w:szCs w:val="21"/>
        </w:rPr>
        <w:t>20.5争议解决条款效力</w:t>
      </w:r>
      <w:bookmarkEnd w:id="1019"/>
      <w:bookmarkEnd w:id="1020"/>
    </w:p>
    <w:bookmarkEnd w:id="1021"/>
    <w:bookmarkEnd w:id="1022"/>
    <w:bookmarkEnd w:id="1023"/>
    <w:p w14:paraId="319F26AA">
      <w:pPr>
        <w:spacing w:line="360" w:lineRule="auto"/>
        <w:ind w:firstLine="420" w:firstLineChars="200"/>
        <w:jc w:val="left"/>
        <w:rPr>
          <w:rFonts w:ascii="宋体" w:hAnsi="宋体"/>
          <w:kern w:val="0"/>
          <w:szCs w:val="21"/>
        </w:rPr>
      </w:pPr>
      <w:r>
        <w:rPr>
          <w:rFonts w:hint="eastAsia" w:ascii="宋体" w:hAnsi="宋体"/>
          <w:kern w:val="0"/>
          <w:szCs w:val="21"/>
        </w:rPr>
        <w:t>合同有关争议解决的条款独立存在，合同的变更、解除、终止、无效或者被撤销均不影响其效力。</w:t>
      </w:r>
    </w:p>
    <w:p w14:paraId="2E79D649">
      <w:pPr>
        <w:keepNext/>
        <w:keepLines/>
        <w:snapToGrid w:val="0"/>
        <w:spacing w:before="260" w:after="260" w:line="360" w:lineRule="auto"/>
        <w:outlineLvl w:val="2"/>
        <w:rPr>
          <w:rFonts w:ascii="宋体" w:hAnsi="宋体"/>
          <w:b/>
          <w:bCs/>
          <w:szCs w:val="21"/>
          <w:lang w:val="zh-CN"/>
        </w:rPr>
      </w:pPr>
      <w:r>
        <w:rPr>
          <w:rFonts w:hint="eastAsia" w:ascii="宋体" w:hAnsi="宋体"/>
          <w:b/>
          <w:bCs/>
          <w:szCs w:val="21"/>
          <w:lang w:val="zh-CN"/>
        </w:rPr>
        <w:br w:type="page"/>
      </w:r>
    </w:p>
    <w:p w14:paraId="637EEECD">
      <w:pPr>
        <w:pStyle w:val="5"/>
        <w:jc w:val="center"/>
        <w:rPr>
          <w:rFonts w:ascii="宋体" w:hAnsi="宋体"/>
          <w:sz w:val="44"/>
          <w:szCs w:val="44"/>
        </w:rPr>
      </w:pPr>
      <w:bookmarkStart w:id="1024" w:name="_Toc532377320"/>
      <w:bookmarkStart w:id="1025" w:name="_Toc532375607"/>
      <w:bookmarkStart w:id="1026" w:name="_Toc529388290"/>
      <w:bookmarkStart w:id="1027" w:name="_Toc26921"/>
      <w:r>
        <w:rPr>
          <w:rFonts w:hint="eastAsia" w:ascii="宋体" w:hAnsi="宋体"/>
          <w:sz w:val="44"/>
          <w:szCs w:val="44"/>
        </w:rPr>
        <w:t>第三部分 专用合同条款</w:t>
      </w:r>
      <w:bookmarkEnd w:id="1024"/>
      <w:bookmarkEnd w:id="1025"/>
      <w:bookmarkEnd w:id="1026"/>
      <w:bookmarkEnd w:id="1027"/>
    </w:p>
    <w:p w14:paraId="0B2CF1D9">
      <w:pPr>
        <w:pStyle w:val="6"/>
        <w:keepNext/>
        <w:keepLines/>
        <w:spacing w:before="156" w:beforeLines="50" w:beforeAutospacing="0" w:after="156" w:afterLines="50" w:afterAutospacing="0" w:line="360" w:lineRule="auto"/>
        <w:jc w:val="both"/>
        <w:rPr>
          <w:bCs w:val="0"/>
          <w:kern w:val="2"/>
          <w:sz w:val="21"/>
          <w:szCs w:val="21"/>
        </w:rPr>
      </w:pPr>
      <w:bookmarkStart w:id="1028" w:name="_Toc532375608"/>
      <w:bookmarkStart w:id="1029" w:name="_Toc532377321"/>
      <w:bookmarkStart w:id="1030" w:name="_Toc351203633"/>
      <w:bookmarkStart w:id="1031" w:name="_Hlk528927191"/>
      <w:r>
        <w:rPr>
          <w:rFonts w:hint="eastAsia"/>
          <w:kern w:val="2"/>
          <w:sz w:val="21"/>
          <w:szCs w:val="21"/>
        </w:rPr>
        <w:t>1</w:t>
      </w:r>
      <w:bookmarkStart w:id="1032" w:name="_Toc296347155"/>
      <w:bookmarkStart w:id="1033" w:name="_Toc296890984"/>
      <w:bookmarkStart w:id="1034" w:name="_Toc292559866"/>
      <w:bookmarkStart w:id="1035" w:name="_Toc296346657"/>
      <w:bookmarkStart w:id="1036" w:name="_Toc296503156"/>
      <w:bookmarkStart w:id="1037" w:name="_Toc292559361"/>
      <w:bookmarkStart w:id="1038" w:name="_Toc296891196"/>
      <w:bookmarkStart w:id="1039" w:name="_Toc297120456"/>
      <w:bookmarkStart w:id="1040" w:name="_Toc296944495"/>
      <w:bookmarkStart w:id="1041" w:name="_Toc297048342"/>
      <w:r>
        <w:rPr>
          <w:rFonts w:hint="eastAsia"/>
          <w:kern w:val="2"/>
          <w:sz w:val="21"/>
          <w:szCs w:val="21"/>
        </w:rPr>
        <w:t>. 一般约定</w:t>
      </w:r>
      <w:bookmarkEnd w:id="1028"/>
      <w:bookmarkEnd w:id="1029"/>
      <w:bookmarkEnd w:id="1030"/>
    </w:p>
    <w:bookmarkEnd w:id="1032"/>
    <w:bookmarkEnd w:id="1033"/>
    <w:bookmarkEnd w:id="1034"/>
    <w:bookmarkEnd w:id="1035"/>
    <w:bookmarkEnd w:id="1036"/>
    <w:bookmarkEnd w:id="1037"/>
    <w:bookmarkEnd w:id="1038"/>
    <w:bookmarkEnd w:id="1039"/>
    <w:bookmarkEnd w:id="1040"/>
    <w:bookmarkEnd w:id="1041"/>
    <w:p w14:paraId="78A230E2">
      <w:pPr>
        <w:pStyle w:val="7"/>
        <w:spacing w:before="0" w:beforeAutospacing="0" w:after="0" w:afterAutospacing="0" w:line="360" w:lineRule="auto"/>
        <w:ind w:firstLine="422" w:firstLineChars="200"/>
        <w:rPr>
          <w:sz w:val="21"/>
          <w:szCs w:val="21"/>
        </w:rPr>
      </w:pPr>
      <w:bookmarkStart w:id="1042" w:name="_Toc532377322"/>
      <w:r>
        <w:rPr>
          <w:rFonts w:hint="eastAsia"/>
          <w:sz w:val="21"/>
          <w:szCs w:val="21"/>
        </w:rPr>
        <w:t>1.1词语定义与解释</w:t>
      </w:r>
      <w:bookmarkEnd w:id="1042"/>
    </w:p>
    <w:p w14:paraId="60152BE2">
      <w:pPr>
        <w:spacing w:line="360" w:lineRule="auto"/>
        <w:ind w:firstLine="420" w:firstLineChars="200"/>
        <w:jc w:val="left"/>
        <w:rPr>
          <w:rFonts w:ascii="宋体" w:hAnsi="宋体"/>
          <w:kern w:val="0"/>
          <w:szCs w:val="21"/>
        </w:rPr>
      </w:pPr>
      <w:r>
        <w:rPr>
          <w:rFonts w:hint="eastAsia" w:ascii="宋体" w:hAnsi="宋体"/>
          <w:kern w:val="0"/>
          <w:szCs w:val="21"/>
        </w:rPr>
        <w:t>1.1.1 合同</w:t>
      </w:r>
    </w:p>
    <w:p w14:paraId="22769524">
      <w:pPr>
        <w:spacing w:line="360" w:lineRule="auto"/>
        <w:ind w:firstLine="420" w:firstLineChars="200"/>
        <w:jc w:val="left"/>
        <w:rPr>
          <w:rFonts w:ascii="宋体" w:hAnsi="宋体"/>
          <w:kern w:val="0"/>
          <w:szCs w:val="21"/>
        </w:rPr>
      </w:pPr>
      <w:r>
        <w:rPr>
          <w:rFonts w:hint="eastAsia" w:ascii="宋体" w:hAnsi="宋体"/>
          <w:kern w:val="0"/>
          <w:szCs w:val="21"/>
        </w:rPr>
        <w:t>1.1.1.6技术标准和要求：</w:t>
      </w:r>
      <w:r>
        <w:rPr>
          <w:rFonts w:hint="eastAsia" w:ascii="宋体" w:hAnsi="宋体"/>
          <w:kern w:val="0"/>
          <w:szCs w:val="21"/>
          <w:u w:val="single"/>
        </w:rPr>
        <w:t>本目中的技术标准和要求是指技术规范，即合同所约定的技术标准和要求，是合同文件的组成部分。与通用合同条款中“技术标准和要求”一词具有相同含义，包括合同双方当事人约定对其所作的修改或补充</w:t>
      </w:r>
      <w:r>
        <w:rPr>
          <w:rFonts w:hint="eastAsia" w:ascii="宋体" w:hAnsi="宋体"/>
          <w:kern w:val="0"/>
          <w:szCs w:val="21"/>
        </w:rPr>
        <w:t>。</w:t>
      </w:r>
    </w:p>
    <w:p w14:paraId="5888C313">
      <w:pPr>
        <w:spacing w:line="360" w:lineRule="auto"/>
        <w:ind w:firstLine="420" w:firstLineChars="200"/>
        <w:jc w:val="left"/>
        <w:rPr>
          <w:rFonts w:ascii="宋体" w:hAnsi="宋体"/>
          <w:kern w:val="0"/>
          <w:szCs w:val="21"/>
        </w:rPr>
      </w:pPr>
      <w:r>
        <w:rPr>
          <w:rFonts w:hint="eastAsia" w:ascii="宋体" w:hAnsi="宋体"/>
          <w:kern w:val="0"/>
          <w:szCs w:val="21"/>
        </w:rPr>
        <w:t>1.1.1.8 已标价工程量清单：</w:t>
      </w:r>
      <w:r>
        <w:rPr>
          <w:rFonts w:hint="eastAsia" w:ascii="宋体" w:hAnsi="宋体"/>
          <w:kern w:val="0"/>
          <w:szCs w:val="21"/>
          <w:u w:val="single"/>
        </w:rPr>
        <w:t>指构成合同的由承包人按照发包人规定的格式和要求填写并标明价格、经算术性错误修订及其他错误修订（如有）且承包人已确认的工程量清单</w:t>
      </w:r>
      <w:r>
        <w:rPr>
          <w:rFonts w:hint="eastAsia" w:ascii="宋体" w:hAnsi="宋体"/>
          <w:kern w:val="0"/>
          <w:szCs w:val="21"/>
        </w:rPr>
        <w:t>。</w:t>
      </w:r>
    </w:p>
    <w:p w14:paraId="2EC042D4">
      <w:pPr>
        <w:spacing w:line="360" w:lineRule="auto"/>
        <w:ind w:firstLine="420" w:firstLineChars="200"/>
        <w:jc w:val="left"/>
        <w:rPr>
          <w:rFonts w:ascii="宋体" w:hAnsi="宋体"/>
          <w:szCs w:val="21"/>
        </w:rPr>
      </w:pPr>
      <w:r>
        <w:rPr>
          <w:rFonts w:hint="eastAsia" w:ascii="宋体" w:hAnsi="宋体"/>
          <w:kern w:val="0"/>
          <w:szCs w:val="21"/>
        </w:rPr>
        <w:t>1.1.1.10 其他合同文件包括：</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7B53D03A">
      <w:pPr>
        <w:spacing w:line="360" w:lineRule="auto"/>
        <w:ind w:firstLine="420" w:firstLineChars="200"/>
        <w:jc w:val="left"/>
        <w:rPr>
          <w:rFonts w:ascii="宋体" w:hAnsi="宋体"/>
          <w:kern w:val="0"/>
          <w:szCs w:val="21"/>
        </w:rPr>
      </w:pPr>
      <w:r>
        <w:rPr>
          <w:rFonts w:hint="eastAsia" w:ascii="宋体" w:hAnsi="宋体"/>
          <w:kern w:val="0"/>
          <w:szCs w:val="21"/>
        </w:rPr>
        <w:t>本项补充1.1.1.11～1.1.1.16目：</w:t>
      </w:r>
    </w:p>
    <w:p w14:paraId="531A3BAE">
      <w:pPr>
        <w:spacing w:line="360" w:lineRule="auto"/>
        <w:ind w:firstLine="420" w:firstLineChars="200"/>
        <w:jc w:val="left"/>
        <w:rPr>
          <w:rFonts w:ascii="宋体" w:hAnsi="宋体"/>
          <w:kern w:val="0"/>
          <w:szCs w:val="21"/>
        </w:rPr>
      </w:pPr>
      <w:r>
        <w:rPr>
          <w:rFonts w:hint="eastAsia" w:ascii="宋体" w:hAnsi="宋体"/>
          <w:kern w:val="0"/>
          <w:szCs w:val="21"/>
        </w:rPr>
        <w:t>1.1.1.11 采购文件：</w:t>
      </w:r>
      <w:r>
        <w:rPr>
          <w:rFonts w:hint="eastAsia" w:ascii="宋体" w:hAnsi="宋体"/>
          <w:kern w:val="0"/>
          <w:szCs w:val="21"/>
          <w:u w:val="single"/>
        </w:rPr>
        <w:t>指本工程的采购文件、图纸、其他技术资料及采购人发出的对采购文件所作的澄清、修改等资料</w:t>
      </w:r>
      <w:r>
        <w:rPr>
          <w:rFonts w:hint="eastAsia" w:ascii="宋体" w:hAnsi="宋体"/>
          <w:kern w:val="0"/>
          <w:szCs w:val="21"/>
        </w:rPr>
        <w:t>。</w:t>
      </w:r>
    </w:p>
    <w:p w14:paraId="7F244C91">
      <w:pPr>
        <w:spacing w:line="360" w:lineRule="auto"/>
        <w:ind w:firstLine="420" w:firstLineChars="200"/>
        <w:jc w:val="left"/>
        <w:rPr>
          <w:rFonts w:ascii="宋体" w:hAnsi="宋体"/>
          <w:kern w:val="0"/>
          <w:szCs w:val="21"/>
        </w:rPr>
      </w:pPr>
      <w:r>
        <w:rPr>
          <w:rFonts w:hint="eastAsia" w:ascii="宋体" w:hAnsi="宋体"/>
          <w:kern w:val="0"/>
          <w:szCs w:val="21"/>
        </w:rPr>
        <w:t>1.1.1.12 工作：</w:t>
      </w:r>
      <w:r>
        <w:rPr>
          <w:rFonts w:hint="eastAsia" w:ascii="宋体" w:hAnsi="宋体"/>
          <w:kern w:val="0"/>
          <w:szCs w:val="21"/>
          <w:u w:val="single"/>
        </w:rPr>
        <w:t>指根据合同条款规定，或根据合同合理推及的，为本工程（包括永久工程和临时工程）施工与维护所需要的管理、劳务、材料、施工设备和其他物品的提供</w:t>
      </w:r>
      <w:r>
        <w:rPr>
          <w:rFonts w:hint="eastAsia" w:ascii="宋体" w:hAnsi="宋体"/>
          <w:kern w:val="0"/>
          <w:szCs w:val="21"/>
        </w:rPr>
        <w:t>。</w:t>
      </w:r>
    </w:p>
    <w:p w14:paraId="187B8EEB">
      <w:pPr>
        <w:spacing w:line="360" w:lineRule="auto"/>
        <w:ind w:firstLine="420" w:firstLineChars="200"/>
        <w:jc w:val="left"/>
        <w:rPr>
          <w:rFonts w:ascii="宋体" w:hAnsi="宋体"/>
          <w:szCs w:val="21"/>
        </w:rPr>
      </w:pPr>
      <w:r>
        <w:rPr>
          <w:rFonts w:hint="eastAsia" w:ascii="宋体" w:hAnsi="宋体"/>
          <w:szCs w:val="21"/>
        </w:rPr>
        <w:t>1.1.1.13 重大设计变更：按照规定需要重新报建设行政主管部门批准的设计变更。</w:t>
      </w:r>
    </w:p>
    <w:p w14:paraId="1D749C9D">
      <w:pPr>
        <w:spacing w:line="360" w:lineRule="auto"/>
        <w:ind w:firstLine="420" w:firstLineChars="200"/>
        <w:jc w:val="left"/>
        <w:rPr>
          <w:rFonts w:ascii="宋体" w:hAnsi="宋体"/>
          <w:szCs w:val="21"/>
        </w:rPr>
      </w:pPr>
      <w:r>
        <w:rPr>
          <w:rFonts w:ascii="宋体" w:hAnsi="宋体"/>
          <w:szCs w:val="21"/>
        </w:rPr>
        <w:t>1.1.1.</w:t>
      </w:r>
      <w:r>
        <w:rPr>
          <w:rFonts w:hint="eastAsia" w:ascii="宋体" w:hAnsi="宋体"/>
          <w:szCs w:val="21"/>
        </w:rPr>
        <w:t>14 公章：专指法定单位名称章</w:t>
      </w:r>
      <w:r>
        <w:rPr>
          <w:rFonts w:ascii="宋体" w:hAnsi="宋体"/>
          <w:szCs w:val="21"/>
        </w:rPr>
        <w:t>。</w:t>
      </w:r>
    </w:p>
    <w:bookmarkEnd w:id="1031"/>
    <w:p w14:paraId="2DCCD34F">
      <w:pPr>
        <w:spacing w:line="360" w:lineRule="auto"/>
        <w:ind w:firstLine="420" w:firstLineChars="200"/>
        <w:jc w:val="left"/>
        <w:rPr>
          <w:rFonts w:ascii="宋体" w:hAnsi="宋体"/>
          <w:szCs w:val="21"/>
        </w:rPr>
      </w:pPr>
      <w:r>
        <w:rPr>
          <w:rFonts w:hint="eastAsia" w:ascii="宋体" w:hAnsi="宋体"/>
          <w:szCs w:val="21"/>
        </w:rPr>
        <w:t>1.1.1.15 到岗：指承包人按照到岗履职承诺安排满足办理施工许可手续相关要求的项目主要管理人员实际到施工现场就职履约的行为。</w:t>
      </w:r>
    </w:p>
    <w:p w14:paraId="75A19900">
      <w:pPr>
        <w:spacing w:line="360" w:lineRule="auto"/>
        <w:ind w:firstLine="420" w:firstLineChars="200"/>
        <w:jc w:val="left"/>
        <w:rPr>
          <w:rFonts w:ascii="宋体" w:hAnsi="宋体"/>
          <w:szCs w:val="21"/>
        </w:rPr>
      </w:pPr>
      <w:r>
        <w:rPr>
          <w:rFonts w:hint="eastAsia" w:ascii="宋体" w:hAnsi="宋体"/>
          <w:szCs w:val="21"/>
        </w:rPr>
        <w:t>1.1.1.16 项目法人：指具有民事权利能力和民事行为能力，依法独立享有民事权利和承担民事义务，以建设项目为目的，从事项目管理的机构、单位或组织。</w:t>
      </w:r>
    </w:p>
    <w:p w14:paraId="1A42AD71">
      <w:pPr>
        <w:spacing w:line="360" w:lineRule="auto"/>
        <w:ind w:firstLine="420" w:firstLineChars="200"/>
        <w:jc w:val="left"/>
        <w:rPr>
          <w:rFonts w:ascii="宋体" w:hAnsi="宋体"/>
          <w:szCs w:val="21"/>
        </w:rPr>
      </w:pPr>
      <w:r>
        <w:rPr>
          <w:rFonts w:hint="eastAsia" w:ascii="宋体" w:hAnsi="宋体"/>
          <w:szCs w:val="21"/>
        </w:rPr>
        <w:t>1.1.2 合同当事人及其他相关方</w:t>
      </w:r>
    </w:p>
    <w:p w14:paraId="192BFE48">
      <w:pPr>
        <w:spacing w:line="360" w:lineRule="auto"/>
        <w:ind w:firstLine="420" w:firstLineChars="200"/>
        <w:jc w:val="left"/>
        <w:rPr>
          <w:rFonts w:ascii="宋体" w:hAnsi="宋体"/>
          <w:szCs w:val="21"/>
        </w:rPr>
      </w:pPr>
      <w:r>
        <w:rPr>
          <w:rFonts w:hint="eastAsia" w:ascii="宋体" w:hAnsi="宋体"/>
          <w:szCs w:val="21"/>
        </w:rPr>
        <w:t>1.1.2.4 监理人：</w:t>
      </w:r>
    </w:p>
    <w:p w14:paraId="74EC262A">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499D0653">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3D8085D6">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6D9B4E9E">
      <w:pPr>
        <w:spacing w:line="360" w:lineRule="auto"/>
        <w:ind w:firstLine="420" w:firstLineChars="200"/>
        <w:jc w:val="left"/>
        <w:rPr>
          <w:rFonts w:ascii="宋体" w:hAnsi="宋体"/>
          <w:szCs w:val="21"/>
        </w:rPr>
      </w:pPr>
      <w:r>
        <w:rPr>
          <w:rFonts w:hint="eastAsia" w:ascii="宋体" w:hAnsi="宋体"/>
          <w:szCs w:val="21"/>
        </w:rPr>
        <w:t>1.1.2.5 设计人：</w:t>
      </w:r>
    </w:p>
    <w:p w14:paraId="0B4E396D">
      <w:pPr>
        <w:spacing w:line="360" w:lineRule="auto"/>
        <w:ind w:firstLine="420" w:firstLineChars="200"/>
        <w:jc w:val="left"/>
        <w:rPr>
          <w:rFonts w:ascii="宋体" w:hAnsi="宋体"/>
          <w:szCs w:val="21"/>
        </w:rPr>
      </w:pPr>
      <w:r>
        <w:rPr>
          <w:rFonts w:hint="eastAsia" w:ascii="宋体" w:hAnsi="宋体"/>
          <w:szCs w:val="21"/>
        </w:rPr>
        <w:t>名    称：</w:t>
      </w:r>
      <w:r>
        <w:rPr>
          <w:rFonts w:ascii="宋体" w:hAnsi="宋体"/>
          <w:szCs w:val="21"/>
          <w:u w:val="single"/>
        </w:rPr>
        <w:t xml:space="preserve">    </w:t>
      </w:r>
      <w:r>
        <w:rPr>
          <w:rFonts w:hint="eastAsia" w:ascii="宋体" w:hAnsi="宋体"/>
          <w:szCs w:val="21"/>
        </w:rPr>
        <w:t>；</w:t>
      </w:r>
    </w:p>
    <w:p w14:paraId="141546FB">
      <w:pPr>
        <w:spacing w:line="360" w:lineRule="auto"/>
        <w:ind w:firstLine="420" w:firstLineChars="200"/>
        <w:jc w:val="left"/>
        <w:rPr>
          <w:rFonts w:ascii="宋体" w:hAnsi="宋体"/>
          <w:szCs w:val="21"/>
        </w:rPr>
      </w:pPr>
      <w:r>
        <w:rPr>
          <w:rFonts w:hint="eastAsia" w:ascii="宋体" w:hAnsi="宋体"/>
          <w:szCs w:val="21"/>
        </w:rPr>
        <w:t>资质类别和等级：</w:t>
      </w:r>
      <w:r>
        <w:rPr>
          <w:rFonts w:ascii="宋体" w:hAnsi="宋体"/>
          <w:szCs w:val="21"/>
          <w:u w:val="single"/>
        </w:rPr>
        <w:t></w:t>
      </w:r>
      <w:r>
        <w:rPr>
          <w:rFonts w:hint="eastAsia" w:ascii="宋体" w:hAnsi="宋体"/>
          <w:szCs w:val="21"/>
        </w:rPr>
        <w:t>；</w:t>
      </w:r>
    </w:p>
    <w:p w14:paraId="27C09723">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w:t>
      </w:r>
      <w:r>
        <w:rPr>
          <w:rFonts w:hint="eastAsia" w:ascii="宋体" w:hAnsi="宋体"/>
          <w:szCs w:val="21"/>
        </w:rPr>
        <w:t>。</w:t>
      </w:r>
    </w:p>
    <w:p w14:paraId="3D296BEB">
      <w:pPr>
        <w:spacing w:line="360" w:lineRule="auto"/>
        <w:ind w:firstLine="420" w:firstLineChars="200"/>
        <w:jc w:val="left"/>
        <w:rPr>
          <w:rFonts w:ascii="宋体" w:hAnsi="宋体"/>
          <w:szCs w:val="21"/>
        </w:rPr>
      </w:pPr>
      <w:r>
        <w:rPr>
          <w:rFonts w:hint="eastAsia" w:ascii="宋体" w:hAnsi="宋体"/>
          <w:szCs w:val="21"/>
        </w:rPr>
        <w:t>1.1.3 工程和设备</w:t>
      </w:r>
    </w:p>
    <w:p w14:paraId="1FE65A97">
      <w:pPr>
        <w:spacing w:line="360" w:lineRule="auto"/>
        <w:ind w:firstLine="420" w:firstLineChars="200"/>
        <w:jc w:val="left"/>
        <w:rPr>
          <w:rFonts w:ascii="宋体" w:hAnsi="宋体"/>
          <w:szCs w:val="21"/>
        </w:rPr>
      </w:pPr>
      <w:r>
        <w:rPr>
          <w:rFonts w:hint="eastAsia" w:ascii="宋体" w:hAnsi="宋体"/>
          <w:kern w:val="0"/>
          <w:szCs w:val="21"/>
        </w:rPr>
        <w:t>1.1.3.7 作为施工现场组成部分的其他场所包括：</w:t>
      </w:r>
      <w:r>
        <w:rPr>
          <w:rFonts w:hint="eastAsia" w:ascii="宋体" w:hAnsi="宋体"/>
          <w:kern w:val="0"/>
          <w:szCs w:val="21"/>
          <w:u w:val="single"/>
        </w:rPr>
        <w:t>永久占地、临时占地以及为修建临时工程而租用、占用的土地</w:t>
      </w:r>
      <w:r>
        <w:rPr>
          <w:rFonts w:hint="eastAsia" w:ascii="宋体" w:hAnsi="宋体"/>
          <w:szCs w:val="21"/>
        </w:rPr>
        <w:t>。</w:t>
      </w:r>
    </w:p>
    <w:p w14:paraId="4CDE4013">
      <w:pPr>
        <w:spacing w:line="360" w:lineRule="auto"/>
        <w:ind w:firstLine="420" w:firstLineChars="200"/>
        <w:jc w:val="left"/>
        <w:rPr>
          <w:rFonts w:ascii="宋体" w:hAnsi="宋体"/>
          <w:szCs w:val="21"/>
        </w:rPr>
      </w:pPr>
      <w:r>
        <w:rPr>
          <w:rFonts w:hint="eastAsia" w:ascii="宋体" w:hAnsi="宋体"/>
          <w:kern w:val="0"/>
          <w:szCs w:val="21"/>
        </w:rPr>
        <w:t>1.1.3.9 永久占地包括：</w:t>
      </w:r>
      <w:r>
        <w:rPr>
          <w:rFonts w:hint="eastAsia" w:ascii="宋体" w:hAnsi="宋体"/>
          <w:kern w:val="0"/>
          <w:szCs w:val="21"/>
          <w:u w:val="single"/>
        </w:rPr>
        <w:t>为实施合同工程而需要的一切永久占用的土地，即合同工程</w:t>
      </w:r>
      <w:r>
        <w:rPr>
          <w:rFonts w:hint="eastAsia" w:ascii="宋体" w:hAnsi="宋体"/>
          <w:szCs w:val="21"/>
          <w:u w:val="single"/>
        </w:rPr>
        <w:t>用地红线范围内的土地</w:t>
      </w:r>
      <w:r>
        <w:rPr>
          <w:rFonts w:hint="eastAsia" w:ascii="宋体" w:hAnsi="宋体"/>
          <w:szCs w:val="21"/>
        </w:rPr>
        <w:t>。</w:t>
      </w:r>
    </w:p>
    <w:p w14:paraId="35F3CF44">
      <w:pPr>
        <w:spacing w:line="360" w:lineRule="auto"/>
        <w:ind w:firstLine="420" w:firstLineChars="200"/>
        <w:jc w:val="left"/>
        <w:rPr>
          <w:rFonts w:ascii="宋体" w:hAnsi="宋体"/>
          <w:szCs w:val="21"/>
        </w:rPr>
      </w:pPr>
      <w:r>
        <w:rPr>
          <w:rFonts w:hint="eastAsia" w:ascii="宋体" w:hAnsi="宋体"/>
          <w:szCs w:val="21"/>
        </w:rPr>
        <w:t>1.1.3.10 临时占地包括：</w:t>
      </w:r>
      <w:r>
        <w:rPr>
          <w:rFonts w:hint="eastAsia" w:ascii="宋体" w:hAnsi="宋体"/>
          <w:szCs w:val="21"/>
          <w:u w:val="single"/>
        </w:rPr>
        <w:t>为实施合同工程而需要</w:t>
      </w:r>
      <w:r>
        <w:rPr>
          <w:rFonts w:hint="eastAsia" w:ascii="宋体" w:hAnsi="宋体"/>
          <w:kern w:val="0"/>
          <w:szCs w:val="21"/>
          <w:u w:val="single"/>
        </w:rPr>
        <w:t>的一切</w:t>
      </w:r>
      <w:r>
        <w:rPr>
          <w:rFonts w:hint="eastAsia" w:ascii="宋体" w:hAnsi="宋体"/>
          <w:szCs w:val="21"/>
          <w:u w:val="single"/>
        </w:rPr>
        <w:t>临时占用的土地，包括施工所用的临时便道等的临时出入道，以及生产（办公）、生活等临时设施用地</w:t>
      </w:r>
      <w:r>
        <w:rPr>
          <w:rFonts w:hint="eastAsia" w:ascii="宋体" w:hAnsi="宋体"/>
          <w:szCs w:val="21"/>
        </w:rPr>
        <w:t>。</w:t>
      </w:r>
    </w:p>
    <w:p w14:paraId="632CCDC6">
      <w:pPr>
        <w:spacing w:line="360" w:lineRule="auto"/>
        <w:ind w:firstLine="420" w:firstLineChars="200"/>
        <w:jc w:val="left"/>
        <w:rPr>
          <w:rFonts w:ascii="宋体" w:hAnsi="宋体"/>
          <w:szCs w:val="21"/>
        </w:rPr>
      </w:pPr>
      <w:r>
        <w:rPr>
          <w:rFonts w:hint="eastAsia" w:ascii="宋体" w:hAnsi="宋体"/>
          <w:szCs w:val="21"/>
        </w:rPr>
        <w:t>1.1.6 其他</w:t>
      </w:r>
    </w:p>
    <w:p w14:paraId="1BF8BF1E">
      <w:pPr>
        <w:spacing w:line="360" w:lineRule="auto"/>
        <w:ind w:firstLine="420" w:firstLineChars="200"/>
        <w:jc w:val="left"/>
        <w:rPr>
          <w:rFonts w:ascii="宋体" w:hAnsi="宋体"/>
          <w:szCs w:val="21"/>
        </w:rPr>
      </w:pPr>
      <w:bookmarkStart w:id="1043" w:name="_Hlk528927262"/>
      <w:r>
        <w:rPr>
          <w:rFonts w:hint="eastAsia" w:ascii="宋体" w:hAnsi="宋体"/>
          <w:szCs w:val="21"/>
        </w:rPr>
        <w:t>本项补充1.1.6.2～1.1.6.3目：</w:t>
      </w:r>
    </w:p>
    <w:p w14:paraId="31B8111F">
      <w:pPr>
        <w:spacing w:line="360" w:lineRule="auto"/>
        <w:ind w:firstLine="420" w:firstLineChars="200"/>
        <w:jc w:val="left"/>
        <w:rPr>
          <w:rFonts w:ascii="宋体" w:hAnsi="宋体"/>
          <w:szCs w:val="21"/>
        </w:rPr>
      </w:pPr>
      <w:r>
        <w:rPr>
          <w:rFonts w:hint="eastAsia" w:ascii="宋体" w:hAnsi="宋体"/>
          <w:szCs w:val="21"/>
        </w:rPr>
        <w:t>1.1.6.2 转包、违法分包及挂靠：指符合《住房和城乡建设部关于印发建筑工程施工发包与承包违法行为认定查处管理办法的通知》（建市规〔2019〕1号）规定认定条件的</w:t>
      </w:r>
      <w:r>
        <w:rPr>
          <w:rFonts w:hint="eastAsia" w:ascii="宋体" w:hAnsi="宋体"/>
          <w:kern w:val="0"/>
          <w:szCs w:val="21"/>
        </w:rPr>
        <w:t>违法行为</w:t>
      </w:r>
      <w:r>
        <w:rPr>
          <w:rFonts w:hint="eastAsia" w:ascii="宋体" w:hAnsi="宋体"/>
          <w:szCs w:val="21"/>
        </w:rPr>
        <w:t>。</w:t>
      </w:r>
    </w:p>
    <w:bookmarkEnd w:id="1043"/>
    <w:p w14:paraId="48D361B3">
      <w:pPr>
        <w:spacing w:line="360" w:lineRule="auto"/>
        <w:ind w:firstLine="420" w:firstLineChars="200"/>
        <w:jc w:val="left"/>
        <w:rPr>
          <w:rFonts w:ascii="宋体" w:hAnsi="宋体"/>
          <w:szCs w:val="21"/>
        </w:rPr>
      </w:pPr>
      <w:r>
        <w:rPr>
          <w:rFonts w:hint="eastAsia" w:ascii="宋体" w:hAnsi="宋体"/>
          <w:szCs w:val="21"/>
        </w:rPr>
        <w:t>1.1.6.3 危险性较大的分部分项工程（以下简称“危大工程”）：指住房和城乡建设部令第37号《危险性较大的分部分项工程安全管理规定》规定的房屋建筑和市政基础设施工程在施工过程中，容易导致人员群死群伤或者造成重大经济损失的分部分项工程。危大工程及超过一定规模的危大工程范围以国务院住房城乡建设主管部门制定及重庆市住房和城乡建设委员会补充的范围为准。</w:t>
      </w:r>
    </w:p>
    <w:p w14:paraId="574ABBF5">
      <w:pPr>
        <w:pStyle w:val="7"/>
        <w:spacing w:before="0" w:beforeAutospacing="0" w:after="0" w:afterAutospacing="0" w:line="360" w:lineRule="auto"/>
        <w:ind w:firstLine="422" w:firstLineChars="200"/>
        <w:rPr>
          <w:sz w:val="21"/>
          <w:szCs w:val="21"/>
        </w:rPr>
      </w:pPr>
      <w:bookmarkStart w:id="1044" w:name="_Toc532377323"/>
      <w:r>
        <w:rPr>
          <w:rFonts w:hint="eastAsia"/>
          <w:sz w:val="21"/>
          <w:szCs w:val="21"/>
        </w:rPr>
        <w:t>1.4 标准和规范</w:t>
      </w:r>
      <w:bookmarkEnd w:id="1044"/>
    </w:p>
    <w:p w14:paraId="7A26247E">
      <w:pPr>
        <w:spacing w:line="360" w:lineRule="auto"/>
        <w:ind w:firstLine="420" w:firstLineChars="200"/>
        <w:jc w:val="left"/>
        <w:rPr>
          <w:rFonts w:ascii="宋体" w:hAnsi="宋体"/>
          <w:szCs w:val="21"/>
        </w:rPr>
      </w:pPr>
      <w:r>
        <w:rPr>
          <w:rFonts w:hint="eastAsia" w:ascii="宋体" w:hAnsi="宋体"/>
          <w:szCs w:val="21"/>
        </w:rPr>
        <w:t>1.4.1 适用于工程的标准规范包括：</w:t>
      </w:r>
    </w:p>
    <w:p w14:paraId="13B318C6">
      <w:pPr>
        <w:spacing w:line="360" w:lineRule="auto"/>
        <w:ind w:firstLine="420" w:firstLineChars="200"/>
        <w:jc w:val="left"/>
        <w:rPr>
          <w:rFonts w:ascii="宋体" w:hAnsi="宋体"/>
          <w:szCs w:val="21"/>
        </w:rPr>
      </w:pPr>
      <w:r>
        <w:rPr>
          <w:rFonts w:hint="eastAsia" w:ascii="宋体" w:hAnsi="宋体"/>
          <w:szCs w:val="21"/>
        </w:rPr>
        <w:t>（1）施工图所涉及的技术标准、规范、规程、图集等；</w:t>
      </w:r>
    </w:p>
    <w:p w14:paraId="118887A5">
      <w:pPr>
        <w:spacing w:line="360" w:lineRule="auto"/>
        <w:ind w:firstLine="420" w:firstLineChars="200"/>
        <w:jc w:val="left"/>
        <w:rPr>
          <w:rFonts w:ascii="宋体" w:hAnsi="宋体"/>
          <w:szCs w:val="21"/>
          <w:u w:val="single"/>
        </w:rPr>
      </w:pPr>
      <w:r>
        <w:rPr>
          <w:rFonts w:hint="eastAsia" w:ascii="宋体" w:hAnsi="宋体"/>
          <w:szCs w:val="21"/>
        </w:rPr>
        <w:t>（2）国家、行业或重庆市与本工程有关的标准，以及相应的规范、规程等，当这些标准、规范、规程不一致时，以标准、规范、规程要求最高的为准。</w:t>
      </w:r>
    </w:p>
    <w:p w14:paraId="4AF15156">
      <w:pPr>
        <w:spacing w:line="360" w:lineRule="auto"/>
        <w:ind w:firstLine="420" w:firstLineChars="200"/>
        <w:jc w:val="left"/>
        <w:rPr>
          <w:rFonts w:ascii="宋体" w:hAnsi="宋体"/>
          <w:szCs w:val="21"/>
          <w:u w:val="single"/>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szCs w:val="21"/>
          <w:u w:val="single"/>
        </w:rPr>
        <w:t xml:space="preserve">        </w:t>
      </w:r>
      <w:r>
        <w:rPr>
          <w:rFonts w:hint="eastAsia" w:ascii="宋体" w:hAnsi="宋体"/>
          <w:szCs w:val="21"/>
        </w:rPr>
        <w:t>。</w:t>
      </w:r>
    </w:p>
    <w:p w14:paraId="7984E93A">
      <w:pPr>
        <w:spacing w:line="360" w:lineRule="auto"/>
        <w:ind w:firstLine="420" w:firstLineChars="200"/>
        <w:jc w:val="left"/>
        <w:rPr>
          <w:rFonts w:ascii="宋体" w:hAnsi="宋体"/>
          <w:kern w:val="0"/>
          <w:szCs w:val="21"/>
        </w:rPr>
      </w:pPr>
      <w:r>
        <w:rPr>
          <w:rFonts w:hint="eastAsia" w:ascii="宋体" w:hAnsi="宋体"/>
          <w:kern w:val="0"/>
          <w:szCs w:val="21"/>
        </w:rPr>
        <w:t>1.4.2 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22B8D66E">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发包人提供国外标准、规范的份数：</w:t>
      </w:r>
      <w:r>
        <w:rPr>
          <w:rFonts w:hint="eastAsia" w:ascii="宋体" w:hAnsi="宋体"/>
          <w:kern w:val="0"/>
          <w:szCs w:val="21"/>
          <w:u w:val="single"/>
        </w:rPr>
        <w:t xml:space="preserve"> / </w:t>
      </w:r>
      <w:r>
        <w:rPr>
          <w:rFonts w:hint="eastAsia" w:ascii="宋体" w:hAnsi="宋体"/>
          <w:kern w:val="0"/>
          <w:szCs w:val="21"/>
        </w:rPr>
        <w:t>；</w:t>
      </w:r>
    </w:p>
    <w:p w14:paraId="06CA93D3">
      <w:pPr>
        <w:spacing w:line="360" w:lineRule="auto"/>
        <w:ind w:firstLine="420" w:firstLineChars="200"/>
        <w:jc w:val="left"/>
        <w:rPr>
          <w:rFonts w:ascii="宋体" w:hAnsi="宋体"/>
          <w:kern w:val="0"/>
          <w:szCs w:val="21"/>
        </w:rPr>
      </w:pPr>
      <w:r>
        <w:rPr>
          <w:rFonts w:hint="eastAsia" w:ascii="宋体" w:hAnsi="宋体"/>
          <w:kern w:val="0"/>
          <w:szCs w:val="21"/>
        </w:rPr>
        <w:t>发包人提供国外标准、规范的名称：</w:t>
      </w:r>
      <w:r>
        <w:rPr>
          <w:rFonts w:hint="eastAsia" w:ascii="宋体" w:hAnsi="宋体"/>
          <w:kern w:val="0"/>
          <w:szCs w:val="21"/>
          <w:u w:val="single"/>
        </w:rPr>
        <w:t xml:space="preserve"> / </w:t>
      </w:r>
      <w:r>
        <w:rPr>
          <w:rFonts w:hint="eastAsia" w:ascii="宋体" w:hAnsi="宋体"/>
          <w:kern w:val="0"/>
          <w:szCs w:val="21"/>
        </w:rPr>
        <w:t>。</w:t>
      </w:r>
    </w:p>
    <w:p w14:paraId="295A2C44">
      <w:pPr>
        <w:spacing w:line="360" w:lineRule="auto"/>
        <w:ind w:firstLine="420" w:firstLineChars="200"/>
        <w:jc w:val="left"/>
        <w:rPr>
          <w:rFonts w:ascii="宋体" w:hAnsi="宋体"/>
          <w:szCs w:val="21"/>
        </w:rPr>
      </w:pPr>
      <w:r>
        <w:rPr>
          <w:rFonts w:hint="eastAsia" w:ascii="宋体" w:hAnsi="宋体"/>
          <w:szCs w:val="21"/>
        </w:rPr>
        <w:t>1.4.3 发包人对工程的技术标准和功能要求的特殊要求：</w:t>
      </w:r>
      <w:r>
        <w:rPr>
          <w:rFonts w:hint="eastAsia" w:ascii="宋体" w:hAnsi="宋体"/>
          <w:kern w:val="0"/>
          <w:szCs w:val="21"/>
          <w:u w:val="single"/>
        </w:rPr>
        <w:t xml:space="preserve">/ </w:t>
      </w:r>
      <w:r>
        <w:rPr>
          <w:rFonts w:hint="eastAsia" w:ascii="宋体" w:hAnsi="宋体"/>
          <w:szCs w:val="21"/>
        </w:rPr>
        <w:t>。</w:t>
      </w:r>
    </w:p>
    <w:p w14:paraId="3AC48359">
      <w:pPr>
        <w:pStyle w:val="7"/>
        <w:spacing w:before="0" w:beforeAutospacing="0" w:after="0" w:afterAutospacing="0" w:line="360" w:lineRule="auto"/>
        <w:ind w:firstLine="422" w:firstLineChars="200"/>
        <w:rPr>
          <w:sz w:val="21"/>
          <w:szCs w:val="21"/>
        </w:rPr>
      </w:pPr>
      <w:bookmarkStart w:id="1045" w:name="_Toc532377324"/>
      <w:r>
        <w:rPr>
          <w:rFonts w:hint="eastAsia"/>
          <w:sz w:val="21"/>
          <w:szCs w:val="21"/>
        </w:rPr>
        <w:t>1.5 合同文件的优先顺序</w:t>
      </w:r>
      <w:bookmarkEnd w:id="1045"/>
    </w:p>
    <w:p w14:paraId="610926FB">
      <w:pPr>
        <w:spacing w:line="360" w:lineRule="auto"/>
        <w:ind w:firstLine="420" w:firstLineChars="200"/>
        <w:jc w:val="left"/>
        <w:rPr>
          <w:rFonts w:ascii="宋体" w:hAnsi="宋体"/>
          <w:szCs w:val="21"/>
        </w:rPr>
      </w:pPr>
      <w:r>
        <w:rPr>
          <w:rFonts w:hint="eastAsia" w:ascii="宋体" w:hAnsi="宋体"/>
          <w:szCs w:val="21"/>
        </w:rPr>
        <w:t>合同文件组成及优先顺序为：</w:t>
      </w:r>
      <w:r>
        <w:rPr>
          <w:rFonts w:hint="eastAsia" w:ascii="宋体" w:hAnsi="宋体"/>
          <w:szCs w:val="21"/>
          <w:u w:val="single"/>
        </w:rPr>
        <w:t>按照合同协议书</w:t>
      </w:r>
      <w:r>
        <w:rPr>
          <w:rFonts w:hint="eastAsia" w:ascii="宋体" w:hAnsi="宋体"/>
          <w:bCs/>
          <w:szCs w:val="21"/>
          <w:u w:val="single"/>
        </w:rPr>
        <w:t>〔</w:t>
      </w:r>
      <w:r>
        <w:rPr>
          <w:rFonts w:hint="eastAsia" w:ascii="宋体" w:hAnsi="宋体"/>
          <w:szCs w:val="21"/>
          <w:u w:val="single"/>
        </w:rPr>
        <w:t>第六条</w:t>
      </w:r>
      <w:r>
        <w:rPr>
          <w:rFonts w:hint="eastAsia" w:ascii="宋体" w:hAnsi="宋体"/>
          <w:bCs/>
          <w:szCs w:val="21"/>
          <w:u w:val="single"/>
        </w:rPr>
        <w:t>〕</w:t>
      </w:r>
      <w:r>
        <w:rPr>
          <w:rFonts w:hint="eastAsia" w:ascii="宋体" w:hAnsi="宋体"/>
          <w:szCs w:val="21"/>
          <w:u w:val="single"/>
        </w:rPr>
        <w:t>约定执行</w:t>
      </w:r>
      <w:r>
        <w:rPr>
          <w:rFonts w:hint="eastAsia" w:ascii="宋体" w:hAnsi="宋体"/>
          <w:szCs w:val="21"/>
        </w:rPr>
        <w:t>。</w:t>
      </w:r>
    </w:p>
    <w:p w14:paraId="0EE20061">
      <w:pPr>
        <w:pStyle w:val="7"/>
        <w:spacing w:before="0" w:beforeAutospacing="0" w:after="0" w:afterAutospacing="0" w:line="360" w:lineRule="auto"/>
        <w:ind w:firstLine="422" w:firstLineChars="200"/>
        <w:rPr>
          <w:sz w:val="21"/>
          <w:szCs w:val="21"/>
        </w:rPr>
      </w:pPr>
      <w:bookmarkStart w:id="1046" w:name="_Toc532377325"/>
      <w:r>
        <w:rPr>
          <w:rFonts w:hint="eastAsia"/>
          <w:sz w:val="21"/>
          <w:szCs w:val="21"/>
        </w:rPr>
        <w:t>1.6 图纸和承包人文件</w:t>
      </w:r>
      <w:bookmarkEnd w:id="1046"/>
    </w:p>
    <w:p w14:paraId="2931ED64">
      <w:pPr>
        <w:spacing w:line="360" w:lineRule="auto"/>
        <w:ind w:firstLine="420" w:firstLineChars="200"/>
        <w:jc w:val="left"/>
        <w:rPr>
          <w:rFonts w:ascii="宋体" w:hAnsi="宋体"/>
          <w:szCs w:val="21"/>
        </w:rPr>
      </w:pPr>
      <w:r>
        <w:rPr>
          <w:rFonts w:hint="eastAsia" w:ascii="宋体" w:hAnsi="宋体"/>
          <w:szCs w:val="21"/>
        </w:rPr>
        <w:t>1.6.1 图纸的提供和交底</w:t>
      </w:r>
    </w:p>
    <w:p w14:paraId="03FAF01C">
      <w:pPr>
        <w:spacing w:line="360" w:lineRule="auto"/>
        <w:ind w:firstLine="420" w:firstLineChars="200"/>
        <w:jc w:val="left"/>
        <w:rPr>
          <w:rFonts w:ascii="宋体" w:hAnsi="宋体"/>
          <w:szCs w:val="21"/>
        </w:rPr>
      </w:pPr>
      <w:r>
        <w:rPr>
          <w:rFonts w:hint="eastAsia" w:ascii="宋体" w:hAnsi="宋体"/>
          <w:szCs w:val="21"/>
        </w:rPr>
        <w:t>发包人向承包人提供图纸的期限：</w:t>
      </w:r>
      <w:r>
        <w:rPr>
          <w:rFonts w:hint="eastAsia" w:ascii="宋体" w:hAnsi="宋体"/>
          <w:szCs w:val="21"/>
          <w:u w:val="single"/>
        </w:rPr>
        <w:t>通用合同条款第7.3.2款</w:t>
      </w:r>
      <w:r>
        <w:rPr>
          <w:rFonts w:hint="eastAsia" w:ascii="宋体" w:hAnsi="宋体"/>
          <w:bCs/>
          <w:szCs w:val="21"/>
          <w:u w:val="single"/>
        </w:rPr>
        <w:t>〔</w:t>
      </w:r>
      <w:r>
        <w:rPr>
          <w:rFonts w:hint="eastAsia" w:ascii="宋体" w:hAnsi="宋体"/>
          <w:szCs w:val="21"/>
          <w:u w:val="single"/>
        </w:rPr>
        <w:t>开工通知</w:t>
      </w:r>
      <w:r>
        <w:rPr>
          <w:rFonts w:hint="eastAsia" w:ascii="宋体" w:hAnsi="宋体"/>
          <w:bCs/>
          <w:szCs w:val="21"/>
          <w:u w:val="single"/>
        </w:rPr>
        <w:t>〕</w:t>
      </w:r>
      <w:r>
        <w:rPr>
          <w:rFonts w:hint="eastAsia" w:ascii="宋体" w:hAnsi="宋体"/>
          <w:szCs w:val="21"/>
          <w:u w:val="single"/>
        </w:rPr>
        <w:t>载明的开工日期前14天</w:t>
      </w:r>
      <w:r>
        <w:rPr>
          <w:rFonts w:hint="eastAsia" w:ascii="宋体" w:hAnsi="宋体"/>
          <w:szCs w:val="21"/>
        </w:rPr>
        <w:t>；</w:t>
      </w:r>
    </w:p>
    <w:p w14:paraId="67494579">
      <w:pPr>
        <w:spacing w:line="360" w:lineRule="auto"/>
        <w:ind w:firstLine="420" w:firstLineChars="200"/>
        <w:jc w:val="left"/>
        <w:rPr>
          <w:rFonts w:ascii="宋体" w:hAnsi="宋体"/>
          <w:szCs w:val="21"/>
        </w:rPr>
      </w:pPr>
      <w:r>
        <w:rPr>
          <w:rFonts w:hint="eastAsia" w:ascii="宋体" w:hAnsi="宋体"/>
          <w:szCs w:val="21"/>
        </w:rPr>
        <w:t>发包人向承包人提供图纸的数量：</w:t>
      </w:r>
      <w:r>
        <w:rPr>
          <w:rFonts w:hint="eastAsia" w:ascii="宋体" w:hAnsi="宋体"/>
          <w:szCs w:val="21"/>
          <w:u w:val="single"/>
        </w:rPr>
        <w:t xml:space="preserve">  套</w:t>
      </w:r>
      <w:r>
        <w:rPr>
          <w:rFonts w:hint="eastAsia" w:ascii="宋体" w:hAnsi="宋体"/>
          <w:szCs w:val="21"/>
        </w:rPr>
        <w:t xml:space="preserve">； </w:t>
      </w:r>
    </w:p>
    <w:p w14:paraId="76936B61">
      <w:pPr>
        <w:spacing w:line="360" w:lineRule="auto"/>
        <w:ind w:firstLine="420" w:firstLineChars="200"/>
        <w:jc w:val="left"/>
        <w:rPr>
          <w:rFonts w:ascii="宋体" w:hAnsi="宋体"/>
          <w:szCs w:val="21"/>
        </w:rPr>
      </w:pPr>
      <w:r>
        <w:rPr>
          <w:rFonts w:hint="eastAsia" w:ascii="宋体" w:hAnsi="宋体"/>
          <w:szCs w:val="21"/>
        </w:rPr>
        <w:t>发包人向承包人提供图纸的内容：</w:t>
      </w:r>
      <w:r>
        <w:rPr>
          <w:rFonts w:hint="eastAsia" w:ascii="宋体" w:hAnsi="宋体"/>
          <w:szCs w:val="21"/>
          <w:u w:val="single"/>
        </w:rPr>
        <w:t>工程承包范围内工程的施工图设计文件</w:t>
      </w:r>
      <w:r>
        <w:rPr>
          <w:rFonts w:hint="eastAsia" w:ascii="宋体" w:hAnsi="宋体"/>
          <w:szCs w:val="21"/>
        </w:rPr>
        <w:t>；</w:t>
      </w:r>
    </w:p>
    <w:p w14:paraId="0E66C563">
      <w:pPr>
        <w:spacing w:line="360" w:lineRule="auto"/>
        <w:ind w:firstLine="420" w:firstLineChars="200"/>
        <w:jc w:val="left"/>
        <w:rPr>
          <w:rFonts w:ascii="宋体" w:hAnsi="宋体"/>
          <w:szCs w:val="21"/>
          <w:u w:val="single"/>
        </w:rPr>
      </w:pPr>
      <w:r>
        <w:rPr>
          <w:rFonts w:hint="eastAsia" w:ascii="宋体" w:hAnsi="宋体"/>
          <w:szCs w:val="21"/>
        </w:rPr>
        <w:t>发包人组织承包人、监理人和设计人进行图纸会审和设计交底的时间：</w:t>
      </w:r>
      <w:r>
        <w:rPr>
          <w:rFonts w:hint="eastAsia" w:ascii="宋体" w:hAnsi="宋体"/>
          <w:szCs w:val="21"/>
          <w:u w:val="single"/>
        </w:rPr>
        <w:t>提供施工图后7天内</w:t>
      </w:r>
      <w:r>
        <w:rPr>
          <w:rFonts w:hint="eastAsia" w:ascii="宋体" w:hAnsi="宋体"/>
          <w:szCs w:val="21"/>
        </w:rPr>
        <w:t>。</w:t>
      </w:r>
    </w:p>
    <w:p w14:paraId="5F57E7EB">
      <w:pPr>
        <w:spacing w:line="360" w:lineRule="auto"/>
        <w:ind w:firstLine="420" w:firstLineChars="200"/>
        <w:jc w:val="left"/>
        <w:rPr>
          <w:rFonts w:ascii="宋体" w:hAnsi="宋体"/>
          <w:szCs w:val="21"/>
          <w:u w:val="single"/>
        </w:rPr>
      </w:pPr>
      <w:r>
        <w:rPr>
          <w:rFonts w:hint="eastAsia" w:ascii="宋体" w:hAnsi="宋体"/>
          <w:szCs w:val="21"/>
          <w:u w:val="single"/>
        </w:rPr>
        <w:t>承包人可以书面方式通过监理人向发包人申请进行紧急的设计交底，发包人认为确有必要且条件许可时，应尽快组织实施承包人申请的设计交底。</w:t>
      </w:r>
    </w:p>
    <w:p w14:paraId="01433D74">
      <w:pPr>
        <w:spacing w:line="360" w:lineRule="auto"/>
        <w:ind w:firstLine="420" w:firstLineChars="200"/>
        <w:jc w:val="left"/>
        <w:rPr>
          <w:rFonts w:ascii="宋体" w:hAnsi="宋体"/>
          <w:szCs w:val="21"/>
        </w:rPr>
      </w:pPr>
      <w:r>
        <w:rPr>
          <w:rFonts w:hint="eastAsia" w:ascii="宋体" w:hAnsi="宋体"/>
          <w:szCs w:val="21"/>
        </w:rPr>
        <w:t>1.6.2 图纸的错误</w:t>
      </w:r>
    </w:p>
    <w:p w14:paraId="3BE6E9FC">
      <w:pPr>
        <w:spacing w:line="360" w:lineRule="auto"/>
        <w:ind w:firstLine="420" w:firstLineChars="200"/>
        <w:jc w:val="left"/>
        <w:rPr>
          <w:rFonts w:ascii="宋体" w:hAnsi="宋体"/>
          <w:szCs w:val="21"/>
        </w:rPr>
      </w:pPr>
      <w:r>
        <w:rPr>
          <w:rFonts w:hint="eastAsia" w:ascii="宋体" w:hAnsi="宋体"/>
          <w:szCs w:val="21"/>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14:paraId="2A183FAD">
      <w:pPr>
        <w:spacing w:line="360" w:lineRule="auto"/>
        <w:ind w:firstLine="420" w:firstLineChars="200"/>
        <w:jc w:val="left"/>
        <w:rPr>
          <w:rFonts w:ascii="宋体" w:hAnsi="宋体"/>
          <w:szCs w:val="21"/>
          <w:u w:val="single"/>
        </w:rPr>
      </w:pPr>
      <w:r>
        <w:rPr>
          <w:rFonts w:hint="eastAsia" w:ascii="宋体" w:hAnsi="宋体"/>
          <w:szCs w:val="21"/>
        </w:rPr>
        <w:t>承包人不得利用图纸的差错、遗漏或缺陷，从中获得不正当的利益。</w:t>
      </w:r>
    </w:p>
    <w:p w14:paraId="0D8AA64C">
      <w:pPr>
        <w:spacing w:line="360" w:lineRule="auto"/>
        <w:ind w:firstLine="420" w:firstLineChars="200"/>
        <w:jc w:val="left"/>
        <w:rPr>
          <w:rFonts w:ascii="宋体" w:hAnsi="宋体"/>
          <w:szCs w:val="21"/>
        </w:rPr>
      </w:pPr>
      <w:r>
        <w:rPr>
          <w:rFonts w:hint="eastAsia" w:ascii="宋体" w:hAnsi="宋体"/>
          <w:szCs w:val="21"/>
        </w:rPr>
        <w:t>1.6.4 承包人文件</w:t>
      </w:r>
    </w:p>
    <w:p w14:paraId="5C28F334">
      <w:pPr>
        <w:spacing w:line="360" w:lineRule="auto"/>
        <w:ind w:firstLine="420" w:firstLineChars="200"/>
        <w:jc w:val="left"/>
        <w:rPr>
          <w:rFonts w:ascii="宋体" w:hAnsi="宋体"/>
          <w:szCs w:val="21"/>
        </w:rPr>
      </w:pPr>
      <w:r>
        <w:rPr>
          <w:rFonts w:hint="eastAsia" w:ascii="宋体" w:hAnsi="宋体"/>
          <w:szCs w:val="21"/>
        </w:rPr>
        <w:t>需要由承包人提供的书面文件，包括：</w:t>
      </w:r>
      <w:r>
        <w:rPr>
          <w:rFonts w:hint="eastAsia" w:ascii="宋体" w:hAnsi="宋体"/>
          <w:szCs w:val="21"/>
          <w:u w:val="single"/>
        </w:rPr>
        <w:t>施工组织设计、专项施工方案、</w:t>
      </w:r>
      <w:r>
        <w:rPr>
          <w:rFonts w:ascii="宋体" w:hAnsi="宋体"/>
          <w:szCs w:val="21"/>
          <w:u w:val="single"/>
        </w:rPr>
        <w:t>危险性较大分部分项工程施工方案</w:t>
      </w:r>
      <w:r>
        <w:rPr>
          <w:rFonts w:hint="eastAsia" w:ascii="宋体" w:hAnsi="宋体"/>
          <w:szCs w:val="21"/>
          <w:u w:val="single"/>
        </w:rPr>
        <w:t>（如有）、安全应急方案、进度计划、报表及计划、竣工资料及施工过程中因工程变更需要报送的施工方案、施工过程中涉及工程价款变更的相关资料、完整的竣工结算资料等</w:t>
      </w:r>
      <w:r>
        <w:rPr>
          <w:rFonts w:hint="eastAsia" w:ascii="宋体" w:hAnsi="宋体"/>
          <w:szCs w:val="21"/>
        </w:rPr>
        <w:t>。</w:t>
      </w:r>
    </w:p>
    <w:p w14:paraId="1DFD669C">
      <w:pPr>
        <w:spacing w:line="360" w:lineRule="auto"/>
        <w:ind w:firstLine="420" w:firstLineChars="200"/>
        <w:jc w:val="left"/>
        <w:rPr>
          <w:rFonts w:ascii="宋体" w:hAnsi="宋体"/>
          <w:szCs w:val="21"/>
        </w:rPr>
      </w:pPr>
      <w:r>
        <w:rPr>
          <w:rFonts w:hint="eastAsia" w:ascii="宋体" w:hAnsi="宋体"/>
          <w:szCs w:val="21"/>
        </w:rPr>
        <w:t>承包人提供文件的期限、数量：</w:t>
      </w:r>
    </w:p>
    <w:p w14:paraId="3EF4F661">
      <w:pPr>
        <w:spacing w:line="360" w:lineRule="auto"/>
        <w:ind w:firstLine="420" w:firstLineChars="200"/>
        <w:jc w:val="left"/>
        <w:rPr>
          <w:rFonts w:ascii="宋体" w:hAnsi="宋体"/>
          <w:szCs w:val="21"/>
          <w:u w:val="single"/>
        </w:rPr>
      </w:pPr>
      <w:r>
        <w:rPr>
          <w:rFonts w:hint="eastAsia" w:ascii="宋体" w:hAnsi="宋体"/>
          <w:szCs w:val="21"/>
        </w:rPr>
        <w:t>（1）</w:t>
      </w:r>
      <w:r>
        <w:rPr>
          <w:rFonts w:hint="eastAsia" w:ascii="宋体" w:hAnsi="宋体"/>
          <w:szCs w:val="21"/>
          <w:u w:val="single"/>
        </w:rPr>
        <w:t>图纸会审及设计交底后7天内，向监理人、发包人提交经优化完善的施工组织设计和工程总体进度计划及当年年度施工进度计划。进度计划安排必须符合发包人对本工程总体进度计划的安排。专项施工方案应在专项施工7日前通过审查（含专家论证）。施工组织设计和专项施工方案经监理人审批同意后执行。承包人应接受监理人、发包人对其提交的施工组织设计和专项施工方案中不合理的工期安排及技术措施、方案的修改意见，并修改完善后重新报批，直至获得批准</w:t>
      </w:r>
      <w:r>
        <w:rPr>
          <w:rFonts w:hint="eastAsia" w:ascii="宋体" w:hAnsi="宋体"/>
          <w:szCs w:val="21"/>
        </w:rPr>
        <w:t>。</w:t>
      </w:r>
    </w:p>
    <w:p w14:paraId="43B2BDA0">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每月  日前报送月工程进度完成报表</w:t>
      </w:r>
      <w:r>
        <w:rPr>
          <w:rFonts w:hint="eastAsia" w:ascii="宋体" w:hAnsi="宋体"/>
          <w:szCs w:val="21"/>
        </w:rPr>
        <w:t>。</w:t>
      </w:r>
    </w:p>
    <w:p w14:paraId="6002BC2E">
      <w:pPr>
        <w:spacing w:line="360" w:lineRule="auto"/>
        <w:ind w:firstLine="420" w:firstLineChars="200"/>
        <w:jc w:val="left"/>
        <w:rPr>
          <w:rFonts w:ascii="宋体" w:hAnsi="宋体"/>
          <w:szCs w:val="21"/>
          <w:u w:val="single"/>
        </w:rPr>
      </w:pPr>
      <w:r>
        <w:rPr>
          <w:rFonts w:hint="eastAsia" w:ascii="宋体" w:hAnsi="宋体"/>
          <w:szCs w:val="21"/>
        </w:rPr>
        <w:t>（3）合同另有约定的，按照其约定。</w:t>
      </w:r>
    </w:p>
    <w:p w14:paraId="1C345364">
      <w:pPr>
        <w:spacing w:line="360" w:lineRule="auto"/>
        <w:ind w:firstLine="420" w:firstLineChars="200"/>
        <w:jc w:val="left"/>
        <w:rPr>
          <w:rFonts w:ascii="宋体" w:hAnsi="宋体"/>
          <w:szCs w:val="21"/>
          <w:u w:val="single"/>
        </w:rPr>
      </w:pPr>
      <w:r>
        <w:rPr>
          <w:rFonts w:hint="eastAsia" w:ascii="宋体" w:hAnsi="宋体"/>
          <w:szCs w:val="21"/>
        </w:rPr>
        <w:t>承包人提供的文件的形式：□采用电子采购的，投标文件以电子文档为准，其他文件以书面文件为准；□采用纸质采购的，当书面文件与电子文档不一致的，以书面文件为准。监理人审批承包人文件的期限：</w:t>
      </w:r>
      <w:r>
        <w:rPr>
          <w:rFonts w:hint="eastAsia" w:ascii="宋体" w:hAnsi="宋体"/>
          <w:szCs w:val="21"/>
          <w:u w:val="single"/>
        </w:rPr>
        <w:t>收到施工组织设计和工程总体进度计划及当年年度施工进度计划后7天内；合同另有约定的，从其约定</w:t>
      </w:r>
      <w:r>
        <w:rPr>
          <w:rFonts w:hint="eastAsia" w:ascii="宋体" w:hAnsi="宋体"/>
          <w:szCs w:val="21"/>
        </w:rPr>
        <w:t>。</w:t>
      </w:r>
    </w:p>
    <w:p w14:paraId="1F699724">
      <w:pPr>
        <w:spacing w:line="360" w:lineRule="auto"/>
        <w:ind w:firstLine="420" w:firstLineChars="200"/>
        <w:jc w:val="left"/>
        <w:rPr>
          <w:rFonts w:ascii="宋体" w:hAnsi="宋体"/>
          <w:szCs w:val="21"/>
        </w:rPr>
      </w:pPr>
      <w:r>
        <w:rPr>
          <w:rFonts w:hint="eastAsia" w:ascii="宋体" w:hAnsi="宋体"/>
          <w:szCs w:val="21"/>
        </w:rPr>
        <w:t>承包人提供的文件的费用：</w:t>
      </w:r>
      <w:r>
        <w:rPr>
          <w:rFonts w:hint="eastAsia" w:ascii="宋体" w:hAnsi="宋体"/>
          <w:szCs w:val="21"/>
          <w:u w:val="single"/>
        </w:rPr>
        <w:t>由承包人承担</w:t>
      </w:r>
      <w:r>
        <w:rPr>
          <w:rFonts w:hint="eastAsia" w:ascii="宋体" w:hAnsi="宋体"/>
          <w:szCs w:val="21"/>
        </w:rPr>
        <w:t>。</w:t>
      </w:r>
    </w:p>
    <w:p w14:paraId="2A5A06B0">
      <w:pPr>
        <w:spacing w:line="360" w:lineRule="auto"/>
        <w:ind w:firstLine="420" w:firstLineChars="200"/>
        <w:jc w:val="left"/>
        <w:rPr>
          <w:rFonts w:ascii="宋体" w:hAnsi="宋体"/>
          <w:szCs w:val="21"/>
          <w:u w:val="single"/>
        </w:rPr>
      </w:pPr>
      <w:r>
        <w:rPr>
          <w:rFonts w:hint="eastAsia" w:ascii="宋体" w:hAnsi="宋体"/>
          <w:szCs w:val="21"/>
        </w:rPr>
        <w:t>发包人审批承包人文件的期限：</w:t>
      </w:r>
      <w:r>
        <w:rPr>
          <w:rFonts w:hint="eastAsia" w:ascii="宋体" w:hAnsi="宋体"/>
          <w:szCs w:val="21"/>
          <w:u w:val="single"/>
        </w:rPr>
        <w:t>收到后14天内；合同另有约定的，从其约定</w:t>
      </w:r>
      <w:r>
        <w:rPr>
          <w:rFonts w:hint="eastAsia" w:ascii="宋体" w:hAnsi="宋体"/>
          <w:szCs w:val="21"/>
        </w:rPr>
        <w:t>。</w:t>
      </w:r>
    </w:p>
    <w:p w14:paraId="292A9A7B">
      <w:pPr>
        <w:spacing w:line="360" w:lineRule="auto"/>
        <w:ind w:firstLine="420" w:firstLineChars="200"/>
        <w:jc w:val="left"/>
        <w:rPr>
          <w:rFonts w:ascii="宋体" w:hAnsi="宋体"/>
          <w:szCs w:val="21"/>
        </w:rPr>
      </w:pPr>
      <w:r>
        <w:rPr>
          <w:rFonts w:hint="eastAsia" w:ascii="宋体" w:hAnsi="宋体"/>
          <w:szCs w:val="21"/>
          <w:u w:val="single"/>
        </w:rPr>
        <w:t>监理人、发包人的修改意见和审批，不免除或减轻承包人对该工作、工程、材料、工程设备等应承担的责任和义务</w:t>
      </w:r>
      <w:r>
        <w:rPr>
          <w:rFonts w:hint="eastAsia" w:ascii="宋体" w:hAnsi="宋体"/>
          <w:szCs w:val="21"/>
        </w:rPr>
        <w:t>。</w:t>
      </w:r>
    </w:p>
    <w:p w14:paraId="048612C8">
      <w:pPr>
        <w:pStyle w:val="7"/>
        <w:spacing w:before="0" w:beforeAutospacing="0" w:after="0" w:afterAutospacing="0" w:line="360" w:lineRule="auto"/>
        <w:ind w:firstLine="422" w:firstLineChars="200"/>
        <w:rPr>
          <w:sz w:val="21"/>
          <w:szCs w:val="21"/>
        </w:rPr>
      </w:pPr>
      <w:bookmarkStart w:id="1047" w:name="_Toc532377326"/>
      <w:r>
        <w:rPr>
          <w:rFonts w:hint="eastAsia"/>
          <w:sz w:val="21"/>
          <w:szCs w:val="21"/>
        </w:rPr>
        <w:t>1.7 联络</w:t>
      </w:r>
      <w:bookmarkEnd w:id="1047"/>
    </w:p>
    <w:p w14:paraId="68D1060F">
      <w:pPr>
        <w:spacing w:line="360" w:lineRule="auto"/>
        <w:ind w:firstLine="420" w:firstLineChars="200"/>
        <w:jc w:val="left"/>
        <w:rPr>
          <w:rFonts w:ascii="宋体" w:hAnsi="宋体"/>
          <w:kern w:val="0"/>
          <w:szCs w:val="21"/>
        </w:rPr>
      </w:pPr>
      <w:r>
        <w:rPr>
          <w:rFonts w:hint="eastAsia" w:ascii="宋体" w:hAnsi="宋体"/>
          <w:kern w:val="0"/>
          <w:szCs w:val="21"/>
        </w:rPr>
        <w:t>1.7.1 发包人和承包人应当在</w:t>
      </w:r>
      <w:r>
        <w:rPr>
          <w:rFonts w:hint="eastAsia" w:ascii="宋体" w:hAnsi="宋体"/>
          <w:szCs w:val="21"/>
          <w:u w:val="single"/>
        </w:rPr>
        <w:t xml:space="preserve"> 1 </w:t>
      </w:r>
      <w:r>
        <w:rPr>
          <w:rFonts w:hint="eastAsia" w:ascii="宋体" w:hAnsi="宋体"/>
          <w:kern w:val="0"/>
          <w:szCs w:val="21"/>
        </w:rPr>
        <w:t>天内将与合同有关的通知、批准、证明、证书、指示、指令、要求、请求、同意、意见、确定和决定等书面函件送达对方当事人，并办理书面签收手续。</w:t>
      </w:r>
    </w:p>
    <w:p w14:paraId="7644CF5C">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1.7.2 发包人接收文件地点：</w:t>
      </w:r>
      <w:r>
        <w:rPr>
          <w:rFonts w:ascii="宋体" w:hAnsi="宋体"/>
          <w:kern w:val="0"/>
          <w:szCs w:val="21"/>
          <w:u w:val="single"/>
        </w:rPr>
        <w:t xml:space="preserve">                        </w:t>
      </w:r>
      <w:r>
        <w:rPr>
          <w:rFonts w:hint="eastAsia" w:ascii="宋体" w:hAnsi="宋体"/>
          <w:kern w:val="0"/>
          <w:szCs w:val="21"/>
        </w:rPr>
        <w:t>；</w:t>
      </w:r>
    </w:p>
    <w:p w14:paraId="1F94CA67">
      <w:pPr>
        <w:spacing w:line="360" w:lineRule="auto"/>
        <w:ind w:firstLine="420" w:firstLineChars="200"/>
        <w:jc w:val="left"/>
        <w:rPr>
          <w:rFonts w:ascii="宋体" w:hAnsi="宋体"/>
          <w:kern w:val="0"/>
          <w:szCs w:val="21"/>
        </w:rPr>
      </w:pPr>
      <w:r>
        <w:rPr>
          <w:rFonts w:hint="eastAsia" w:ascii="宋体" w:hAnsi="宋体"/>
          <w:kern w:val="0"/>
          <w:szCs w:val="21"/>
        </w:rPr>
        <w:t>发包人指定的接收人：</w:t>
      </w:r>
      <w:bookmarkStart w:id="1048" w:name="_Hlk528493983"/>
      <w:bookmarkEnd w:id="1048"/>
      <w:r>
        <w:rPr>
          <w:rFonts w:ascii="宋体" w:hAnsi="宋体"/>
          <w:kern w:val="0"/>
          <w:szCs w:val="21"/>
          <w:u w:val="single"/>
        </w:rPr>
        <w:t xml:space="preserve">                             </w:t>
      </w:r>
      <w:r>
        <w:rPr>
          <w:rFonts w:hint="eastAsia" w:ascii="宋体" w:hAnsi="宋体"/>
          <w:kern w:val="0"/>
          <w:szCs w:val="21"/>
        </w:rPr>
        <w:t>；</w:t>
      </w:r>
    </w:p>
    <w:p w14:paraId="50A19F09">
      <w:pPr>
        <w:tabs>
          <w:tab w:val="left" w:pos="7513"/>
        </w:tabs>
        <w:spacing w:line="360" w:lineRule="auto"/>
        <w:ind w:firstLine="420" w:firstLineChars="200"/>
        <w:jc w:val="left"/>
        <w:rPr>
          <w:rFonts w:ascii="宋体" w:hAnsi="宋体"/>
          <w:kern w:val="0"/>
          <w:szCs w:val="21"/>
        </w:rPr>
      </w:pPr>
      <w:r>
        <w:rPr>
          <w:rFonts w:hint="eastAsia" w:ascii="宋体" w:hAnsi="宋体"/>
          <w:kern w:val="0"/>
          <w:szCs w:val="21"/>
        </w:rPr>
        <w:t>承包人接收文件地点：</w:t>
      </w:r>
      <w:r>
        <w:rPr>
          <w:rFonts w:ascii="宋体" w:hAnsi="宋体"/>
          <w:kern w:val="0"/>
          <w:szCs w:val="21"/>
          <w:u w:val="single"/>
        </w:rPr>
        <w:t xml:space="preserve">                             </w:t>
      </w:r>
      <w:r>
        <w:rPr>
          <w:rFonts w:hint="eastAsia" w:ascii="宋体" w:hAnsi="宋体"/>
          <w:kern w:val="0"/>
          <w:szCs w:val="21"/>
        </w:rPr>
        <w:t>；</w:t>
      </w:r>
    </w:p>
    <w:p w14:paraId="0A1B68C8">
      <w:pPr>
        <w:spacing w:line="360" w:lineRule="auto"/>
        <w:ind w:firstLine="420" w:firstLineChars="200"/>
        <w:jc w:val="left"/>
        <w:rPr>
          <w:rFonts w:ascii="宋体" w:hAnsi="宋体"/>
          <w:kern w:val="0"/>
          <w:szCs w:val="21"/>
        </w:rPr>
      </w:pPr>
      <w:r>
        <w:rPr>
          <w:rFonts w:hint="eastAsia" w:ascii="宋体" w:hAnsi="宋体"/>
          <w:kern w:val="0"/>
          <w:szCs w:val="21"/>
        </w:rPr>
        <w:t>承包人指定的接收人：</w:t>
      </w:r>
      <w:r>
        <w:rPr>
          <w:rFonts w:ascii="宋体" w:hAnsi="宋体"/>
          <w:kern w:val="0"/>
          <w:szCs w:val="21"/>
          <w:u w:val="single"/>
        </w:rPr>
        <w:t xml:space="preserve">                             </w:t>
      </w:r>
      <w:r>
        <w:rPr>
          <w:rFonts w:hint="eastAsia" w:ascii="宋体" w:hAnsi="宋体"/>
          <w:kern w:val="0"/>
          <w:szCs w:val="21"/>
        </w:rPr>
        <w:t>；</w:t>
      </w:r>
    </w:p>
    <w:p w14:paraId="64876685">
      <w:pPr>
        <w:tabs>
          <w:tab w:val="left" w:pos="7371"/>
        </w:tabs>
        <w:spacing w:line="360" w:lineRule="auto"/>
        <w:ind w:firstLine="420" w:firstLineChars="200"/>
        <w:jc w:val="left"/>
        <w:rPr>
          <w:rFonts w:ascii="宋体" w:hAnsi="宋体"/>
          <w:kern w:val="0"/>
          <w:szCs w:val="21"/>
        </w:rPr>
      </w:pPr>
      <w:r>
        <w:rPr>
          <w:rFonts w:hint="eastAsia" w:ascii="宋体" w:hAnsi="宋体"/>
          <w:kern w:val="0"/>
          <w:szCs w:val="21"/>
        </w:rPr>
        <w:t>监理人接收文件地点：</w:t>
      </w:r>
      <w:r>
        <w:rPr>
          <w:rFonts w:ascii="宋体" w:hAnsi="宋体"/>
          <w:kern w:val="0"/>
          <w:szCs w:val="21"/>
          <w:u w:val="single"/>
        </w:rPr>
        <w:t xml:space="preserve">                             </w:t>
      </w:r>
      <w:r>
        <w:rPr>
          <w:rFonts w:hint="eastAsia" w:ascii="宋体" w:hAnsi="宋体"/>
          <w:kern w:val="0"/>
          <w:szCs w:val="21"/>
        </w:rPr>
        <w:t>；</w:t>
      </w:r>
    </w:p>
    <w:p w14:paraId="30E429C4">
      <w:pPr>
        <w:spacing w:line="360" w:lineRule="auto"/>
        <w:ind w:firstLine="420" w:firstLineChars="200"/>
        <w:jc w:val="left"/>
        <w:rPr>
          <w:rFonts w:ascii="宋体" w:hAnsi="宋体"/>
          <w:kern w:val="0"/>
          <w:szCs w:val="21"/>
        </w:rPr>
      </w:pPr>
      <w:r>
        <w:rPr>
          <w:rFonts w:hint="eastAsia" w:ascii="宋体" w:hAnsi="宋体"/>
          <w:kern w:val="0"/>
          <w:szCs w:val="21"/>
        </w:rPr>
        <w:t>监理人指定的接收人：</w:t>
      </w:r>
      <w:r>
        <w:rPr>
          <w:rFonts w:ascii="宋体" w:hAnsi="宋体"/>
          <w:kern w:val="0"/>
          <w:szCs w:val="21"/>
          <w:u w:val="single"/>
        </w:rPr>
        <w:t xml:space="preserve">                             </w:t>
      </w:r>
      <w:r>
        <w:rPr>
          <w:rFonts w:hint="eastAsia" w:ascii="宋体" w:hAnsi="宋体"/>
          <w:kern w:val="0"/>
          <w:szCs w:val="21"/>
        </w:rPr>
        <w:t>。</w:t>
      </w:r>
    </w:p>
    <w:p w14:paraId="46F46A2F">
      <w:pPr>
        <w:pStyle w:val="7"/>
        <w:spacing w:before="0" w:beforeAutospacing="0" w:after="0" w:afterAutospacing="0" w:line="360" w:lineRule="auto"/>
        <w:ind w:firstLine="422" w:firstLineChars="200"/>
        <w:rPr>
          <w:sz w:val="21"/>
          <w:szCs w:val="21"/>
        </w:rPr>
      </w:pPr>
      <w:bookmarkStart w:id="1049" w:name="_Toc532377327"/>
      <w:r>
        <w:rPr>
          <w:rFonts w:hint="eastAsia"/>
          <w:sz w:val="21"/>
          <w:szCs w:val="21"/>
        </w:rPr>
        <w:t>1.8 严禁贿赂</w:t>
      </w:r>
      <w:bookmarkEnd w:id="1049"/>
    </w:p>
    <w:p w14:paraId="77B58ECD">
      <w:pPr>
        <w:spacing w:line="360" w:lineRule="auto"/>
        <w:ind w:firstLine="420" w:firstLineChars="200"/>
        <w:jc w:val="left"/>
        <w:rPr>
          <w:rFonts w:ascii="宋体" w:hAnsi="宋体"/>
          <w:kern w:val="0"/>
          <w:szCs w:val="21"/>
        </w:rPr>
      </w:pPr>
      <w:r>
        <w:rPr>
          <w:rFonts w:hint="eastAsia" w:ascii="宋体" w:hAnsi="宋体"/>
          <w:kern w:val="0"/>
          <w:szCs w:val="21"/>
        </w:rPr>
        <w:t>本款补充以下内容：</w:t>
      </w:r>
    </w:p>
    <w:p w14:paraId="14A10DD6">
      <w:pPr>
        <w:spacing w:line="360" w:lineRule="auto"/>
        <w:ind w:firstLine="420" w:firstLineChars="200"/>
        <w:jc w:val="left"/>
        <w:rPr>
          <w:rFonts w:ascii="宋体" w:hAnsi="宋体"/>
          <w:kern w:val="0"/>
          <w:szCs w:val="21"/>
          <w:u w:val="single"/>
        </w:rPr>
      </w:pPr>
      <w:r>
        <w:rPr>
          <w:rFonts w:hint="eastAsia" w:ascii="宋体" w:hAnsi="宋体"/>
          <w:kern w:val="0"/>
          <w:szCs w:val="21"/>
        </w:rPr>
        <w:t>在合同执行过程中，合同当事人应严格履行附件8《廉洁从业协议》。</w:t>
      </w:r>
    </w:p>
    <w:p w14:paraId="776B2A03">
      <w:pPr>
        <w:pStyle w:val="7"/>
        <w:spacing w:before="0" w:beforeAutospacing="0" w:after="0" w:afterAutospacing="0" w:line="360" w:lineRule="auto"/>
        <w:ind w:firstLine="422" w:firstLineChars="200"/>
        <w:rPr>
          <w:sz w:val="21"/>
          <w:szCs w:val="21"/>
        </w:rPr>
      </w:pPr>
      <w:bookmarkStart w:id="1050" w:name="_Toc532377328"/>
      <w:r>
        <w:rPr>
          <w:rFonts w:hint="eastAsia"/>
          <w:sz w:val="21"/>
          <w:szCs w:val="21"/>
        </w:rPr>
        <w:t>1.10 交通运输</w:t>
      </w:r>
      <w:bookmarkEnd w:id="1050"/>
    </w:p>
    <w:p w14:paraId="7F67E5F4">
      <w:pPr>
        <w:spacing w:line="360" w:lineRule="auto"/>
        <w:ind w:firstLine="420" w:firstLineChars="200"/>
        <w:jc w:val="left"/>
        <w:rPr>
          <w:rFonts w:ascii="宋体" w:hAnsi="宋体"/>
          <w:szCs w:val="21"/>
        </w:rPr>
      </w:pPr>
      <w:r>
        <w:rPr>
          <w:rFonts w:hint="eastAsia" w:ascii="宋体" w:hAnsi="宋体"/>
          <w:szCs w:val="21"/>
        </w:rPr>
        <w:t>1</w:t>
      </w:r>
      <w:bookmarkStart w:id="1051" w:name="_Toc312677986"/>
      <w:bookmarkStart w:id="1052" w:name="_Toc300934943"/>
      <w:bookmarkStart w:id="1053" w:name="_Toc304295521"/>
      <w:bookmarkStart w:id="1054" w:name="_Toc303539100"/>
      <w:bookmarkStart w:id="1055" w:name="_Toc318581155"/>
      <w:r>
        <w:rPr>
          <w:rFonts w:hint="eastAsia" w:ascii="宋体" w:hAnsi="宋体"/>
          <w:szCs w:val="21"/>
        </w:rPr>
        <w:t>.10.1 出入现场的权利</w:t>
      </w:r>
    </w:p>
    <w:p w14:paraId="32446AC8">
      <w:pPr>
        <w:spacing w:line="360" w:lineRule="auto"/>
        <w:ind w:firstLine="420" w:firstLineChars="200"/>
        <w:jc w:val="left"/>
        <w:rPr>
          <w:rFonts w:ascii="宋体" w:hAnsi="宋体"/>
          <w:kern w:val="0"/>
          <w:szCs w:val="21"/>
        </w:rPr>
      </w:pPr>
      <w:r>
        <w:rPr>
          <w:rFonts w:hint="eastAsia" w:ascii="宋体" w:hAnsi="宋体"/>
          <w:szCs w:val="21"/>
        </w:rPr>
        <w:t>关于出入现场的权利的约定：</w:t>
      </w:r>
      <w:r>
        <w:rPr>
          <w:rFonts w:hint="eastAsia" w:ascii="宋体" w:hAnsi="宋体"/>
          <w:szCs w:val="21"/>
          <w:u w:val="single"/>
        </w:rPr>
        <w:t xml:space="preserve">        </w:t>
      </w:r>
      <w:r>
        <w:rPr>
          <w:rFonts w:hint="eastAsia" w:ascii="宋体" w:hAnsi="宋体"/>
          <w:szCs w:val="21"/>
        </w:rPr>
        <w:t>。</w:t>
      </w:r>
    </w:p>
    <w:bookmarkEnd w:id="1051"/>
    <w:bookmarkEnd w:id="1052"/>
    <w:bookmarkEnd w:id="1053"/>
    <w:bookmarkEnd w:id="1054"/>
    <w:bookmarkEnd w:id="1055"/>
    <w:p w14:paraId="3C22DD3F">
      <w:pPr>
        <w:spacing w:line="360" w:lineRule="auto"/>
        <w:ind w:firstLine="420" w:firstLineChars="200"/>
        <w:jc w:val="left"/>
        <w:rPr>
          <w:rFonts w:ascii="宋体" w:hAnsi="宋体"/>
          <w:szCs w:val="21"/>
        </w:rPr>
      </w:pPr>
      <w:r>
        <w:rPr>
          <w:rFonts w:hint="eastAsia" w:ascii="宋体" w:hAnsi="宋体"/>
          <w:szCs w:val="21"/>
        </w:rPr>
        <w:t>1.10.2 场外交通</w:t>
      </w:r>
    </w:p>
    <w:p w14:paraId="3555C28F">
      <w:pPr>
        <w:spacing w:line="360" w:lineRule="auto"/>
        <w:ind w:firstLine="420" w:firstLineChars="200"/>
        <w:jc w:val="left"/>
        <w:rPr>
          <w:rFonts w:ascii="宋体" w:hAnsi="宋体"/>
          <w:kern w:val="0"/>
          <w:szCs w:val="21"/>
        </w:rPr>
      </w:pPr>
      <w:r>
        <w:rPr>
          <w:rFonts w:hint="eastAsia" w:ascii="宋体" w:hAnsi="宋体"/>
          <w:kern w:val="0"/>
          <w:szCs w:val="21"/>
        </w:rPr>
        <w:t>承包人应遵守有关交通法规，执行有关道路限速、限行、禁止超载的规定，并配合交通管理部门的监督和检查。场外交通以施工场地移交时的现状为准。</w:t>
      </w:r>
    </w:p>
    <w:p w14:paraId="0E29F3AD">
      <w:pPr>
        <w:spacing w:line="360" w:lineRule="auto"/>
        <w:ind w:firstLine="420" w:firstLineChars="200"/>
        <w:jc w:val="left"/>
        <w:rPr>
          <w:rFonts w:ascii="宋体" w:hAnsi="宋体"/>
          <w:szCs w:val="21"/>
        </w:rPr>
      </w:pPr>
      <w:r>
        <w:rPr>
          <w:rFonts w:hint="eastAsia" w:ascii="宋体" w:hAnsi="宋体"/>
          <w:szCs w:val="21"/>
        </w:rPr>
        <w:t>1</w:t>
      </w:r>
      <w:bookmarkStart w:id="1056" w:name="_Toc304295522"/>
      <w:bookmarkStart w:id="1057" w:name="_Toc312677987"/>
      <w:bookmarkStart w:id="1058" w:name="_Toc300934944"/>
      <w:bookmarkStart w:id="1059" w:name="_Toc318581156"/>
      <w:bookmarkStart w:id="1060" w:name="_Toc303539101"/>
      <w:r>
        <w:rPr>
          <w:rFonts w:hint="eastAsia" w:ascii="宋体" w:hAnsi="宋体"/>
          <w:szCs w:val="21"/>
        </w:rPr>
        <w:t>.10.3 场内交通</w:t>
      </w:r>
    </w:p>
    <w:p w14:paraId="6004C0A0">
      <w:pPr>
        <w:spacing w:line="360" w:lineRule="auto"/>
        <w:ind w:firstLine="420" w:firstLineChars="200"/>
        <w:jc w:val="left"/>
        <w:rPr>
          <w:rFonts w:ascii="宋体" w:hAnsi="宋体"/>
          <w:szCs w:val="21"/>
          <w:u w:val="single"/>
        </w:rPr>
      </w:pPr>
      <w:r>
        <w:rPr>
          <w:rFonts w:hint="eastAsia" w:ascii="宋体" w:hAnsi="宋体"/>
          <w:kern w:val="0"/>
          <w:szCs w:val="21"/>
        </w:rPr>
        <w:t>关于场外交通和场内交通的边界的约定：</w:t>
      </w:r>
      <w:r>
        <w:rPr>
          <w:rFonts w:hint="eastAsia" w:ascii="宋体" w:hAnsi="宋体"/>
          <w:szCs w:val="21"/>
          <w:u w:val="single"/>
        </w:rPr>
        <w:t>以合同工程用地红线为界，用地红线外为场外交通，用地红线范围内为场内交通（场外道路穿越场内的除外）</w:t>
      </w:r>
      <w:r>
        <w:rPr>
          <w:rFonts w:hint="eastAsia" w:ascii="宋体" w:hAnsi="宋体"/>
          <w:szCs w:val="21"/>
        </w:rPr>
        <w:t>。</w:t>
      </w:r>
    </w:p>
    <w:p w14:paraId="5647996B">
      <w:pPr>
        <w:spacing w:line="360" w:lineRule="auto"/>
        <w:ind w:firstLine="420" w:firstLineChars="200"/>
        <w:jc w:val="left"/>
        <w:rPr>
          <w:rFonts w:ascii="宋体" w:hAnsi="宋体"/>
          <w:szCs w:val="21"/>
        </w:rPr>
      </w:pPr>
      <w:r>
        <w:rPr>
          <w:rFonts w:hint="eastAsia" w:ascii="宋体" w:hAnsi="宋体"/>
          <w:kern w:val="0"/>
          <w:szCs w:val="21"/>
        </w:rPr>
        <w:t>关于发包人向承包人免费提供满足工程施工需要的场内道路和交通设施的约定：</w:t>
      </w:r>
      <w:r>
        <w:rPr>
          <w:rFonts w:hint="eastAsia" w:ascii="宋体" w:hAnsi="宋体"/>
          <w:kern w:val="0"/>
          <w:szCs w:val="21"/>
          <w:u w:val="single"/>
        </w:rPr>
        <w:t>以施工场地移交时的现状为准</w:t>
      </w:r>
      <w:r>
        <w:rPr>
          <w:rFonts w:hint="eastAsia" w:ascii="宋体" w:hAnsi="宋体"/>
          <w:szCs w:val="21"/>
        </w:rPr>
        <w:t>。</w:t>
      </w:r>
    </w:p>
    <w:bookmarkEnd w:id="1056"/>
    <w:bookmarkEnd w:id="1057"/>
    <w:bookmarkEnd w:id="1058"/>
    <w:bookmarkEnd w:id="1059"/>
    <w:bookmarkEnd w:id="1060"/>
    <w:p w14:paraId="1F5A8EBA">
      <w:pPr>
        <w:spacing w:line="360" w:lineRule="auto"/>
        <w:ind w:firstLine="420" w:firstLineChars="200"/>
        <w:jc w:val="left"/>
        <w:rPr>
          <w:rFonts w:ascii="宋体" w:hAnsi="宋体"/>
          <w:szCs w:val="21"/>
        </w:rPr>
      </w:pPr>
      <w:bookmarkStart w:id="1061" w:name="_Toc318581157"/>
      <w:r>
        <w:rPr>
          <w:rFonts w:hint="eastAsia" w:ascii="宋体" w:hAnsi="宋体"/>
          <w:szCs w:val="21"/>
        </w:rPr>
        <w:t>1.10.4 超大件和超重件的运输</w:t>
      </w:r>
    </w:p>
    <w:p w14:paraId="3D951C89">
      <w:pPr>
        <w:spacing w:line="360" w:lineRule="auto"/>
        <w:ind w:firstLine="420" w:firstLineChars="200"/>
        <w:jc w:val="left"/>
        <w:rPr>
          <w:rFonts w:ascii="宋体" w:hAnsi="宋体"/>
          <w:szCs w:val="21"/>
        </w:rPr>
      </w:pPr>
      <w:r>
        <w:rPr>
          <w:rFonts w:hint="eastAsia" w:ascii="宋体" w:hAnsi="宋体"/>
          <w:szCs w:val="21"/>
        </w:rPr>
        <w:t>运输超大件或超重件所需的道路和桥梁临时加固改造费用和其他有关费用由</w:t>
      </w:r>
      <w:r>
        <w:rPr>
          <w:rFonts w:hint="eastAsia" w:ascii="宋体" w:hAnsi="宋体"/>
          <w:szCs w:val="21"/>
          <w:u w:val="single"/>
        </w:rPr>
        <w:t>发包人</w:t>
      </w:r>
      <w:r>
        <w:rPr>
          <w:rFonts w:hint="eastAsia" w:ascii="宋体" w:hAnsi="宋体"/>
          <w:szCs w:val="21"/>
        </w:rPr>
        <w:t>承担。</w:t>
      </w:r>
    </w:p>
    <w:bookmarkEnd w:id="1061"/>
    <w:p w14:paraId="2393AAB7">
      <w:pPr>
        <w:pStyle w:val="7"/>
        <w:spacing w:before="0" w:beforeAutospacing="0" w:after="0" w:afterAutospacing="0" w:line="360" w:lineRule="auto"/>
        <w:ind w:firstLine="422" w:firstLineChars="200"/>
        <w:rPr>
          <w:sz w:val="21"/>
          <w:szCs w:val="21"/>
        </w:rPr>
      </w:pPr>
      <w:bookmarkStart w:id="1062" w:name="_Toc532377329"/>
      <w:r>
        <w:rPr>
          <w:rFonts w:hint="eastAsia"/>
          <w:sz w:val="21"/>
          <w:szCs w:val="21"/>
        </w:rPr>
        <w:t>1.11 知识产权</w:t>
      </w:r>
      <w:bookmarkEnd w:id="1062"/>
    </w:p>
    <w:p w14:paraId="5D8E6ED8">
      <w:pPr>
        <w:spacing w:line="360" w:lineRule="auto"/>
        <w:ind w:firstLine="420" w:firstLineChars="200"/>
        <w:jc w:val="left"/>
        <w:rPr>
          <w:rFonts w:ascii="宋体" w:hAnsi="宋体"/>
          <w:szCs w:val="21"/>
        </w:rPr>
      </w:pPr>
      <w:r>
        <w:rPr>
          <w:rFonts w:hint="eastAsia" w:ascii="宋体" w:hAnsi="宋体"/>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szCs w:val="21"/>
          <w:u w:val="single"/>
        </w:rPr>
        <w:t>属于发包人</w:t>
      </w:r>
      <w:r>
        <w:rPr>
          <w:rFonts w:hint="eastAsia" w:ascii="宋体" w:hAnsi="宋体"/>
          <w:szCs w:val="21"/>
        </w:rPr>
        <w:t>。</w:t>
      </w:r>
    </w:p>
    <w:p w14:paraId="6B14FEC8">
      <w:pPr>
        <w:spacing w:line="360" w:lineRule="auto"/>
        <w:ind w:firstLine="420" w:firstLineChars="200"/>
        <w:jc w:val="left"/>
        <w:rPr>
          <w:rFonts w:ascii="宋体" w:hAnsi="宋体"/>
          <w:szCs w:val="21"/>
        </w:rPr>
      </w:pPr>
      <w:r>
        <w:rPr>
          <w:rFonts w:hint="eastAsia" w:ascii="宋体" w:hAnsi="宋体"/>
          <w:szCs w:val="21"/>
        </w:rPr>
        <w:t>关于发包人提供的上述文件的使用限制的要求：</w:t>
      </w:r>
      <w:r>
        <w:rPr>
          <w:rFonts w:hint="eastAsia" w:ascii="宋体" w:hAnsi="宋体"/>
          <w:szCs w:val="21"/>
          <w:u w:val="single"/>
        </w:rPr>
        <w:t>按通用合同条款执行</w:t>
      </w:r>
      <w:r>
        <w:rPr>
          <w:rFonts w:hint="eastAsia" w:ascii="宋体" w:hAnsi="宋体"/>
          <w:szCs w:val="21"/>
        </w:rPr>
        <w:t>。</w:t>
      </w:r>
    </w:p>
    <w:p w14:paraId="6997B3C4">
      <w:pPr>
        <w:spacing w:line="360" w:lineRule="auto"/>
        <w:ind w:firstLine="420" w:firstLineChars="200"/>
        <w:jc w:val="left"/>
        <w:rPr>
          <w:rFonts w:ascii="宋体" w:hAnsi="宋体"/>
          <w:szCs w:val="21"/>
        </w:rPr>
      </w:pPr>
      <w:r>
        <w:rPr>
          <w:rFonts w:hint="eastAsia" w:ascii="宋体" w:hAnsi="宋体"/>
          <w:szCs w:val="21"/>
        </w:rPr>
        <w:t>1.11.4 承包人在施工过程中所采用的专利、专有技术、技术秘密的使用费的承担方式：</w:t>
      </w:r>
      <w:r>
        <w:rPr>
          <w:rFonts w:hint="eastAsia" w:ascii="宋体" w:hAnsi="宋体"/>
          <w:szCs w:val="21"/>
          <w:u w:val="single"/>
        </w:rPr>
        <w:t xml:space="preserve">        </w:t>
      </w:r>
      <w:r>
        <w:rPr>
          <w:rFonts w:hint="eastAsia" w:ascii="宋体" w:hAnsi="宋体"/>
          <w:szCs w:val="21"/>
        </w:rPr>
        <w:t>。</w:t>
      </w:r>
    </w:p>
    <w:p w14:paraId="4C2F982D">
      <w:pPr>
        <w:pStyle w:val="7"/>
        <w:spacing w:before="0" w:beforeAutospacing="0" w:after="0" w:afterAutospacing="0" w:line="360" w:lineRule="auto"/>
        <w:ind w:firstLine="422" w:firstLineChars="200"/>
        <w:rPr>
          <w:sz w:val="21"/>
          <w:szCs w:val="21"/>
        </w:rPr>
      </w:pPr>
      <w:bookmarkStart w:id="1063" w:name="_Toc532377330"/>
      <w:r>
        <w:rPr>
          <w:rFonts w:hint="eastAsia"/>
          <w:sz w:val="21"/>
          <w:szCs w:val="21"/>
        </w:rPr>
        <w:t>1.13工程量清单错误的修正</w:t>
      </w:r>
      <w:bookmarkEnd w:id="1063"/>
    </w:p>
    <w:p w14:paraId="101CB173">
      <w:pPr>
        <w:spacing w:line="360" w:lineRule="auto"/>
        <w:ind w:firstLine="420" w:firstLineChars="200"/>
        <w:jc w:val="left"/>
        <w:rPr>
          <w:rFonts w:ascii="宋体" w:hAnsi="宋体"/>
          <w:szCs w:val="21"/>
        </w:rPr>
      </w:pPr>
      <w:r>
        <w:rPr>
          <w:rFonts w:hint="eastAsia" w:ascii="宋体" w:hAnsi="宋体"/>
          <w:szCs w:val="21"/>
        </w:rPr>
        <w:t>出现工程量清单错误时，责任和权利划分：</w:t>
      </w:r>
      <w:r>
        <w:rPr>
          <w:rFonts w:hint="eastAsia" w:ascii="宋体" w:hAnsi="宋体"/>
          <w:szCs w:val="21"/>
          <w:u w:val="single"/>
        </w:rPr>
        <w:t xml:space="preserve">        </w:t>
      </w:r>
      <w:r>
        <w:rPr>
          <w:rFonts w:hint="eastAsia" w:ascii="宋体" w:hAnsi="宋体"/>
          <w:szCs w:val="21"/>
        </w:rPr>
        <w:t>。</w:t>
      </w:r>
    </w:p>
    <w:p w14:paraId="0361FA74">
      <w:pPr>
        <w:spacing w:line="360" w:lineRule="auto"/>
        <w:ind w:firstLine="420" w:firstLineChars="200"/>
        <w:jc w:val="left"/>
        <w:rPr>
          <w:rFonts w:ascii="宋体" w:hAnsi="宋体"/>
          <w:szCs w:val="21"/>
        </w:rPr>
      </w:pPr>
      <w:r>
        <w:rPr>
          <w:rFonts w:hint="eastAsia" w:ascii="宋体" w:hAnsi="宋体"/>
          <w:szCs w:val="21"/>
        </w:rPr>
        <w:t>出现工程量清单错误时，是否调整合同价格：</w:t>
      </w:r>
      <w:r>
        <w:rPr>
          <w:rFonts w:hint="eastAsia" w:ascii="宋体" w:hAnsi="宋体"/>
          <w:szCs w:val="21"/>
          <w:u w:val="single"/>
        </w:rPr>
        <w:t xml:space="preserve">        </w:t>
      </w:r>
      <w:r>
        <w:rPr>
          <w:rFonts w:hint="eastAsia" w:ascii="宋体" w:hAnsi="宋体"/>
          <w:kern w:val="0"/>
          <w:szCs w:val="21"/>
        </w:rPr>
        <w:t>。</w:t>
      </w:r>
    </w:p>
    <w:p w14:paraId="590FA962">
      <w:pPr>
        <w:spacing w:line="360" w:lineRule="auto"/>
        <w:ind w:firstLine="420" w:firstLineChars="200"/>
        <w:jc w:val="left"/>
        <w:rPr>
          <w:rFonts w:ascii="宋体" w:hAnsi="宋体"/>
          <w:szCs w:val="21"/>
        </w:rPr>
      </w:pPr>
      <w:r>
        <w:rPr>
          <w:rFonts w:hint="eastAsia" w:ascii="宋体" w:hAnsi="宋体"/>
          <w:szCs w:val="21"/>
        </w:rPr>
        <w:t>允许调整合同价格的工程量偏差范围：</w:t>
      </w:r>
      <w:r>
        <w:rPr>
          <w:rFonts w:hint="eastAsia" w:ascii="宋体" w:hAnsi="宋体"/>
          <w:szCs w:val="21"/>
          <w:u w:val="single"/>
        </w:rPr>
        <w:t xml:space="preserve">        </w:t>
      </w:r>
      <w:r>
        <w:rPr>
          <w:rFonts w:hint="eastAsia" w:ascii="宋体" w:hAnsi="宋体"/>
          <w:szCs w:val="21"/>
        </w:rPr>
        <w:t>。</w:t>
      </w:r>
    </w:p>
    <w:p w14:paraId="5181B523">
      <w:pPr>
        <w:pStyle w:val="6"/>
        <w:keepNext/>
        <w:keepLines/>
        <w:spacing w:before="156" w:beforeLines="50" w:beforeAutospacing="0" w:after="156" w:afterLines="50" w:afterAutospacing="0" w:line="360" w:lineRule="auto"/>
        <w:jc w:val="both"/>
        <w:rPr>
          <w:bCs w:val="0"/>
          <w:kern w:val="2"/>
          <w:sz w:val="21"/>
          <w:szCs w:val="21"/>
        </w:rPr>
      </w:pPr>
      <w:bookmarkStart w:id="1064" w:name="_Toc351203634"/>
      <w:bookmarkStart w:id="1065" w:name="_Toc532375609"/>
      <w:bookmarkStart w:id="1066" w:name="_Toc532377331"/>
      <w:r>
        <w:rPr>
          <w:rFonts w:hint="eastAsia"/>
          <w:kern w:val="2"/>
          <w:sz w:val="21"/>
          <w:szCs w:val="21"/>
        </w:rPr>
        <w:t>2</w:t>
      </w:r>
      <w:bookmarkStart w:id="1067" w:name="_Toc296944496"/>
      <w:bookmarkStart w:id="1068" w:name="_Toc292559867"/>
      <w:bookmarkStart w:id="1069" w:name="_Toc297048343"/>
      <w:bookmarkStart w:id="1070" w:name="_Toc292559362"/>
      <w:bookmarkStart w:id="1071" w:name="_Toc296346658"/>
      <w:bookmarkStart w:id="1072" w:name="_Toc296347156"/>
      <w:bookmarkStart w:id="1073" w:name="_Toc297120457"/>
      <w:bookmarkStart w:id="1074" w:name="_Toc296891197"/>
      <w:bookmarkStart w:id="1075" w:name="_Toc296890985"/>
      <w:bookmarkStart w:id="1076" w:name="_Toc296503157"/>
      <w:r>
        <w:rPr>
          <w:rFonts w:hint="eastAsia"/>
          <w:kern w:val="2"/>
          <w:sz w:val="21"/>
          <w:szCs w:val="21"/>
        </w:rPr>
        <w:t>. 发包人</w:t>
      </w:r>
      <w:bookmarkEnd w:id="1064"/>
      <w:bookmarkEnd w:id="1065"/>
      <w:bookmarkEnd w:id="1066"/>
    </w:p>
    <w:bookmarkEnd w:id="1067"/>
    <w:bookmarkEnd w:id="1068"/>
    <w:bookmarkEnd w:id="1069"/>
    <w:bookmarkEnd w:id="1070"/>
    <w:bookmarkEnd w:id="1071"/>
    <w:bookmarkEnd w:id="1072"/>
    <w:bookmarkEnd w:id="1073"/>
    <w:bookmarkEnd w:id="1074"/>
    <w:bookmarkEnd w:id="1075"/>
    <w:bookmarkEnd w:id="1076"/>
    <w:p w14:paraId="03BCFC58">
      <w:pPr>
        <w:spacing w:line="360" w:lineRule="auto"/>
        <w:ind w:firstLine="420" w:firstLineChars="200"/>
        <w:jc w:val="left"/>
        <w:rPr>
          <w:rFonts w:ascii="宋体" w:hAnsi="宋体"/>
          <w:szCs w:val="21"/>
        </w:rPr>
      </w:pPr>
      <w:r>
        <w:rPr>
          <w:rFonts w:hint="eastAsia" w:ascii="宋体" w:hAnsi="宋体"/>
          <w:szCs w:val="21"/>
        </w:rPr>
        <w:t>2.1许可或批准</w:t>
      </w:r>
    </w:p>
    <w:p w14:paraId="40809AEC">
      <w:pPr>
        <w:spacing w:line="360" w:lineRule="auto"/>
        <w:ind w:firstLine="420" w:firstLineChars="200"/>
        <w:jc w:val="left"/>
        <w:rPr>
          <w:rFonts w:ascii="宋体" w:hAnsi="宋体"/>
          <w:szCs w:val="21"/>
          <w:highlight w:val="none"/>
          <w:u w:val="single"/>
        </w:rPr>
      </w:pPr>
      <w:r>
        <w:rPr>
          <w:rFonts w:hint="eastAsia" w:ascii="宋体" w:hAnsi="宋体"/>
          <w:szCs w:val="21"/>
          <w:highlight w:val="none"/>
          <w:u w:val="single"/>
        </w:rPr>
        <w:t>施工所需临时用水、临时用电、中断道路交通、临时占道的许可或批准由承包人负责办理，发包人协助。</w:t>
      </w:r>
    </w:p>
    <w:p w14:paraId="4CD8FB28">
      <w:pPr>
        <w:spacing w:line="360" w:lineRule="auto"/>
        <w:ind w:firstLine="420" w:firstLineChars="200"/>
        <w:jc w:val="left"/>
        <w:rPr>
          <w:rFonts w:ascii="宋体" w:hAnsi="宋体"/>
          <w:szCs w:val="21"/>
        </w:rPr>
      </w:pPr>
      <w:r>
        <w:rPr>
          <w:rFonts w:hint="eastAsia" w:ascii="宋体" w:hAnsi="宋体"/>
          <w:szCs w:val="21"/>
        </w:rPr>
        <w:t>2.2 发包人代表</w:t>
      </w:r>
    </w:p>
    <w:p w14:paraId="68A9DBAC">
      <w:pPr>
        <w:spacing w:line="360" w:lineRule="auto"/>
        <w:ind w:firstLine="420" w:firstLineChars="200"/>
        <w:jc w:val="left"/>
        <w:rPr>
          <w:rFonts w:ascii="宋体" w:hAnsi="宋体"/>
          <w:szCs w:val="21"/>
        </w:rPr>
      </w:pPr>
      <w:r>
        <w:rPr>
          <w:rFonts w:hint="eastAsia" w:ascii="宋体" w:hAnsi="宋体"/>
          <w:szCs w:val="21"/>
        </w:rPr>
        <w:t>发包人代表：</w:t>
      </w:r>
    </w:p>
    <w:p w14:paraId="10AF04E2">
      <w:pPr>
        <w:spacing w:line="360" w:lineRule="auto"/>
        <w:ind w:firstLine="420" w:firstLineChars="200"/>
        <w:jc w:val="left"/>
        <w:rPr>
          <w:rFonts w:ascii="宋体" w:hAnsi="宋体"/>
          <w:szCs w:val="21"/>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w:t>
      </w:r>
    </w:p>
    <w:p w14:paraId="5C0B23EB">
      <w:pPr>
        <w:spacing w:line="360" w:lineRule="auto"/>
        <w:ind w:firstLine="420" w:firstLineChars="200"/>
        <w:jc w:val="left"/>
        <w:rPr>
          <w:rFonts w:ascii="宋体" w:hAnsi="宋体"/>
          <w:szCs w:val="21"/>
        </w:rPr>
      </w:pPr>
      <w:r>
        <w:rPr>
          <w:rFonts w:hint="eastAsia" w:ascii="宋体" w:hAnsi="宋体"/>
          <w:szCs w:val="21"/>
        </w:rPr>
        <w:t>联系电话：</w:t>
      </w:r>
      <w:r>
        <w:rPr>
          <w:rFonts w:hint="eastAsia" w:ascii="宋体" w:hAnsi="宋体"/>
          <w:szCs w:val="21"/>
          <w:u w:val="single"/>
        </w:rPr>
        <w:t xml:space="preserve">               </w:t>
      </w:r>
      <w:r>
        <w:rPr>
          <w:rFonts w:hint="eastAsia" w:ascii="宋体" w:hAnsi="宋体"/>
          <w:szCs w:val="21"/>
        </w:rPr>
        <w:t>；</w:t>
      </w:r>
    </w:p>
    <w:p w14:paraId="0603BA15">
      <w:pPr>
        <w:spacing w:line="360" w:lineRule="auto"/>
        <w:ind w:firstLine="420" w:firstLineChars="200"/>
        <w:jc w:val="left"/>
        <w:rPr>
          <w:rFonts w:ascii="宋体" w:hAnsi="宋体"/>
          <w:szCs w:val="21"/>
          <w:u w:val="single"/>
        </w:rPr>
      </w:pPr>
      <w:r>
        <w:rPr>
          <w:rFonts w:hint="eastAsia" w:ascii="宋体" w:hAnsi="宋体"/>
          <w:szCs w:val="21"/>
        </w:rPr>
        <w:t>发包人对发包人代表的授权范围如下：依照发包人相关管理办法包括但不限于</w:t>
      </w:r>
      <w:r>
        <w:rPr>
          <w:rFonts w:hint="eastAsia" w:ascii="宋体" w:hAnsi="宋体"/>
          <w:szCs w:val="21"/>
          <w:u w:val="single"/>
        </w:rPr>
        <w:t>工程质量、安全、进度、投资控制，与各方进行联络、协调，召集会议；解决工程中出现的问题；工程资料管理；执行权利范围内的签证权等。</w:t>
      </w:r>
    </w:p>
    <w:p w14:paraId="76C357E7">
      <w:pPr>
        <w:spacing w:line="360" w:lineRule="auto"/>
        <w:ind w:firstLine="420" w:firstLineChars="200"/>
        <w:jc w:val="left"/>
        <w:rPr>
          <w:rFonts w:ascii="宋体" w:hAnsi="宋体"/>
          <w:szCs w:val="21"/>
        </w:rPr>
      </w:pPr>
      <w:r>
        <w:rPr>
          <w:rFonts w:hint="eastAsia" w:ascii="宋体" w:hAnsi="宋体"/>
          <w:szCs w:val="21"/>
        </w:rPr>
        <w:t>2.4 施工现场、施工条件和基础资料的提供</w:t>
      </w:r>
    </w:p>
    <w:p w14:paraId="6094F046">
      <w:pPr>
        <w:spacing w:line="360" w:lineRule="auto"/>
        <w:ind w:firstLine="420" w:firstLineChars="200"/>
        <w:jc w:val="left"/>
        <w:rPr>
          <w:rFonts w:ascii="宋体" w:hAnsi="宋体"/>
          <w:szCs w:val="21"/>
        </w:rPr>
      </w:pPr>
      <w:r>
        <w:rPr>
          <w:rFonts w:hint="eastAsia" w:ascii="宋体" w:hAnsi="宋体"/>
          <w:szCs w:val="21"/>
        </w:rPr>
        <w:t>2.4.1 提供施工现场</w:t>
      </w:r>
    </w:p>
    <w:p w14:paraId="693BB1AC">
      <w:pPr>
        <w:spacing w:line="360" w:lineRule="auto"/>
        <w:ind w:firstLine="420" w:firstLineChars="200"/>
        <w:jc w:val="left"/>
        <w:rPr>
          <w:rFonts w:ascii="宋体" w:hAnsi="宋体"/>
          <w:szCs w:val="21"/>
        </w:rPr>
      </w:pPr>
      <w:r>
        <w:rPr>
          <w:rFonts w:hint="eastAsia" w:ascii="宋体" w:hAnsi="宋体"/>
          <w:szCs w:val="21"/>
        </w:rPr>
        <w:t>关于发包人移交施工现场的期限要求：</w:t>
      </w:r>
      <w:r>
        <w:rPr>
          <w:rFonts w:hint="eastAsia" w:ascii="宋体" w:hAnsi="宋体"/>
          <w:szCs w:val="21"/>
          <w:u w:val="single"/>
        </w:rPr>
        <w:t xml:space="preserve">  按通用合同条款执行  </w:t>
      </w:r>
      <w:r>
        <w:rPr>
          <w:rFonts w:hint="eastAsia" w:ascii="宋体" w:hAnsi="宋体"/>
          <w:szCs w:val="21"/>
        </w:rPr>
        <w:t>。</w:t>
      </w:r>
    </w:p>
    <w:p w14:paraId="44B555AC">
      <w:pPr>
        <w:spacing w:line="360" w:lineRule="auto"/>
        <w:ind w:firstLine="420" w:firstLineChars="200"/>
        <w:jc w:val="left"/>
        <w:rPr>
          <w:rFonts w:ascii="宋体" w:hAnsi="宋体"/>
          <w:szCs w:val="21"/>
        </w:rPr>
      </w:pPr>
      <w:r>
        <w:rPr>
          <w:rFonts w:hint="eastAsia" w:ascii="宋体" w:hAnsi="宋体"/>
          <w:szCs w:val="21"/>
        </w:rPr>
        <w:t>发包人场地移交后，若承包人在移交当日未提出异议，视为接受场地现状；</w:t>
      </w:r>
    </w:p>
    <w:p w14:paraId="3135D42C">
      <w:pPr>
        <w:spacing w:line="360" w:lineRule="auto"/>
        <w:ind w:firstLine="420" w:firstLineChars="200"/>
        <w:jc w:val="left"/>
        <w:rPr>
          <w:rFonts w:ascii="宋体" w:hAnsi="宋体"/>
          <w:szCs w:val="21"/>
        </w:rPr>
      </w:pPr>
      <w:r>
        <w:rPr>
          <w:rFonts w:hint="eastAsia" w:ascii="宋体" w:hAnsi="宋体"/>
          <w:szCs w:val="21"/>
        </w:rPr>
        <w:t>2.4.2 提供施工条件</w:t>
      </w:r>
    </w:p>
    <w:p w14:paraId="11C08983">
      <w:pPr>
        <w:spacing w:line="360" w:lineRule="auto"/>
        <w:ind w:firstLine="420" w:firstLineChars="200"/>
        <w:jc w:val="left"/>
        <w:rPr>
          <w:rFonts w:ascii="宋体" w:hAnsi="宋体"/>
          <w:szCs w:val="21"/>
        </w:rPr>
      </w:pPr>
      <w:r>
        <w:rPr>
          <w:rFonts w:hint="eastAsia" w:ascii="宋体" w:hAnsi="宋体"/>
          <w:szCs w:val="21"/>
        </w:rPr>
        <w:t>关于发包人应负责提供施工所需要的条件，包括：</w:t>
      </w:r>
    </w:p>
    <w:p w14:paraId="03B19D48">
      <w:pPr>
        <w:spacing w:line="360" w:lineRule="auto"/>
        <w:ind w:firstLine="420" w:firstLineChars="200"/>
        <w:jc w:val="left"/>
        <w:rPr>
          <w:rFonts w:ascii="宋体" w:hAnsi="宋体"/>
          <w:szCs w:val="21"/>
          <w:u w:val="single"/>
        </w:rPr>
      </w:pPr>
      <w:r>
        <w:rPr>
          <w:rFonts w:hint="eastAsia" w:ascii="宋体" w:hAnsi="宋体"/>
          <w:szCs w:val="21"/>
          <w:u w:val="single"/>
        </w:rPr>
        <w:t>（1）负责征地拆迁工作，居民与单位的动迁安置，旧房拆除、补偿，负责根据工程建设需要及时提供工程用地(含临时用地)和取、弃土用地；负责协助承包人处理项目建设期涉及的各有关方面与建设施工中发生的各类矛盾，协调政府及地方各方面的关系；</w:t>
      </w:r>
    </w:p>
    <w:p w14:paraId="43455169">
      <w:pPr>
        <w:spacing w:line="360" w:lineRule="auto"/>
        <w:ind w:firstLine="420" w:firstLineChars="200"/>
        <w:jc w:val="left"/>
        <w:rPr>
          <w:rFonts w:ascii="宋体" w:hAnsi="宋体"/>
          <w:szCs w:val="21"/>
          <w:u w:val="single"/>
        </w:rPr>
      </w:pPr>
      <w:r>
        <w:rPr>
          <w:rFonts w:hint="eastAsia" w:ascii="宋体" w:hAnsi="宋体"/>
          <w:szCs w:val="21"/>
          <w:u w:val="single"/>
        </w:rPr>
        <w:t>（2）负责该项目的勘测设计和项目报批工作，在项目开工前完成项目的相关批准文件；</w:t>
      </w:r>
    </w:p>
    <w:p w14:paraId="61981F02">
      <w:pPr>
        <w:spacing w:line="360" w:lineRule="auto"/>
        <w:ind w:firstLine="420" w:firstLineChars="200"/>
        <w:jc w:val="left"/>
        <w:rPr>
          <w:rFonts w:ascii="宋体" w:hAnsi="宋体"/>
          <w:szCs w:val="21"/>
          <w:u w:val="single"/>
        </w:rPr>
      </w:pPr>
      <w:r>
        <w:rPr>
          <w:rFonts w:hint="eastAsia" w:ascii="宋体" w:hAnsi="宋体"/>
          <w:szCs w:val="21"/>
          <w:u w:val="single"/>
        </w:rPr>
        <w:t>（3）协助承包人办理施工所需临时用水、临时用电，由承包人负责接入施工现场并承担施工所需水、电及通迅费用；</w:t>
      </w:r>
    </w:p>
    <w:p w14:paraId="7197A949">
      <w:pPr>
        <w:spacing w:line="360" w:lineRule="auto"/>
        <w:ind w:firstLine="420" w:firstLineChars="200"/>
        <w:jc w:val="left"/>
        <w:rPr>
          <w:rFonts w:ascii="宋体" w:hAnsi="宋体"/>
          <w:szCs w:val="21"/>
          <w:u w:val="single"/>
        </w:rPr>
      </w:pPr>
      <w:r>
        <w:rPr>
          <w:rFonts w:hint="eastAsia" w:ascii="宋体" w:hAnsi="宋体"/>
          <w:szCs w:val="21"/>
          <w:u w:val="single"/>
        </w:rPr>
        <w:t>（4）向承包人提供施工场地工程地勘和地下管线资料，但不保证与现场完全吻合，承包方有义务对现场进行踏勘；</w:t>
      </w:r>
    </w:p>
    <w:p w14:paraId="58D5086A">
      <w:pPr>
        <w:spacing w:line="360" w:lineRule="auto"/>
        <w:ind w:firstLine="420" w:firstLineChars="200"/>
        <w:jc w:val="left"/>
        <w:rPr>
          <w:rFonts w:ascii="宋体" w:hAnsi="宋体"/>
          <w:szCs w:val="21"/>
          <w:u w:val="single"/>
        </w:rPr>
      </w:pPr>
      <w:r>
        <w:rPr>
          <w:rFonts w:hint="eastAsia" w:ascii="宋体" w:hAnsi="宋体"/>
          <w:szCs w:val="21"/>
          <w:u w:val="single"/>
        </w:rPr>
        <w:t>（5）确定水准点与坐标控制点，以书面形式交给承包方，进行现场交验；</w:t>
      </w:r>
    </w:p>
    <w:p w14:paraId="6DB10B83">
      <w:pPr>
        <w:spacing w:line="360" w:lineRule="auto"/>
        <w:ind w:firstLine="420" w:firstLineChars="200"/>
        <w:jc w:val="left"/>
        <w:rPr>
          <w:rFonts w:ascii="宋体" w:hAnsi="宋体"/>
          <w:szCs w:val="21"/>
          <w:u w:val="single"/>
        </w:rPr>
      </w:pPr>
      <w:r>
        <w:rPr>
          <w:rFonts w:hint="eastAsia" w:ascii="宋体" w:hAnsi="宋体"/>
          <w:szCs w:val="21"/>
          <w:u w:val="single"/>
        </w:rPr>
        <w:t>（6）协助承包人办理施工许可证及其他施工所需的交通、环保、环卫、噪音等证件及手续；</w:t>
      </w:r>
    </w:p>
    <w:p w14:paraId="28E865D4">
      <w:pPr>
        <w:spacing w:line="360" w:lineRule="auto"/>
        <w:ind w:firstLine="420" w:firstLineChars="200"/>
        <w:jc w:val="left"/>
        <w:rPr>
          <w:rFonts w:ascii="宋体" w:hAnsi="宋体"/>
          <w:szCs w:val="21"/>
          <w:u w:val="single"/>
        </w:rPr>
      </w:pPr>
      <w:r>
        <w:rPr>
          <w:rFonts w:hint="eastAsia" w:ascii="宋体" w:hAnsi="宋体"/>
          <w:szCs w:val="21"/>
          <w:u w:val="single"/>
        </w:rPr>
        <w:t>（7）施工场地周围地下管线和邻近建筑物、构筑物(含文物保护建筑)、古树名木的保护工作由承包人负责保护和承担相应费用。</w:t>
      </w:r>
    </w:p>
    <w:p w14:paraId="4DC877A2">
      <w:pPr>
        <w:spacing w:line="360" w:lineRule="auto"/>
        <w:ind w:firstLine="420" w:firstLineChars="200"/>
        <w:jc w:val="left"/>
        <w:rPr>
          <w:rFonts w:ascii="宋体" w:hAnsi="宋体"/>
          <w:szCs w:val="21"/>
        </w:rPr>
      </w:pPr>
      <w:r>
        <w:rPr>
          <w:rFonts w:hint="eastAsia" w:ascii="宋体" w:hAnsi="宋体"/>
          <w:szCs w:val="21"/>
        </w:rPr>
        <w:t>2.4.5 发包人的其它权利和义务</w:t>
      </w:r>
    </w:p>
    <w:p w14:paraId="4322AF86">
      <w:pPr>
        <w:spacing w:line="360" w:lineRule="auto"/>
        <w:ind w:firstLine="420" w:firstLineChars="200"/>
        <w:jc w:val="left"/>
        <w:rPr>
          <w:rFonts w:ascii="宋体" w:hAnsi="宋体"/>
          <w:szCs w:val="21"/>
          <w:u w:val="single"/>
        </w:rPr>
      </w:pPr>
      <w:r>
        <w:rPr>
          <w:rFonts w:hint="eastAsia" w:ascii="宋体" w:hAnsi="宋体"/>
          <w:szCs w:val="21"/>
        </w:rPr>
        <w:t xml:space="preserve">    </w:t>
      </w:r>
      <w:r>
        <w:rPr>
          <w:rFonts w:hint="eastAsia" w:ascii="宋体" w:hAnsi="宋体"/>
          <w:szCs w:val="21"/>
          <w:u w:val="single"/>
        </w:rPr>
        <w:t>（1）负责组织施工图审查；负责组织设计单位向承包人进行施工图技术交底；负责审批设计变更；</w:t>
      </w:r>
    </w:p>
    <w:p w14:paraId="2104C96C">
      <w:pPr>
        <w:spacing w:line="360" w:lineRule="auto"/>
        <w:ind w:firstLine="420" w:firstLineChars="200"/>
        <w:jc w:val="left"/>
        <w:rPr>
          <w:rFonts w:ascii="宋体" w:hAnsi="宋体"/>
          <w:szCs w:val="21"/>
          <w:u w:val="single"/>
        </w:rPr>
      </w:pPr>
      <w:r>
        <w:rPr>
          <w:rFonts w:hint="eastAsia" w:ascii="宋体" w:hAnsi="宋体"/>
          <w:szCs w:val="21"/>
          <w:u w:val="single"/>
        </w:rPr>
        <w:t>（2）负责审核承包人报送的施工组织设计，审查承包人专项施工方案并督促实施；</w:t>
      </w:r>
    </w:p>
    <w:p w14:paraId="46952E45">
      <w:pPr>
        <w:spacing w:line="360" w:lineRule="auto"/>
        <w:ind w:firstLine="420" w:firstLineChars="200"/>
        <w:jc w:val="left"/>
        <w:rPr>
          <w:rFonts w:ascii="宋体" w:hAnsi="宋体"/>
          <w:szCs w:val="21"/>
          <w:u w:val="single"/>
        </w:rPr>
      </w:pPr>
      <w:r>
        <w:rPr>
          <w:rFonts w:hint="eastAsia" w:ascii="宋体" w:hAnsi="宋体"/>
          <w:szCs w:val="21"/>
          <w:u w:val="single"/>
        </w:rPr>
        <w:t>（3）负责质量管理和质量监督工作，有权对本项目的施工进行监督和检测，负责选定监理单位。关于监理单位及监理工程师的工作职责,按监理合同约定为准；</w:t>
      </w:r>
    </w:p>
    <w:p w14:paraId="70D17D4D">
      <w:pPr>
        <w:spacing w:line="360" w:lineRule="auto"/>
        <w:ind w:firstLine="420" w:firstLineChars="200"/>
        <w:jc w:val="left"/>
        <w:rPr>
          <w:rFonts w:ascii="宋体" w:hAnsi="宋体"/>
          <w:szCs w:val="21"/>
          <w:u w:val="single"/>
        </w:rPr>
      </w:pPr>
      <w:r>
        <w:rPr>
          <w:rFonts w:hint="eastAsia" w:ascii="宋体" w:hAnsi="宋体"/>
          <w:szCs w:val="21"/>
          <w:u w:val="single"/>
        </w:rPr>
        <w:t>（4）负责审查项目开工报告，审批分项工程开工报告，督促承包人按照项目总体实施计划组织施工；</w:t>
      </w:r>
    </w:p>
    <w:p w14:paraId="2ABB91A1">
      <w:pPr>
        <w:spacing w:line="360" w:lineRule="auto"/>
        <w:ind w:firstLine="420" w:firstLineChars="200"/>
        <w:jc w:val="left"/>
        <w:rPr>
          <w:rFonts w:ascii="宋体" w:hAnsi="宋体"/>
          <w:szCs w:val="21"/>
          <w:u w:val="single"/>
        </w:rPr>
      </w:pPr>
      <w:r>
        <w:rPr>
          <w:rFonts w:hint="eastAsia" w:ascii="宋体" w:hAnsi="宋体"/>
          <w:szCs w:val="21"/>
          <w:u w:val="single"/>
        </w:rPr>
        <w:t>（5）审定工程进度计划，并监督承包方按批准的建设进度计划实施；</w:t>
      </w:r>
    </w:p>
    <w:p w14:paraId="0AD54C68">
      <w:pPr>
        <w:spacing w:line="360" w:lineRule="auto"/>
        <w:ind w:firstLine="420" w:firstLineChars="200"/>
        <w:jc w:val="left"/>
        <w:rPr>
          <w:rFonts w:ascii="宋体" w:hAnsi="宋体"/>
          <w:szCs w:val="21"/>
          <w:u w:val="single"/>
        </w:rPr>
      </w:pPr>
      <w:r>
        <w:rPr>
          <w:rFonts w:hint="eastAsia" w:ascii="宋体" w:hAnsi="宋体"/>
          <w:szCs w:val="21"/>
          <w:u w:val="single"/>
        </w:rPr>
        <w:t>（6）有权对设计进行变更或优化，对变更设计及其费用的调整有审核确认权；</w:t>
      </w:r>
    </w:p>
    <w:p w14:paraId="6DFBEB0D">
      <w:pPr>
        <w:spacing w:line="360" w:lineRule="auto"/>
        <w:ind w:firstLine="420" w:firstLineChars="200"/>
        <w:jc w:val="left"/>
        <w:rPr>
          <w:rFonts w:ascii="宋体" w:hAnsi="宋体"/>
          <w:szCs w:val="21"/>
          <w:u w:val="single"/>
        </w:rPr>
      </w:pPr>
      <w:r>
        <w:rPr>
          <w:rFonts w:hint="eastAsia" w:ascii="宋体" w:hAnsi="宋体"/>
          <w:szCs w:val="21"/>
          <w:u w:val="single"/>
        </w:rPr>
        <w:t>（7）负责实施过程中涉及的工程计量、工程计价、设计变更、工程造价增减的确认和审批工作；</w:t>
      </w:r>
    </w:p>
    <w:p w14:paraId="0400913D">
      <w:pPr>
        <w:spacing w:line="360" w:lineRule="auto"/>
        <w:ind w:firstLine="420" w:firstLineChars="200"/>
        <w:jc w:val="left"/>
        <w:rPr>
          <w:rFonts w:ascii="宋体" w:hAnsi="宋体"/>
          <w:szCs w:val="21"/>
          <w:u w:val="single"/>
        </w:rPr>
      </w:pPr>
      <w:r>
        <w:rPr>
          <w:rFonts w:hint="eastAsia" w:ascii="宋体" w:hAnsi="宋体"/>
          <w:szCs w:val="21"/>
          <w:u w:val="single"/>
        </w:rPr>
        <w:t>（8）发包人或发包人委托的机构有权按工程进度要求检查、监督本工程进度情况及发包人资金使用情况，定期或不定期检查本工程质量、安全、进度及文明施工；</w:t>
      </w:r>
    </w:p>
    <w:p w14:paraId="52607786">
      <w:pPr>
        <w:spacing w:line="360" w:lineRule="auto"/>
        <w:ind w:firstLine="420" w:firstLineChars="200"/>
        <w:jc w:val="left"/>
        <w:rPr>
          <w:rFonts w:ascii="宋体" w:hAnsi="宋体"/>
          <w:szCs w:val="21"/>
          <w:u w:val="single"/>
        </w:rPr>
      </w:pPr>
      <w:r>
        <w:rPr>
          <w:rFonts w:hint="eastAsia" w:ascii="宋体" w:hAnsi="宋体"/>
          <w:szCs w:val="21"/>
          <w:u w:val="single"/>
        </w:rPr>
        <w:t>(9)有权委托有资质的审计机构对项目建设进行全过程跟踪审计监督；</w:t>
      </w:r>
    </w:p>
    <w:p w14:paraId="774FDD33">
      <w:pPr>
        <w:spacing w:line="360" w:lineRule="auto"/>
        <w:ind w:firstLine="420" w:firstLineChars="200"/>
        <w:jc w:val="left"/>
        <w:rPr>
          <w:rFonts w:ascii="宋体" w:hAnsi="宋体"/>
          <w:szCs w:val="21"/>
          <w:u w:val="single"/>
        </w:rPr>
      </w:pPr>
      <w:r>
        <w:rPr>
          <w:rFonts w:hint="eastAsia" w:ascii="宋体" w:hAnsi="宋体"/>
          <w:szCs w:val="21"/>
          <w:u w:val="single"/>
        </w:rPr>
        <w:t>(10)按照住房和城乡建设部及重庆市地方现行建设工程交、竣（完）工验收相关规定负责组织移交、竣（完）工验收；</w:t>
      </w:r>
    </w:p>
    <w:p w14:paraId="052B4DA9">
      <w:pPr>
        <w:spacing w:line="360" w:lineRule="auto"/>
        <w:ind w:firstLine="420" w:firstLineChars="200"/>
        <w:jc w:val="left"/>
        <w:rPr>
          <w:rFonts w:ascii="宋体" w:hAnsi="宋体"/>
          <w:szCs w:val="21"/>
          <w:u w:val="single"/>
        </w:rPr>
      </w:pPr>
      <w:r>
        <w:rPr>
          <w:rFonts w:hint="eastAsia" w:ascii="宋体" w:hAnsi="宋体"/>
          <w:szCs w:val="21"/>
          <w:u w:val="single"/>
        </w:rPr>
        <w:t>(11)负责工程质量保修期到期后的验收工作；</w:t>
      </w:r>
    </w:p>
    <w:p w14:paraId="7D520B7D">
      <w:pPr>
        <w:spacing w:line="360" w:lineRule="auto"/>
        <w:ind w:firstLine="420" w:firstLineChars="200"/>
        <w:jc w:val="left"/>
        <w:rPr>
          <w:rFonts w:ascii="宋体" w:hAnsi="宋体"/>
          <w:szCs w:val="21"/>
          <w:u w:val="single"/>
        </w:rPr>
      </w:pPr>
      <w:r>
        <w:rPr>
          <w:rFonts w:hint="eastAsia" w:ascii="宋体" w:hAnsi="宋体"/>
          <w:szCs w:val="21"/>
          <w:u w:val="single"/>
        </w:rPr>
        <w:t>(12)督促设计单位及时解决设计缺陷或设计与实际不符等问题。</w:t>
      </w:r>
    </w:p>
    <w:p w14:paraId="5E39D751">
      <w:pPr>
        <w:pStyle w:val="6"/>
        <w:keepNext/>
        <w:keepLines/>
        <w:spacing w:before="156" w:beforeLines="50" w:beforeAutospacing="0" w:after="156" w:afterLines="50" w:afterAutospacing="0" w:line="360" w:lineRule="auto"/>
        <w:jc w:val="both"/>
        <w:rPr>
          <w:bCs w:val="0"/>
          <w:kern w:val="2"/>
          <w:sz w:val="21"/>
          <w:szCs w:val="21"/>
        </w:rPr>
      </w:pPr>
      <w:bookmarkStart w:id="1077" w:name="_Toc532375610"/>
      <w:bookmarkStart w:id="1078" w:name="_Toc532377334"/>
      <w:bookmarkStart w:id="1079" w:name="_Toc351203635"/>
      <w:r>
        <w:rPr>
          <w:rFonts w:hint="eastAsia"/>
          <w:kern w:val="2"/>
          <w:sz w:val="21"/>
          <w:szCs w:val="21"/>
        </w:rPr>
        <w:t>3</w:t>
      </w:r>
      <w:bookmarkStart w:id="1080" w:name="_Toc296347157"/>
      <w:bookmarkStart w:id="1081" w:name="_Toc296890986"/>
      <w:bookmarkStart w:id="1082" w:name="_Toc292559363"/>
      <w:bookmarkStart w:id="1083" w:name="_Toc292559868"/>
      <w:bookmarkStart w:id="1084" w:name="_Toc296891198"/>
      <w:bookmarkStart w:id="1085" w:name="_Toc297120458"/>
      <w:bookmarkStart w:id="1086" w:name="_Toc296346659"/>
      <w:bookmarkStart w:id="1087" w:name="_Toc296944497"/>
      <w:bookmarkStart w:id="1088" w:name="_Toc297048344"/>
      <w:bookmarkStart w:id="1089" w:name="_Toc296503158"/>
      <w:r>
        <w:rPr>
          <w:rFonts w:hint="eastAsia"/>
          <w:kern w:val="2"/>
          <w:sz w:val="21"/>
          <w:szCs w:val="21"/>
        </w:rPr>
        <w:t>. 承包人</w:t>
      </w:r>
      <w:bookmarkEnd w:id="1077"/>
      <w:bookmarkEnd w:id="1078"/>
      <w:bookmarkEnd w:id="1079"/>
    </w:p>
    <w:bookmarkEnd w:id="1080"/>
    <w:bookmarkEnd w:id="1081"/>
    <w:bookmarkEnd w:id="1082"/>
    <w:bookmarkEnd w:id="1083"/>
    <w:bookmarkEnd w:id="1084"/>
    <w:bookmarkEnd w:id="1085"/>
    <w:bookmarkEnd w:id="1086"/>
    <w:bookmarkEnd w:id="1087"/>
    <w:bookmarkEnd w:id="1088"/>
    <w:bookmarkEnd w:id="1089"/>
    <w:p w14:paraId="24DB157C">
      <w:pPr>
        <w:pStyle w:val="7"/>
        <w:spacing w:before="0" w:beforeAutospacing="0" w:after="0" w:afterAutospacing="0" w:line="360" w:lineRule="auto"/>
        <w:ind w:firstLine="422" w:firstLineChars="200"/>
        <w:rPr>
          <w:sz w:val="21"/>
          <w:szCs w:val="21"/>
        </w:rPr>
      </w:pPr>
      <w:bookmarkStart w:id="1090" w:name="_Toc532377335"/>
      <w:r>
        <w:rPr>
          <w:rFonts w:hint="eastAsia"/>
          <w:sz w:val="21"/>
          <w:szCs w:val="21"/>
        </w:rPr>
        <w:t>3.1 承包人的一般义务</w:t>
      </w:r>
      <w:bookmarkEnd w:id="1090"/>
    </w:p>
    <w:p w14:paraId="6268D2D7">
      <w:pPr>
        <w:spacing w:line="360" w:lineRule="auto"/>
        <w:ind w:firstLine="420" w:firstLineChars="200"/>
        <w:jc w:val="left"/>
        <w:rPr>
          <w:rFonts w:ascii="宋体" w:hAnsi="宋体"/>
          <w:szCs w:val="21"/>
        </w:rPr>
      </w:pPr>
      <w:r>
        <w:rPr>
          <w:rFonts w:hint="eastAsia" w:ascii="宋体" w:hAnsi="宋体"/>
          <w:szCs w:val="21"/>
        </w:rPr>
        <w:t>本款细化为3.1.1～3.1.10项：</w:t>
      </w:r>
    </w:p>
    <w:p w14:paraId="6F7305E0">
      <w:pPr>
        <w:spacing w:line="360" w:lineRule="auto"/>
        <w:ind w:firstLine="420" w:firstLineChars="200"/>
        <w:jc w:val="left"/>
        <w:rPr>
          <w:rFonts w:ascii="宋体" w:hAnsi="宋体"/>
          <w:szCs w:val="21"/>
        </w:rPr>
      </w:pPr>
      <w:r>
        <w:rPr>
          <w:rFonts w:hint="eastAsia" w:ascii="宋体" w:hAnsi="宋体"/>
          <w:szCs w:val="21"/>
        </w:rPr>
        <w:t>3.1.1办理法律规定和合同约定应由承包人办理的许可和批准，并将办理结果书面报送发包人留存；协助发包人办理施工所需的工程质量监督、安全监督、施工许可证等相关证件及手续。</w:t>
      </w:r>
    </w:p>
    <w:p w14:paraId="30826270">
      <w:pPr>
        <w:spacing w:line="360" w:lineRule="auto"/>
        <w:ind w:firstLine="420" w:firstLineChars="200"/>
        <w:jc w:val="left"/>
        <w:rPr>
          <w:rFonts w:ascii="宋体" w:hAnsi="宋体"/>
          <w:szCs w:val="21"/>
        </w:rPr>
      </w:pPr>
      <w:r>
        <w:rPr>
          <w:rFonts w:hint="eastAsia" w:ascii="宋体" w:hAnsi="宋体"/>
          <w:szCs w:val="21"/>
        </w:rPr>
        <w:t>3.1.2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14:paraId="41F0E211">
      <w:pPr>
        <w:spacing w:line="360" w:lineRule="auto"/>
        <w:ind w:firstLine="420" w:firstLineChars="200"/>
        <w:jc w:val="left"/>
        <w:rPr>
          <w:rFonts w:ascii="宋体" w:hAnsi="宋体"/>
          <w:szCs w:val="21"/>
        </w:rPr>
      </w:pPr>
      <w:r>
        <w:rPr>
          <w:rFonts w:hint="eastAsia" w:ascii="宋体" w:hAnsi="宋体"/>
          <w:szCs w:val="21"/>
        </w:rPr>
        <w:t>3.1.3按法律规定和合同约定采取施工安全和环境保护措施，办理工伤保险，确保工程及人员、材料、设备和设施的安全。施工期间，承包人应避免因施工危及红线范围外的邻近道路、建筑安全；应注意做好对周边建（构）筑物、绿化、设施设备的保护，做好围挡、监测以及安全防护，采取有效的防尘及降低噪声的措施，减小施工噪音及污水等对周边环境的影响包括对居民生活、工作、生产和经营等的影响；对不实施拆迁的建、构筑物应采取保护措施，并保证既有道路的正常通行。</w:t>
      </w:r>
    </w:p>
    <w:p w14:paraId="6972FA42">
      <w:pPr>
        <w:spacing w:line="360" w:lineRule="auto"/>
        <w:ind w:firstLine="420" w:firstLineChars="200"/>
        <w:jc w:val="left"/>
        <w:rPr>
          <w:rFonts w:ascii="宋体" w:hAnsi="宋体"/>
          <w:szCs w:val="21"/>
        </w:rPr>
      </w:pPr>
      <w:r>
        <w:rPr>
          <w:rFonts w:hint="eastAsia" w:ascii="宋体" w:hAnsi="宋体"/>
          <w:szCs w:val="21"/>
        </w:rPr>
        <w:t>3.1.4按合同约定的工作内容和施工进度要求，编制施工组织设计和施工措施计划，并对所有施工作业和施工方法的完备性和安全可靠性负责。施工组织设计中的措施保障水平应满足工程按合同进度实施的需要，且不得低于投标时施工组织设计的措施保障水平。</w:t>
      </w:r>
    </w:p>
    <w:p w14:paraId="66F083FD">
      <w:pPr>
        <w:spacing w:line="360" w:lineRule="auto"/>
        <w:ind w:firstLine="420" w:firstLineChars="200"/>
        <w:jc w:val="left"/>
        <w:rPr>
          <w:rFonts w:ascii="宋体" w:hAnsi="宋体"/>
          <w:szCs w:val="21"/>
        </w:rPr>
      </w:pPr>
      <w:r>
        <w:rPr>
          <w:rFonts w:hint="eastAsia" w:ascii="宋体" w:hAnsi="宋体"/>
          <w:szCs w:val="21"/>
        </w:rPr>
        <w:t>3.1.5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43F892B">
      <w:pPr>
        <w:spacing w:line="360" w:lineRule="auto"/>
        <w:ind w:firstLine="420" w:firstLineChars="200"/>
        <w:jc w:val="left"/>
        <w:rPr>
          <w:rFonts w:ascii="宋体" w:hAnsi="宋体"/>
          <w:szCs w:val="21"/>
        </w:rPr>
      </w:pPr>
      <w:r>
        <w:rPr>
          <w:rFonts w:hint="eastAsia" w:ascii="宋体" w:hAnsi="宋体"/>
          <w:szCs w:val="21"/>
        </w:rPr>
        <w:t>3.1.6按照第6.3款〔环境保护〕约定负责施工场地及其周边环境与生态的保护工作。</w:t>
      </w:r>
    </w:p>
    <w:p w14:paraId="18F9B877">
      <w:pPr>
        <w:spacing w:line="360" w:lineRule="auto"/>
        <w:ind w:firstLine="420" w:firstLineChars="200"/>
        <w:jc w:val="left"/>
        <w:rPr>
          <w:rFonts w:ascii="宋体" w:hAnsi="宋体"/>
          <w:szCs w:val="21"/>
        </w:rPr>
      </w:pPr>
      <w:r>
        <w:rPr>
          <w:rFonts w:hint="eastAsia" w:ascii="宋体" w:hAnsi="宋体"/>
          <w:szCs w:val="21"/>
        </w:rPr>
        <w:t>3.1.7按照第6.1款〔安全文明施工〕约定采取施工安全措施，确保工程及其人员、材料、设备和设施的安全，防止因工程施工造成的人身伤害和财产损失。</w:t>
      </w:r>
    </w:p>
    <w:p w14:paraId="3BB87281">
      <w:pPr>
        <w:autoSpaceDE w:val="0"/>
        <w:autoSpaceDN w:val="0"/>
        <w:spacing w:line="360" w:lineRule="auto"/>
        <w:ind w:firstLine="420" w:firstLineChars="200"/>
        <w:jc w:val="left"/>
        <w:rPr>
          <w:rFonts w:ascii="宋体" w:hAnsi="宋体"/>
          <w:szCs w:val="21"/>
        </w:rPr>
      </w:pPr>
      <w:r>
        <w:rPr>
          <w:rFonts w:hint="eastAsia" w:ascii="宋体" w:hAnsi="宋体"/>
          <w:szCs w:val="21"/>
        </w:rPr>
        <w:t>3.1.8将发包人按合同约定支付的各项价款专用于合同工程，且应及时支付其雇用人员工资，并及时向分包人支付合同价款。</w:t>
      </w:r>
    </w:p>
    <w:p w14:paraId="4DDE54AB">
      <w:pPr>
        <w:autoSpaceDE w:val="0"/>
        <w:autoSpaceDN w:val="0"/>
        <w:spacing w:line="360" w:lineRule="auto"/>
        <w:ind w:firstLine="420" w:firstLineChars="200"/>
        <w:jc w:val="left"/>
        <w:rPr>
          <w:rFonts w:ascii="宋体" w:hAnsi="宋体"/>
          <w:szCs w:val="21"/>
        </w:rPr>
      </w:pPr>
      <w:r>
        <w:rPr>
          <w:rFonts w:hint="eastAsia" w:ascii="宋体" w:hAnsi="宋体"/>
          <w:szCs w:val="21"/>
        </w:rPr>
        <w:t>3.1.9承包人提交的竣工资料的内容：</w:t>
      </w:r>
      <w:r>
        <w:rPr>
          <w:rFonts w:hint="eastAsia" w:ascii="宋体" w:hAnsi="宋体"/>
          <w:szCs w:val="21"/>
          <w:u w:val="single"/>
        </w:rPr>
        <w:t>工程施工技术资料、工程质量保证资料、工程检验评定资料、竣工图及其他应交资料，应符合《建设工程文件归档整理规范》（GB/T50328-2014）和重庆市有关文件规定</w:t>
      </w:r>
      <w:r>
        <w:rPr>
          <w:rFonts w:hint="eastAsia" w:ascii="宋体" w:hAnsi="宋体"/>
          <w:szCs w:val="21"/>
        </w:rPr>
        <w:t>。</w:t>
      </w:r>
    </w:p>
    <w:p w14:paraId="0164A36B">
      <w:pPr>
        <w:autoSpaceDE w:val="0"/>
        <w:autoSpaceDN w:val="0"/>
        <w:spacing w:line="360" w:lineRule="auto"/>
        <w:ind w:firstLine="420" w:firstLineChars="200"/>
        <w:jc w:val="left"/>
        <w:rPr>
          <w:rFonts w:ascii="宋体" w:hAnsi="宋体"/>
          <w:szCs w:val="21"/>
        </w:rPr>
      </w:pPr>
      <w:r>
        <w:rPr>
          <w:rFonts w:hint="eastAsia" w:ascii="宋体" w:hAnsi="宋体"/>
          <w:szCs w:val="21"/>
        </w:rPr>
        <w:t>承包人需要提交的竣工资料套数：完整竣工资料一式</w:t>
      </w:r>
      <w:r>
        <w:rPr>
          <w:rFonts w:hint="eastAsia" w:ascii="宋体" w:hAnsi="宋体"/>
          <w:szCs w:val="21"/>
          <w:u w:val="single"/>
        </w:rPr>
        <w:t xml:space="preserve">    </w:t>
      </w:r>
      <w:r>
        <w:rPr>
          <w:rFonts w:hint="eastAsia" w:ascii="宋体" w:hAnsi="宋体"/>
          <w:szCs w:val="21"/>
        </w:rPr>
        <w:t>套（含电子文档）。</w:t>
      </w:r>
    </w:p>
    <w:p w14:paraId="137A1222">
      <w:pPr>
        <w:spacing w:line="360" w:lineRule="auto"/>
        <w:ind w:firstLine="420" w:firstLineChars="200"/>
        <w:jc w:val="left"/>
        <w:rPr>
          <w:rFonts w:ascii="宋体" w:hAnsi="宋体"/>
          <w:szCs w:val="21"/>
        </w:rPr>
      </w:pPr>
      <w:r>
        <w:rPr>
          <w:rFonts w:hint="eastAsia" w:ascii="宋体" w:hAnsi="宋体"/>
          <w:szCs w:val="21"/>
        </w:rPr>
        <w:t>承包人提交的竣工资料的费用承担：</w:t>
      </w:r>
      <w:r>
        <w:rPr>
          <w:rFonts w:hint="eastAsia" w:ascii="宋体" w:hAnsi="宋体"/>
          <w:szCs w:val="21"/>
          <w:u w:val="single"/>
        </w:rPr>
        <w:t>由承包人承担</w:t>
      </w:r>
      <w:r>
        <w:rPr>
          <w:rFonts w:hint="eastAsia" w:ascii="宋体" w:hAnsi="宋体"/>
          <w:szCs w:val="21"/>
        </w:rPr>
        <w:t>。</w:t>
      </w:r>
    </w:p>
    <w:p w14:paraId="38C04DB5">
      <w:pPr>
        <w:spacing w:line="360" w:lineRule="auto"/>
        <w:ind w:firstLine="420" w:firstLineChars="200"/>
        <w:jc w:val="left"/>
        <w:rPr>
          <w:rFonts w:ascii="宋体" w:hAnsi="宋体"/>
          <w:szCs w:val="21"/>
        </w:rPr>
      </w:pPr>
      <w:r>
        <w:rPr>
          <w:rFonts w:hint="eastAsia" w:ascii="宋体" w:hAnsi="宋体"/>
          <w:szCs w:val="21"/>
        </w:rPr>
        <w:t>承包人提交的竣工资料移交时间：</w:t>
      </w:r>
      <w:r>
        <w:rPr>
          <w:rFonts w:hint="eastAsia" w:ascii="宋体" w:hAnsi="宋体"/>
          <w:szCs w:val="21"/>
          <w:u w:val="single"/>
        </w:rPr>
        <w:t>工程竣工验收合格后  个月内移交给发包人</w:t>
      </w:r>
      <w:r>
        <w:rPr>
          <w:rFonts w:hint="eastAsia" w:ascii="宋体" w:hAnsi="宋体"/>
          <w:szCs w:val="21"/>
        </w:rPr>
        <w:t>。</w:t>
      </w:r>
    </w:p>
    <w:p w14:paraId="450F1793">
      <w:pPr>
        <w:spacing w:line="360" w:lineRule="auto"/>
        <w:ind w:firstLine="420" w:firstLineChars="200"/>
        <w:jc w:val="left"/>
        <w:rPr>
          <w:rFonts w:ascii="宋体" w:hAnsi="宋体"/>
          <w:szCs w:val="21"/>
        </w:rPr>
      </w:pPr>
      <w:r>
        <w:rPr>
          <w:rFonts w:hint="eastAsia" w:ascii="宋体" w:hAnsi="宋体"/>
          <w:szCs w:val="21"/>
        </w:rPr>
        <w:t>承包人提交的竣工资料形式要求：</w:t>
      </w:r>
      <w:r>
        <w:rPr>
          <w:rFonts w:hint="eastAsia" w:ascii="宋体" w:hAnsi="宋体"/>
          <w:szCs w:val="21"/>
          <w:u w:val="single"/>
        </w:rPr>
        <w:t>完整的书面文件及电子文档</w:t>
      </w:r>
      <w:r>
        <w:rPr>
          <w:rFonts w:hint="eastAsia" w:ascii="宋体" w:hAnsi="宋体"/>
          <w:szCs w:val="21"/>
        </w:rPr>
        <w:t>。</w:t>
      </w:r>
    </w:p>
    <w:p w14:paraId="0359BB6B">
      <w:pPr>
        <w:spacing w:line="360" w:lineRule="auto"/>
        <w:ind w:firstLine="420" w:firstLineChars="200"/>
        <w:jc w:val="left"/>
        <w:rPr>
          <w:rFonts w:ascii="宋体" w:hAnsi="宋体"/>
          <w:szCs w:val="21"/>
        </w:rPr>
      </w:pPr>
      <w:r>
        <w:rPr>
          <w:rFonts w:hint="eastAsia" w:ascii="宋体" w:hAnsi="宋体"/>
          <w:szCs w:val="21"/>
        </w:rPr>
        <w:t>3.1.10承包人应履行的其他义务：</w:t>
      </w:r>
    </w:p>
    <w:p w14:paraId="1EDFFE99">
      <w:pPr>
        <w:spacing w:line="360" w:lineRule="auto"/>
        <w:ind w:firstLine="420" w:firstLineChars="200"/>
        <w:jc w:val="left"/>
        <w:rPr>
          <w:rFonts w:ascii="宋体" w:hAnsi="宋体"/>
          <w:szCs w:val="21"/>
        </w:rPr>
      </w:pPr>
      <w:r>
        <w:rPr>
          <w:rFonts w:hint="eastAsia" w:ascii="宋体" w:hAnsi="宋体"/>
          <w:szCs w:val="21"/>
        </w:rPr>
        <w:t>3.1.10.1在开始施工之前，承包人应核查、复测本工程的各种基准标志。承包人应及时将上述基准标志中存在的错误、不完整或其他缺陷通知发包人，以便发包人核实后重新确认。</w:t>
      </w:r>
    </w:p>
    <w:p w14:paraId="0395041D">
      <w:pPr>
        <w:spacing w:line="360" w:lineRule="auto"/>
        <w:ind w:firstLine="420" w:firstLineChars="200"/>
        <w:jc w:val="left"/>
        <w:rPr>
          <w:rFonts w:ascii="宋体" w:hAnsi="宋体"/>
          <w:szCs w:val="21"/>
        </w:rPr>
      </w:pPr>
      <w:r>
        <w:rPr>
          <w:rFonts w:hint="eastAsia" w:ascii="宋体" w:hAnsi="宋体"/>
          <w:szCs w:val="21"/>
        </w:rPr>
        <w:t>3.1.10.2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14:paraId="487D9CE7">
      <w:pPr>
        <w:spacing w:line="360" w:lineRule="auto"/>
        <w:ind w:firstLine="420" w:firstLineChars="200"/>
        <w:jc w:val="left"/>
        <w:rPr>
          <w:rFonts w:ascii="宋体" w:hAnsi="宋体"/>
          <w:szCs w:val="21"/>
        </w:rPr>
      </w:pPr>
      <w:r>
        <w:rPr>
          <w:rFonts w:hint="eastAsia" w:ascii="宋体" w:hAnsi="宋体"/>
          <w:szCs w:val="21"/>
        </w:rPr>
        <w:t>3.1.10.3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14:paraId="262445D8">
      <w:pPr>
        <w:spacing w:line="360" w:lineRule="auto"/>
        <w:ind w:firstLine="420" w:firstLineChars="200"/>
        <w:jc w:val="left"/>
        <w:rPr>
          <w:rFonts w:ascii="宋体" w:hAnsi="宋体"/>
          <w:szCs w:val="21"/>
        </w:rPr>
      </w:pPr>
      <w:r>
        <w:rPr>
          <w:rFonts w:hint="eastAsia" w:ascii="宋体" w:hAnsi="宋体"/>
          <w:szCs w:val="21"/>
        </w:rPr>
        <w:t>3.1.10.4承包人应服从发包人要求的管理模式、工作方式和工作要求，同时接受监理人、跟审单位的管理和全程监督，配合项目结、决算的办理。</w:t>
      </w:r>
    </w:p>
    <w:p w14:paraId="6F4D66A5">
      <w:pPr>
        <w:spacing w:line="360" w:lineRule="auto"/>
        <w:ind w:firstLine="420" w:firstLineChars="200"/>
        <w:jc w:val="left"/>
        <w:rPr>
          <w:rFonts w:ascii="宋体" w:hAnsi="宋体"/>
          <w:szCs w:val="21"/>
        </w:rPr>
      </w:pPr>
      <w:r>
        <w:rPr>
          <w:rFonts w:hint="eastAsia" w:ascii="宋体" w:hAnsi="宋体"/>
          <w:szCs w:val="21"/>
        </w:rPr>
        <w:t>3.1.10.5</w:t>
      </w:r>
      <w:r>
        <w:rPr>
          <w:rFonts w:hint="eastAsia" w:ascii="宋体" w:hAnsi="宋体"/>
          <w:szCs w:val="21"/>
          <w:u w:val="single"/>
        </w:rPr>
        <w:t>承包人应为本工程开立专用账户，接受发包人的监管</w:t>
      </w:r>
      <w:r>
        <w:rPr>
          <w:rFonts w:hint="eastAsia" w:ascii="宋体" w:hAnsi="宋体"/>
          <w:szCs w:val="21"/>
        </w:rPr>
        <w:t>。</w:t>
      </w:r>
    </w:p>
    <w:p w14:paraId="3D5A13A9">
      <w:pPr>
        <w:spacing w:line="360" w:lineRule="auto"/>
        <w:ind w:firstLine="420" w:firstLineChars="200"/>
        <w:jc w:val="left"/>
        <w:rPr>
          <w:rFonts w:ascii="宋体" w:hAnsi="宋体"/>
          <w:szCs w:val="21"/>
          <w:u w:val="single"/>
        </w:rPr>
      </w:pPr>
      <w:r>
        <w:rPr>
          <w:rFonts w:hint="eastAsia" w:ascii="宋体" w:hAnsi="宋体"/>
          <w:szCs w:val="21"/>
        </w:rPr>
        <w:t>3.1.10.6</w:t>
      </w:r>
      <w:r>
        <w:rPr>
          <w:rFonts w:hint="eastAsia" w:ascii="宋体" w:hAnsi="宋体"/>
          <w:szCs w:val="21"/>
          <w:u w:val="single"/>
        </w:rPr>
        <w:t xml:space="preserve">        。</w:t>
      </w:r>
    </w:p>
    <w:p w14:paraId="4601908A">
      <w:pPr>
        <w:pStyle w:val="7"/>
        <w:spacing w:before="0" w:beforeAutospacing="0" w:after="0" w:afterAutospacing="0" w:line="360" w:lineRule="auto"/>
        <w:ind w:firstLine="422" w:firstLineChars="200"/>
        <w:rPr>
          <w:sz w:val="21"/>
          <w:szCs w:val="21"/>
        </w:rPr>
      </w:pPr>
      <w:bookmarkStart w:id="1091" w:name="_Toc532377336"/>
      <w:r>
        <w:rPr>
          <w:rFonts w:hint="eastAsia"/>
          <w:sz w:val="21"/>
          <w:szCs w:val="21"/>
        </w:rPr>
        <w:t>3.2 项目经理</w:t>
      </w:r>
      <w:bookmarkEnd w:id="1091"/>
    </w:p>
    <w:p w14:paraId="508542BF">
      <w:pPr>
        <w:spacing w:line="360" w:lineRule="auto"/>
        <w:ind w:firstLine="420" w:firstLineChars="200"/>
        <w:jc w:val="left"/>
        <w:rPr>
          <w:rFonts w:ascii="宋体" w:hAnsi="宋体"/>
          <w:szCs w:val="21"/>
        </w:rPr>
      </w:pPr>
      <w:r>
        <w:rPr>
          <w:rFonts w:hint="eastAsia" w:ascii="宋体" w:hAnsi="宋体"/>
          <w:kern w:val="0"/>
          <w:szCs w:val="21"/>
        </w:rPr>
        <w:t xml:space="preserve">3.2.1 </w:t>
      </w:r>
      <w:r>
        <w:rPr>
          <w:rFonts w:hint="eastAsia" w:ascii="宋体" w:hAnsi="宋体"/>
          <w:szCs w:val="21"/>
        </w:rPr>
        <w:t>项目经理：</w:t>
      </w:r>
    </w:p>
    <w:p w14:paraId="27A55E79">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46F526AF">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 </w:t>
      </w:r>
      <w:r>
        <w:rPr>
          <w:rFonts w:hint="eastAsia" w:ascii="宋体" w:hAnsi="宋体"/>
          <w:szCs w:val="21"/>
        </w:rPr>
        <w:t>；</w:t>
      </w:r>
    </w:p>
    <w:p w14:paraId="0A706C72">
      <w:pPr>
        <w:spacing w:line="360" w:lineRule="auto"/>
        <w:ind w:firstLine="420" w:firstLineChars="200"/>
        <w:jc w:val="left"/>
        <w:rPr>
          <w:rFonts w:ascii="宋体" w:hAnsi="宋体"/>
          <w:szCs w:val="21"/>
        </w:rPr>
      </w:pPr>
      <w:r>
        <w:rPr>
          <w:rFonts w:hint="eastAsia" w:ascii="宋体" w:hAnsi="宋体"/>
          <w:szCs w:val="21"/>
        </w:rPr>
        <w:t>建造师执业资格等级：</w:t>
      </w: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14:paraId="53135805">
      <w:pPr>
        <w:spacing w:line="360" w:lineRule="auto"/>
        <w:ind w:firstLine="420" w:firstLineChars="200"/>
        <w:jc w:val="left"/>
        <w:rPr>
          <w:rFonts w:ascii="宋体" w:hAnsi="宋体"/>
          <w:szCs w:val="21"/>
        </w:rPr>
      </w:pPr>
      <w:r>
        <w:rPr>
          <w:rFonts w:hint="eastAsia" w:ascii="宋体" w:hAnsi="宋体"/>
          <w:szCs w:val="21"/>
        </w:rPr>
        <w:t>建造师注册证书号：</w:t>
      </w:r>
      <w:r>
        <w:rPr>
          <w:rFonts w:ascii="宋体" w:hAnsi="宋体"/>
          <w:szCs w:val="21"/>
          <w:u w:val="single"/>
        </w:rPr>
        <w:t>       </w:t>
      </w:r>
      <w:r>
        <w:rPr>
          <w:rFonts w:hint="eastAsia" w:ascii="宋体" w:hAnsi="宋体"/>
          <w:szCs w:val="21"/>
        </w:rPr>
        <w:t>；</w:t>
      </w:r>
    </w:p>
    <w:p w14:paraId="228AE65D">
      <w:pPr>
        <w:spacing w:line="360" w:lineRule="auto"/>
        <w:ind w:firstLine="420" w:firstLineChars="200"/>
        <w:jc w:val="left"/>
        <w:rPr>
          <w:rFonts w:ascii="宋体" w:hAnsi="宋体"/>
          <w:szCs w:val="21"/>
        </w:rPr>
      </w:pPr>
      <w:r>
        <w:rPr>
          <w:rFonts w:hint="eastAsia" w:ascii="宋体" w:hAnsi="宋体"/>
          <w:szCs w:val="21"/>
        </w:rPr>
        <w:t>建造师执业印章号：</w:t>
      </w:r>
      <w:r>
        <w:rPr>
          <w:rFonts w:ascii="宋体" w:hAnsi="宋体"/>
          <w:szCs w:val="21"/>
          <w:u w:val="single"/>
        </w:rPr>
        <w:t>                     </w:t>
      </w:r>
      <w:r>
        <w:rPr>
          <w:rFonts w:hint="eastAsia" w:ascii="宋体" w:hAnsi="宋体"/>
          <w:szCs w:val="21"/>
        </w:rPr>
        <w:t>；</w:t>
      </w:r>
    </w:p>
    <w:p w14:paraId="1C9BE25A">
      <w:pPr>
        <w:spacing w:line="360" w:lineRule="auto"/>
        <w:ind w:firstLine="420" w:firstLineChars="200"/>
        <w:jc w:val="left"/>
        <w:rPr>
          <w:rFonts w:ascii="宋体" w:hAnsi="宋体"/>
          <w:szCs w:val="21"/>
        </w:rPr>
      </w:pPr>
      <w:r>
        <w:rPr>
          <w:rFonts w:hint="eastAsia" w:ascii="宋体" w:hAnsi="宋体"/>
          <w:szCs w:val="21"/>
        </w:rPr>
        <w:t>安全生产考核合格证书号：</w:t>
      </w:r>
      <w:r>
        <w:rPr>
          <w:rFonts w:ascii="宋体" w:hAnsi="宋体"/>
          <w:szCs w:val="21"/>
          <w:u w:val="single"/>
        </w:rPr>
        <w:t>           </w:t>
      </w:r>
      <w:r>
        <w:rPr>
          <w:rFonts w:hint="eastAsia" w:ascii="宋体" w:hAnsi="宋体"/>
          <w:szCs w:val="21"/>
        </w:rPr>
        <w:t>；</w:t>
      </w:r>
    </w:p>
    <w:p w14:paraId="1EC7A20A">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       </w:t>
      </w:r>
      <w:r>
        <w:rPr>
          <w:rFonts w:hint="eastAsia" w:ascii="宋体" w:hAnsi="宋体"/>
          <w:szCs w:val="21"/>
        </w:rPr>
        <w:t>。</w:t>
      </w:r>
    </w:p>
    <w:p w14:paraId="5D1160EE">
      <w:pPr>
        <w:spacing w:line="360" w:lineRule="auto"/>
        <w:ind w:firstLine="420" w:firstLineChars="200"/>
        <w:jc w:val="left"/>
        <w:rPr>
          <w:rFonts w:ascii="宋体" w:hAnsi="宋体"/>
          <w:szCs w:val="21"/>
        </w:rPr>
      </w:pPr>
      <w:r>
        <w:rPr>
          <w:rFonts w:hint="eastAsia" w:ascii="宋体" w:hAnsi="宋体"/>
          <w:szCs w:val="21"/>
        </w:rPr>
        <w:t>承包人对项目经理的授权范围如下：</w:t>
      </w:r>
      <w:r>
        <w:rPr>
          <w:rFonts w:hint="eastAsia" w:ascii="宋体" w:hAnsi="宋体"/>
          <w:szCs w:val="21"/>
          <w:u w:val="single"/>
        </w:rPr>
        <w:t>严格按设计图纸、现行国家施工规范及验收规范组织施工，保证工程质量、进度、安全；及时向监理人、发包人报告现场情况（以承包人书面授权范围为准）</w:t>
      </w:r>
      <w:r>
        <w:rPr>
          <w:rFonts w:hint="eastAsia" w:ascii="宋体" w:hAnsi="宋体"/>
          <w:szCs w:val="21"/>
        </w:rPr>
        <w:t>。</w:t>
      </w:r>
    </w:p>
    <w:p w14:paraId="2FEFD89C">
      <w:pPr>
        <w:spacing w:line="360" w:lineRule="auto"/>
        <w:ind w:firstLine="420" w:firstLineChars="200"/>
        <w:jc w:val="left"/>
        <w:rPr>
          <w:rFonts w:ascii="宋体" w:hAnsi="宋体"/>
          <w:szCs w:val="21"/>
        </w:rPr>
      </w:pPr>
      <w:r>
        <w:rPr>
          <w:rFonts w:hint="eastAsia" w:ascii="宋体" w:hAnsi="宋体"/>
          <w:szCs w:val="21"/>
        </w:rPr>
        <w:t>关于项目经理每月在施工现场的时间要求：</w:t>
      </w:r>
      <w:r>
        <w:rPr>
          <w:rFonts w:hint="eastAsia" w:ascii="宋体" w:hAnsi="宋体"/>
          <w:szCs w:val="21"/>
          <w:u w:val="single"/>
        </w:rPr>
        <w:t>不少于22天，由监理人负责项目经理的考勤</w:t>
      </w:r>
      <w:r>
        <w:rPr>
          <w:rFonts w:hint="eastAsia" w:ascii="宋体" w:hAnsi="宋体"/>
          <w:szCs w:val="21"/>
        </w:rPr>
        <w:t>。</w:t>
      </w:r>
    </w:p>
    <w:p w14:paraId="618C959B">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承包人应在合同签订后7天内提交与项目经理签订的劳动合同及为项目经理缴纳社会保险的证明，承包人未在限期内提交的，项目经理无权履行职责，发包人有权要求更换项目经理</w:t>
      </w:r>
      <w:r>
        <w:rPr>
          <w:rFonts w:hint="eastAsia" w:ascii="宋体" w:hAnsi="宋体"/>
          <w:szCs w:val="21"/>
        </w:rPr>
        <w:t>。</w:t>
      </w:r>
    </w:p>
    <w:p w14:paraId="2C382389">
      <w:pPr>
        <w:spacing w:line="360" w:lineRule="auto"/>
        <w:ind w:firstLine="420" w:firstLineChars="200"/>
        <w:jc w:val="left"/>
        <w:rPr>
          <w:rFonts w:ascii="宋体" w:hAnsi="宋体"/>
          <w:szCs w:val="21"/>
        </w:rPr>
      </w:pPr>
      <w:r>
        <w:rPr>
          <w:rFonts w:hint="eastAsia" w:ascii="宋体" w:hAnsi="宋体"/>
          <w:szCs w:val="21"/>
        </w:rPr>
        <w:t>3.2.2 技术负责人</w:t>
      </w:r>
    </w:p>
    <w:p w14:paraId="1E7404FE">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034ECD89">
      <w:pPr>
        <w:spacing w:line="360" w:lineRule="auto"/>
        <w:ind w:firstLine="420" w:firstLineChars="200"/>
        <w:jc w:val="left"/>
        <w:rPr>
          <w:rFonts w:ascii="宋体" w:hAnsi="宋体"/>
          <w:szCs w:val="21"/>
        </w:rPr>
      </w:pPr>
      <w:r>
        <w:rPr>
          <w:rFonts w:hint="eastAsia" w:ascii="宋体" w:hAnsi="宋体"/>
          <w:szCs w:val="21"/>
        </w:rPr>
        <w:t>身份证号：</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1E1242D6">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3C93D5E6">
      <w:pPr>
        <w:spacing w:line="360" w:lineRule="auto"/>
        <w:ind w:firstLine="420" w:firstLineChars="200"/>
        <w:jc w:val="left"/>
        <w:rPr>
          <w:rFonts w:ascii="宋体" w:hAnsi="宋体"/>
          <w:szCs w:val="21"/>
        </w:rPr>
      </w:pPr>
      <w:r>
        <w:rPr>
          <w:rFonts w:hint="eastAsia" w:ascii="宋体" w:hAnsi="宋体"/>
          <w:szCs w:val="21"/>
        </w:rPr>
        <w:t>专     业：</w:t>
      </w:r>
      <w:r>
        <w:rPr>
          <w:rFonts w:ascii="宋体" w:hAnsi="宋体"/>
          <w:szCs w:val="21"/>
          <w:u w:val="single"/>
        </w:rPr>
        <w:t xml:space="preserve">                          </w:t>
      </w:r>
      <w:r>
        <w:rPr>
          <w:rFonts w:hint="eastAsia" w:ascii="宋体" w:hAnsi="宋体"/>
          <w:szCs w:val="21"/>
          <w:u w:val="single"/>
        </w:rPr>
        <w:t xml:space="preserve"> </w:t>
      </w:r>
      <w:r>
        <w:rPr>
          <w:rFonts w:hint="eastAsia" w:ascii="宋体" w:hAnsi="宋体"/>
          <w:szCs w:val="21"/>
        </w:rPr>
        <w:t>；</w:t>
      </w:r>
    </w:p>
    <w:p w14:paraId="7386D07B">
      <w:pPr>
        <w:spacing w:line="360" w:lineRule="auto"/>
        <w:ind w:firstLine="420" w:firstLineChars="200"/>
        <w:jc w:val="left"/>
        <w:rPr>
          <w:rFonts w:ascii="宋体" w:hAnsi="宋体"/>
          <w:szCs w:val="21"/>
        </w:rPr>
      </w:pPr>
      <w:r>
        <w:rPr>
          <w:rFonts w:hint="eastAsia" w:ascii="宋体" w:hAnsi="宋体"/>
          <w:szCs w:val="21"/>
        </w:rPr>
        <w:t>证书名称及号码：</w:t>
      </w:r>
      <w:r>
        <w:rPr>
          <w:rFonts w:ascii="宋体" w:hAnsi="宋体"/>
          <w:szCs w:val="21"/>
          <w:u w:val="single"/>
        </w:rPr>
        <w:t xml:space="preserve">                         </w:t>
      </w:r>
      <w:r>
        <w:rPr>
          <w:rFonts w:hint="eastAsia" w:ascii="宋体" w:hAnsi="宋体"/>
          <w:szCs w:val="21"/>
        </w:rPr>
        <w:t>；</w:t>
      </w:r>
    </w:p>
    <w:p w14:paraId="2B9ED8C9">
      <w:pPr>
        <w:pStyle w:val="2"/>
        <w:spacing w:after="0" w:line="360" w:lineRule="auto"/>
        <w:rPr>
          <w:rFonts w:ascii="宋体" w:hAnsi="宋体"/>
          <w:szCs w:val="21"/>
        </w:rPr>
      </w:pPr>
      <w:r>
        <w:rPr>
          <w:rFonts w:hint="eastAsia" w:ascii="宋体" w:hAnsi="宋体"/>
          <w:szCs w:val="21"/>
        </w:rPr>
        <w:t xml:space="preserve">    </w:t>
      </w:r>
      <w:r>
        <w:rPr>
          <w:rFonts w:ascii="宋体" w:hAnsi="宋体"/>
          <w:szCs w:val="21"/>
        </w:rPr>
        <w:t>联系方式：</w:t>
      </w:r>
      <w:r>
        <w:rPr>
          <w:rFonts w:ascii="宋体" w:hAnsi="宋体"/>
          <w:szCs w:val="21"/>
          <w:u w:val="single"/>
        </w:rPr>
        <w:t xml:space="preserve">         </w:t>
      </w:r>
      <w:r>
        <w:rPr>
          <w:rFonts w:hint="eastAsia" w:ascii="宋体" w:hAnsi="宋体"/>
          <w:szCs w:val="21"/>
        </w:rPr>
        <w:t>。</w:t>
      </w:r>
    </w:p>
    <w:p w14:paraId="5FE4A7EB">
      <w:pPr>
        <w:spacing w:line="360" w:lineRule="auto"/>
        <w:ind w:firstLine="420" w:firstLineChars="200"/>
        <w:jc w:val="left"/>
        <w:rPr>
          <w:rFonts w:ascii="宋体" w:hAnsi="宋体"/>
          <w:szCs w:val="21"/>
        </w:rPr>
      </w:pPr>
      <w:r>
        <w:rPr>
          <w:rFonts w:hint="eastAsia" w:ascii="宋体" w:hAnsi="宋体"/>
          <w:kern w:val="0"/>
          <w:szCs w:val="21"/>
        </w:rPr>
        <w:t>关于技</w:t>
      </w:r>
      <w:r>
        <w:rPr>
          <w:rFonts w:hint="eastAsia" w:ascii="宋体" w:hAnsi="宋体"/>
          <w:szCs w:val="21"/>
        </w:rPr>
        <w:t>术负责人每月在施工现场的时间要求：</w:t>
      </w:r>
      <w:r>
        <w:rPr>
          <w:rFonts w:hint="eastAsia" w:ascii="宋体" w:hAnsi="宋体"/>
          <w:szCs w:val="21"/>
          <w:u w:val="single"/>
        </w:rPr>
        <w:t>不少于22天，由监理人负责技术负责人的考勤</w:t>
      </w:r>
      <w:r>
        <w:rPr>
          <w:rFonts w:hint="eastAsia" w:ascii="宋体" w:hAnsi="宋体"/>
          <w:szCs w:val="21"/>
        </w:rPr>
        <w:t>。</w:t>
      </w:r>
    </w:p>
    <w:p w14:paraId="791D69D5">
      <w:pPr>
        <w:spacing w:line="360" w:lineRule="auto"/>
        <w:ind w:firstLine="420" w:firstLineChars="200"/>
        <w:jc w:val="left"/>
        <w:rPr>
          <w:rFonts w:ascii="宋体" w:hAnsi="宋体"/>
          <w:szCs w:val="21"/>
        </w:rPr>
      </w:pPr>
      <w:r>
        <w:rPr>
          <w:rFonts w:hint="eastAsia" w:ascii="宋体" w:hAnsi="宋体"/>
          <w:szCs w:val="21"/>
          <w:u w:val="single"/>
        </w:rPr>
        <w:t>承包人应在合同签订后7天内提交与技术负责人签订的劳动合同及为技术负责人缴纳社会保险的证明，承包人未在限期内提交的，技术负责人无权履行职责，发包人有权要求更换技术负责人</w:t>
      </w:r>
      <w:r>
        <w:rPr>
          <w:rFonts w:hint="eastAsia" w:ascii="宋体" w:hAnsi="宋体"/>
          <w:szCs w:val="21"/>
        </w:rPr>
        <w:t>。</w:t>
      </w:r>
      <w:bookmarkStart w:id="1092" w:name="_Hlk528927599"/>
    </w:p>
    <w:bookmarkEnd w:id="1092"/>
    <w:p w14:paraId="47455E7C">
      <w:pPr>
        <w:spacing w:line="360" w:lineRule="auto"/>
        <w:ind w:firstLine="420" w:firstLineChars="200"/>
        <w:jc w:val="left"/>
        <w:rPr>
          <w:rFonts w:ascii="宋体" w:hAnsi="宋体"/>
          <w:szCs w:val="21"/>
        </w:rPr>
      </w:pPr>
      <w:bookmarkStart w:id="1093" w:name="_Hlk528927718"/>
      <w:r>
        <w:rPr>
          <w:rFonts w:hint="eastAsia" w:ascii="宋体" w:hAnsi="宋体"/>
          <w:szCs w:val="21"/>
        </w:rPr>
        <w:t>3.2.3 发包人有权书面通知承包人更换其认为不称职/不履职的项目经理和（或）技术负责人，通知中应当载明要求更换的理由。承包人应在接到更换通知后7天内向发包人提出书面的改进报告。发包人收到改进报告后仍要求更换的，承包人应在接到第二次更换通知的14天内进行更换，并将新任命的项目经理和（或）技术负责人的注册执业资格、职称证书、管理经验等资料书面报送发包人审核批准。继任项目经理和（或）技术负责人继续履行合同约定的职责。</w:t>
      </w:r>
      <w:bookmarkEnd w:id="1093"/>
    </w:p>
    <w:p w14:paraId="2BCBCBC7">
      <w:pPr>
        <w:spacing w:line="360" w:lineRule="auto"/>
        <w:ind w:firstLine="420" w:firstLineChars="200"/>
        <w:jc w:val="left"/>
        <w:rPr>
          <w:rFonts w:ascii="宋体" w:hAnsi="宋体"/>
          <w:szCs w:val="21"/>
        </w:rPr>
      </w:pPr>
      <w:r>
        <w:rPr>
          <w:rFonts w:hint="eastAsia" w:ascii="宋体" w:hAnsi="宋体"/>
          <w:szCs w:val="21"/>
        </w:rPr>
        <w:t>若项目经理和技术负责人出现下列情形需更换的，承包人按通用条款第3.2.3项的规定向发包人发出通知，经发包人领导班子集体决策同意后予以批准，并将变更信息推送给行业主管部门：</w:t>
      </w:r>
    </w:p>
    <w:p w14:paraId="29C8B600">
      <w:pPr>
        <w:spacing w:line="360" w:lineRule="auto"/>
        <w:ind w:firstLine="420" w:firstLineChars="200"/>
        <w:jc w:val="left"/>
        <w:rPr>
          <w:rFonts w:ascii="宋体" w:hAnsi="宋体"/>
          <w:szCs w:val="21"/>
        </w:rPr>
      </w:pPr>
      <w:r>
        <w:rPr>
          <w:rFonts w:hint="eastAsia" w:ascii="宋体" w:hAnsi="宋体"/>
          <w:szCs w:val="21"/>
        </w:rPr>
        <w:t>1、死亡；</w:t>
      </w:r>
    </w:p>
    <w:p w14:paraId="3C5767D9">
      <w:pPr>
        <w:spacing w:line="360" w:lineRule="auto"/>
        <w:ind w:firstLine="420" w:firstLineChars="200"/>
        <w:jc w:val="left"/>
        <w:rPr>
          <w:rFonts w:ascii="宋体" w:hAnsi="宋体"/>
          <w:szCs w:val="21"/>
        </w:rPr>
      </w:pPr>
      <w:r>
        <w:rPr>
          <w:rFonts w:hint="eastAsia" w:ascii="宋体" w:hAnsi="宋体"/>
          <w:szCs w:val="21"/>
        </w:rPr>
        <w:t>2、非承包人原因导致工期延长，而致使项目经理和技术负责人达到法定退休年龄且确需退休；</w:t>
      </w:r>
    </w:p>
    <w:p w14:paraId="690BBCE2">
      <w:pPr>
        <w:spacing w:line="360" w:lineRule="auto"/>
        <w:ind w:firstLine="420" w:firstLineChars="200"/>
        <w:jc w:val="left"/>
        <w:rPr>
          <w:rFonts w:ascii="宋体" w:hAnsi="宋体"/>
          <w:szCs w:val="21"/>
        </w:rPr>
      </w:pPr>
      <w:r>
        <w:rPr>
          <w:rFonts w:hint="eastAsia" w:ascii="宋体" w:hAnsi="宋体"/>
          <w:szCs w:val="21"/>
        </w:rPr>
        <w:t>3、按《职工非因工伤残或因病丧失劳动能力程度鉴定标准（试行）》规定鉴定为完全丧失劳动能力和大部分丧失劳动能力；</w:t>
      </w:r>
    </w:p>
    <w:p w14:paraId="184EC52D">
      <w:pPr>
        <w:spacing w:line="360" w:lineRule="auto"/>
        <w:ind w:firstLine="420" w:firstLineChars="200"/>
        <w:jc w:val="left"/>
        <w:rPr>
          <w:rFonts w:ascii="宋体" w:hAnsi="宋体"/>
          <w:szCs w:val="21"/>
        </w:rPr>
      </w:pPr>
      <w:r>
        <w:rPr>
          <w:rFonts w:hint="eastAsia" w:ascii="宋体" w:hAnsi="宋体"/>
          <w:szCs w:val="21"/>
        </w:rPr>
        <w:t>4、非承包人原因导致中标3个月不能开工；</w:t>
      </w:r>
    </w:p>
    <w:p w14:paraId="60D5A8C0">
      <w:pPr>
        <w:spacing w:line="360" w:lineRule="auto"/>
        <w:ind w:firstLine="420" w:firstLineChars="200"/>
        <w:jc w:val="left"/>
        <w:rPr>
          <w:rFonts w:ascii="宋体" w:hAnsi="宋体"/>
          <w:szCs w:val="21"/>
        </w:rPr>
      </w:pPr>
      <w:r>
        <w:rPr>
          <w:rFonts w:hint="eastAsia" w:ascii="宋体" w:hAnsi="宋体"/>
          <w:szCs w:val="21"/>
        </w:rPr>
        <w:t>5、被公安或者司法机关限制人身自由；</w:t>
      </w:r>
    </w:p>
    <w:p w14:paraId="78262B04">
      <w:pPr>
        <w:spacing w:line="360" w:lineRule="auto"/>
        <w:ind w:firstLine="420" w:firstLineChars="200"/>
        <w:jc w:val="left"/>
        <w:rPr>
          <w:rFonts w:ascii="宋体" w:hAnsi="宋体"/>
          <w:szCs w:val="21"/>
        </w:rPr>
      </w:pPr>
      <w:r>
        <w:rPr>
          <w:rFonts w:hint="eastAsia" w:ascii="宋体" w:hAnsi="宋体"/>
          <w:szCs w:val="21"/>
        </w:rPr>
        <w:t>6、被取消职称或者执业资格，不满足项目管理要求；</w:t>
      </w:r>
    </w:p>
    <w:p w14:paraId="082A5E73">
      <w:pPr>
        <w:spacing w:line="360" w:lineRule="auto"/>
        <w:ind w:firstLine="420" w:firstLineChars="200"/>
        <w:jc w:val="left"/>
        <w:rPr>
          <w:rFonts w:ascii="宋体" w:hAnsi="宋体"/>
          <w:szCs w:val="21"/>
        </w:rPr>
      </w:pPr>
      <w:r>
        <w:rPr>
          <w:rFonts w:hint="eastAsia" w:ascii="宋体" w:hAnsi="宋体"/>
          <w:szCs w:val="21"/>
        </w:rPr>
        <w:t>7、非承包人原因导致确需变更的其它情形。</w:t>
      </w:r>
    </w:p>
    <w:p w14:paraId="3195BBBE">
      <w:pPr>
        <w:spacing w:line="360" w:lineRule="auto"/>
        <w:ind w:firstLine="420" w:firstLineChars="200"/>
        <w:jc w:val="left"/>
        <w:rPr>
          <w:rFonts w:ascii="宋体" w:hAnsi="宋体"/>
          <w:szCs w:val="21"/>
        </w:rPr>
      </w:pPr>
      <w:r>
        <w:rPr>
          <w:rFonts w:hint="eastAsia" w:ascii="宋体" w:hAnsi="宋体"/>
          <w:szCs w:val="21"/>
        </w:rPr>
        <w:t>本款补充3.2.6项</w:t>
      </w:r>
    </w:p>
    <w:p w14:paraId="0AAA9B6B">
      <w:pPr>
        <w:spacing w:line="360" w:lineRule="auto"/>
        <w:ind w:firstLine="420" w:firstLineChars="200"/>
        <w:jc w:val="left"/>
        <w:rPr>
          <w:rFonts w:ascii="宋体" w:hAnsi="宋体"/>
          <w:szCs w:val="21"/>
        </w:rPr>
      </w:pPr>
      <w:r>
        <w:rPr>
          <w:rFonts w:hint="eastAsia" w:ascii="宋体" w:hAnsi="宋体"/>
          <w:szCs w:val="21"/>
        </w:rPr>
        <w:t>3.2.6 国有资金投资项目其他主要人员变更参照《重庆市政府投资项目合同变更管理暂行办法》的规定。</w:t>
      </w:r>
    </w:p>
    <w:p w14:paraId="15331D33">
      <w:pPr>
        <w:pStyle w:val="7"/>
        <w:spacing w:before="0" w:beforeAutospacing="0" w:after="0" w:afterAutospacing="0" w:line="360" w:lineRule="auto"/>
        <w:ind w:firstLine="422" w:firstLineChars="200"/>
        <w:rPr>
          <w:sz w:val="21"/>
          <w:szCs w:val="21"/>
        </w:rPr>
      </w:pPr>
      <w:bookmarkStart w:id="1094" w:name="_Toc532377337"/>
      <w:r>
        <w:rPr>
          <w:rFonts w:hint="eastAsia"/>
          <w:sz w:val="21"/>
          <w:szCs w:val="21"/>
        </w:rPr>
        <w:t>3.3 承包人人员</w:t>
      </w:r>
      <w:bookmarkEnd w:id="1094"/>
    </w:p>
    <w:p w14:paraId="52A60FD5">
      <w:pPr>
        <w:spacing w:line="360" w:lineRule="auto"/>
        <w:ind w:firstLine="420" w:firstLineChars="200"/>
        <w:jc w:val="left"/>
        <w:rPr>
          <w:rFonts w:ascii="宋体" w:hAnsi="宋体"/>
          <w:szCs w:val="21"/>
        </w:rPr>
      </w:pPr>
      <w:r>
        <w:rPr>
          <w:rFonts w:hint="eastAsia" w:ascii="宋体" w:hAnsi="宋体"/>
          <w:szCs w:val="21"/>
        </w:rPr>
        <w:t>3.3.1 承包人应按建设行政主管部门现行规定配备现场施工从业人员，具体要求如下：</w:t>
      </w:r>
      <w:r>
        <w:rPr>
          <w:rFonts w:hint="eastAsia" w:ascii="宋体" w:hAnsi="宋体"/>
          <w:szCs w:val="21"/>
          <w:u w:val="single"/>
        </w:rPr>
        <w:t xml:space="preserve">        </w:t>
      </w:r>
    </w:p>
    <w:p w14:paraId="1E405657">
      <w:pPr>
        <w:spacing w:line="360" w:lineRule="auto"/>
        <w:ind w:firstLine="420" w:firstLineChars="200"/>
        <w:jc w:val="left"/>
        <w:rPr>
          <w:rFonts w:ascii="宋体" w:hAnsi="宋体"/>
          <w:szCs w:val="21"/>
        </w:rPr>
      </w:pPr>
      <w:r>
        <w:rPr>
          <w:rFonts w:hint="eastAsia" w:ascii="宋体" w:hAnsi="宋体"/>
          <w:szCs w:val="21"/>
        </w:rPr>
        <w:t>3.3.2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14:paraId="149EA4FA">
      <w:pPr>
        <w:spacing w:line="360" w:lineRule="auto"/>
        <w:ind w:firstLine="420" w:firstLineChars="200"/>
        <w:jc w:val="left"/>
        <w:rPr>
          <w:rFonts w:ascii="宋体" w:hAnsi="宋体"/>
          <w:szCs w:val="21"/>
        </w:rPr>
      </w:pPr>
      <w:r>
        <w:rPr>
          <w:rFonts w:hint="eastAsia" w:ascii="宋体" w:hAnsi="宋体"/>
          <w:szCs w:val="21"/>
        </w:rPr>
        <w:t>3.3.3 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审核批准。</w:t>
      </w:r>
    </w:p>
    <w:p w14:paraId="2150563A">
      <w:pPr>
        <w:spacing w:line="360" w:lineRule="auto"/>
        <w:ind w:firstLine="420" w:firstLineChars="200"/>
        <w:jc w:val="left"/>
        <w:rPr>
          <w:rFonts w:ascii="宋体" w:hAnsi="宋体"/>
          <w:szCs w:val="21"/>
        </w:rPr>
      </w:pPr>
      <w:r>
        <w:rPr>
          <w:rFonts w:hint="eastAsia" w:ascii="宋体" w:hAnsi="宋体"/>
          <w:szCs w:val="21"/>
        </w:rPr>
        <w:t>3.3.4 承包人主要施工管理人员离开施工现场，指定的临时人员需满足：</w:t>
      </w:r>
      <w:r>
        <w:rPr>
          <w:rFonts w:hint="eastAsia" w:ascii="宋体" w:hAnsi="宋体"/>
          <w:szCs w:val="21"/>
          <w:u w:val="single"/>
        </w:rPr>
        <w:t>《重庆市房屋建筑与市政基础设施工程现场施工从业人员配备标准》（DBJ50-157-2013）的相应要求</w:t>
      </w:r>
      <w:r>
        <w:rPr>
          <w:rFonts w:hint="eastAsia" w:ascii="宋体" w:hAnsi="宋体"/>
          <w:szCs w:val="21"/>
        </w:rPr>
        <w:t>。</w:t>
      </w:r>
    </w:p>
    <w:p w14:paraId="05E64CFB">
      <w:pPr>
        <w:pStyle w:val="7"/>
        <w:spacing w:before="0" w:beforeAutospacing="0" w:after="0" w:afterAutospacing="0" w:line="360" w:lineRule="auto"/>
        <w:ind w:firstLine="422" w:firstLineChars="200"/>
        <w:rPr>
          <w:sz w:val="21"/>
          <w:szCs w:val="21"/>
        </w:rPr>
      </w:pPr>
      <w:bookmarkStart w:id="1095" w:name="_Toc532377338"/>
      <w:r>
        <w:rPr>
          <w:rFonts w:hint="eastAsia"/>
          <w:sz w:val="21"/>
          <w:szCs w:val="21"/>
        </w:rPr>
        <w:t>3</w:t>
      </w:r>
      <w:bookmarkStart w:id="1096" w:name="_Toc292559869"/>
      <w:bookmarkStart w:id="1097" w:name="_Toc296944498"/>
      <w:bookmarkStart w:id="1098" w:name="_Toc296346660"/>
      <w:bookmarkStart w:id="1099" w:name="_Toc296347158"/>
      <w:bookmarkStart w:id="1100" w:name="_Toc297123492"/>
      <w:bookmarkStart w:id="1101" w:name="_Toc304295523"/>
      <w:bookmarkStart w:id="1102" w:name="_Toc296503159"/>
      <w:bookmarkStart w:id="1103" w:name="_Toc292559364"/>
      <w:bookmarkStart w:id="1104" w:name="_Toc300934945"/>
      <w:bookmarkStart w:id="1105" w:name="_Toc297120459"/>
      <w:bookmarkStart w:id="1106" w:name="_Toc297048345"/>
      <w:bookmarkStart w:id="1107" w:name="_Toc312677988"/>
      <w:bookmarkStart w:id="1108" w:name="_Toc296891199"/>
      <w:bookmarkStart w:id="1109" w:name="_Toc297216151"/>
      <w:bookmarkStart w:id="1110" w:name="_Toc303539102"/>
      <w:bookmarkStart w:id="1111" w:name="_Toc296890987"/>
      <w:r>
        <w:rPr>
          <w:rFonts w:hint="eastAsia"/>
          <w:sz w:val="21"/>
          <w:szCs w:val="21"/>
        </w:rPr>
        <w:t>.5 分包</w:t>
      </w:r>
      <w:bookmarkEnd w:id="1095"/>
    </w:p>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14:paraId="27B88ED1">
      <w:pPr>
        <w:spacing w:line="360" w:lineRule="auto"/>
        <w:ind w:firstLine="420" w:firstLineChars="200"/>
        <w:jc w:val="left"/>
        <w:rPr>
          <w:rFonts w:ascii="宋体" w:hAnsi="宋体"/>
          <w:szCs w:val="21"/>
        </w:rPr>
      </w:pPr>
      <w:r>
        <w:rPr>
          <w:rFonts w:hint="eastAsia" w:ascii="宋体" w:hAnsi="宋体"/>
          <w:szCs w:val="21"/>
        </w:rPr>
        <w:t>3</w:t>
      </w:r>
      <w:bookmarkStart w:id="1112" w:name="_Toc318581158"/>
      <w:bookmarkStart w:id="1113" w:name="_Toc297120460"/>
      <w:bookmarkStart w:id="1114" w:name="_Toc296944499"/>
      <w:bookmarkStart w:id="1115" w:name="_Toc296346661"/>
      <w:bookmarkStart w:id="1116" w:name="_Toc292559870"/>
      <w:bookmarkStart w:id="1117" w:name="_Toc312677989"/>
      <w:bookmarkStart w:id="1118" w:name="_Toc297048346"/>
      <w:bookmarkStart w:id="1119" w:name="_Toc303539103"/>
      <w:bookmarkStart w:id="1120" w:name="_Toc296503160"/>
      <w:bookmarkStart w:id="1121" w:name="_Toc297123493"/>
      <w:bookmarkStart w:id="1122" w:name="_Toc296890988"/>
      <w:bookmarkStart w:id="1123" w:name="_Toc297216152"/>
      <w:bookmarkStart w:id="1124" w:name="_Toc300934946"/>
      <w:bookmarkStart w:id="1125" w:name="_Toc304295524"/>
      <w:bookmarkStart w:id="1126" w:name="_Toc292559365"/>
      <w:bookmarkStart w:id="1127" w:name="_Toc296891200"/>
      <w:bookmarkStart w:id="1128" w:name="_Toc296347159"/>
      <w:r>
        <w:rPr>
          <w:rFonts w:hint="eastAsia" w:ascii="宋体" w:hAnsi="宋体"/>
          <w:szCs w:val="21"/>
        </w:rPr>
        <w:t>.5.1 分包的一般约定</w:t>
      </w:r>
    </w:p>
    <w:p w14:paraId="699DC285">
      <w:pPr>
        <w:spacing w:line="360" w:lineRule="auto"/>
        <w:ind w:firstLine="420" w:firstLineChars="200"/>
        <w:jc w:val="left"/>
        <w:rPr>
          <w:rFonts w:ascii="宋体" w:hAnsi="宋体"/>
          <w:szCs w:val="21"/>
        </w:rPr>
      </w:pPr>
      <w:r>
        <w:rPr>
          <w:rFonts w:hint="eastAsia" w:ascii="宋体" w:hAnsi="宋体"/>
          <w:szCs w:val="21"/>
        </w:rPr>
        <w:t>禁止分包的工程包括：主体结构、关键性工作等国家法律、法规禁止分包的工程。</w:t>
      </w:r>
    </w:p>
    <w:p w14:paraId="07FA9966">
      <w:pPr>
        <w:spacing w:line="360" w:lineRule="auto"/>
        <w:ind w:firstLine="420" w:firstLineChars="200"/>
        <w:jc w:val="left"/>
        <w:rPr>
          <w:rFonts w:ascii="宋体" w:hAnsi="宋体"/>
          <w:szCs w:val="21"/>
        </w:rPr>
      </w:pPr>
      <w:r>
        <w:rPr>
          <w:rFonts w:hint="eastAsia" w:ascii="宋体" w:hAnsi="宋体"/>
          <w:szCs w:val="21"/>
        </w:rPr>
        <w:t>主体结构、关键性工作的范围：国家法律、法规、规范、标准等所约束的范围。如房建工程主体结构指混凝土工程、砌体工程、钢结构工程（具体有基础、梁、板、柱、砼墙、楼梯工程等）</w:t>
      </w:r>
      <w:bookmarkStart w:id="1129" w:name="_Toc296503161"/>
      <w:bookmarkStart w:id="1130" w:name="_Toc296944500"/>
      <w:bookmarkStart w:id="1131" w:name="_Toc296346662"/>
      <w:bookmarkStart w:id="1132" w:name="_Toc303539104"/>
      <w:bookmarkStart w:id="1133" w:name="_Toc297120461"/>
      <w:bookmarkStart w:id="1134" w:name="_Toc304295525"/>
      <w:bookmarkStart w:id="1135" w:name="_Toc297216153"/>
      <w:bookmarkStart w:id="1136" w:name="_Toc297123494"/>
      <w:bookmarkStart w:id="1137" w:name="_Toc296347160"/>
      <w:bookmarkStart w:id="1138" w:name="_Toc297048347"/>
      <w:bookmarkStart w:id="1139" w:name="_Toc296890989"/>
      <w:bookmarkStart w:id="1140" w:name="_Toc296891201"/>
      <w:bookmarkStart w:id="1141" w:name="_Toc300934947"/>
      <w:r>
        <w:rPr>
          <w:rFonts w:hint="eastAsia" w:ascii="宋体" w:hAnsi="宋体"/>
          <w:szCs w:val="21"/>
        </w:rPr>
        <w:t>；关键性工作指梁、板、柱等部位。</w:t>
      </w:r>
    </w:p>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14:paraId="21B654C0">
      <w:pPr>
        <w:spacing w:line="360" w:lineRule="auto"/>
        <w:ind w:firstLine="420" w:firstLineChars="200"/>
        <w:jc w:val="left"/>
        <w:rPr>
          <w:rFonts w:ascii="宋体" w:hAnsi="宋体"/>
          <w:szCs w:val="21"/>
        </w:rPr>
      </w:pPr>
      <w:r>
        <w:rPr>
          <w:rFonts w:hint="eastAsia" w:ascii="宋体" w:hAnsi="宋体"/>
          <w:szCs w:val="21"/>
        </w:rPr>
        <w:t>在合同履行过程中实行项目经理、技术负责人、安全负责人实名制管理，发包人有权核查承包人管理人员的资格证件、工程价款往来银行账户、施工单位的材料构配件、设备的发票等资料，配合相关行政主管部门加大对转包、违法分包行为的查处。</w:t>
      </w:r>
    </w:p>
    <w:p w14:paraId="19776C25">
      <w:pPr>
        <w:spacing w:line="360" w:lineRule="auto"/>
        <w:ind w:firstLine="420" w:firstLineChars="200"/>
        <w:jc w:val="left"/>
        <w:rPr>
          <w:rFonts w:ascii="宋体" w:hAnsi="宋体"/>
          <w:szCs w:val="21"/>
        </w:rPr>
      </w:pPr>
      <w:r>
        <w:rPr>
          <w:rFonts w:hint="eastAsia" w:ascii="宋体" w:hAnsi="宋体"/>
          <w:szCs w:val="21"/>
        </w:rPr>
        <w:t>3</w:t>
      </w:r>
      <w:bookmarkStart w:id="1142" w:name="_Toc312677990"/>
      <w:bookmarkStart w:id="1143" w:name="_Toc318581159"/>
      <w:r>
        <w:rPr>
          <w:rFonts w:hint="eastAsia" w:ascii="宋体" w:hAnsi="宋体"/>
          <w:szCs w:val="21"/>
        </w:rPr>
        <w:t>.5.2分包的确定</w:t>
      </w:r>
    </w:p>
    <w:p w14:paraId="4D2C3DEE">
      <w:pPr>
        <w:spacing w:line="360" w:lineRule="auto"/>
        <w:ind w:firstLine="420" w:firstLineChars="200"/>
        <w:jc w:val="left"/>
        <w:rPr>
          <w:rFonts w:ascii="宋体" w:hAnsi="宋体"/>
          <w:i/>
          <w:iCs/>
          <w:szCs w:val="21"/>
        </w:rPr>
      </w:pPr>
      <w:r>
        <w:rPr>
          <w:rFonts w:hint="eastAsia" w:ascii="宋体" w:hAnsi="宋体"/>
          <w:szCs w:val="21"/>
        </w:rPr>
        <w:t>允许分包的专业工程包括：</w:t>
      </w:r>
      <w:r>
        <w:rPr>
          <w:rFonts w:hint="eastAsia" w:ascii="宋体" w:hAnsi="宋体"/>
          <w:szCs w:val="21"/>
          <w:u w:val="single"/>
        </w:rPr>
        <w:t xml:space="preserve">        。</w:t>
      </w:r>
      <w:r>
        <w:rPr>
          <w:rFonts w:hint="eastAsia" w:ascii="宋体" w:hAnsi="宋体"/>
          <w:i/>
          <w:iCs/>
          <w:szCs w:val="21"/>
        </w:rPr>
        <w:t>[提示：符合《中华人民共和国建筑法》和《中华人民共和国采购投标法》的相关规定。]</w:t>
      </w:r>
    </w:p>
    <w:p w14:paraId="4EF6D26F">
      <w:pPr>
        <w:spacing w:line="360" w:lineRule="auto"/>
        <w:ind w:firstLine="420" w:firstLineChars="200"/>
        <w:jc w:val="left"/>
        <w:rPr>
          <w:rFonts w:ascii="宋体" w:hAnsi="宋体"/>
          <w:szCs w:val="21"/>
        </w:rPr>
      </w:pPr>
      <w:r>
        <w:rPr>
          <w:rFonts w:hint="eastAsia" w:ascii="宋体" w:hAnsi="宋体"/>
          <w:szCs w:val="21"/>
        </w:rPr>
        <w:t>3.5.4 分包合同价款</w:t>
      </w:r>
    </w:p>
    <w:p w14:paraId="3498FB43">
      <w:pPr>
        <w:spacing w:line="360" w:lineRule="auto"/>
        <w:ind w:firstLine="420" w:firstLineChars="200"/>
        <w:jc w:val="left"/>
        <w:rPr>
          <w:rFonts w:ascii="宋体" w:hAnsi="宋体"/>
          <w:szCs w:val="21"/>
        </w:rPr>
      </w:pPr>
      <w:r>
        <w:rPr>
          <w:rFonts w:hint="eastAsia" w:ascii="宋体" w:hAnsi="宋体"/>
          <w:szCs w:val="21"/>
        </w:rPr>
        <w:t>关于分包合同价款支付的约定：</w:t>
      </w:r>
      <w:bookmarkEnd w:id="1142"/>
      <w:bookmarkEnd w:id="1143"/>
      <w:r>
        <w:rPr>
          <w:rFonts w:hint="eastAsia" w:ascii="宋体" w:hAnsi="宋体"/>
          <w:szCs w:val="21"/>
          <w:u w:val="single"/>
        </w:rPr>
        <w:t>分包合同价款由承包人与分包人结算，未经承包人同意，发包人不得向分包人支付分包工程价款；生效法律文书要求发包人向分包人支付分包合同价款的，发包人有权从应付承包人工程款中扣除该部分款项</w:t>
      </w:r>
      <w:r>
        <w:rPr>
          <w:rFonts w:hint="eastAsia" w:ascii="宋体" w:hAnsi="宋体"/>
          <w:szCs w:val="21"/>
        </w:rPr>
        <w:t>。</w:t>
      </w:r>
    </w:p>
    <w:p w14:paraId="76CE66E5">
      <w:pPr>
        <w:spacing w:line="360" w:lineRule="auto"/>
        <w:ind w:firstLine="420" w:firstLineChars="200"/>
        <w:jc w:val="left"/>
        <w:rPr>
          <w:rFonts w:ascii="宋体" w:hAnsi="宋体"/>
          <w:szCs w:val="21"/>
        </w:rPr>
      </w:pPr>
      <w:r>
        <w:rPr>
          <w:rFonts w:hint="eastAsia" w:ascii="宋体" w:hAnsi="宋体"/>
          <w:szCs w:val="21"/>
        </w:rPr>
        <w:t>本款补充3.5.6项：</w:t>
      </w:r>
    </w:p>
    <w:p w14:paraId="48ABBCFC">
      <w:pPr>
        <w:spacing w:line="360" w:lineRule="auto"/>
        <w:ind w:firstLine="420" w:firstLineChars="200"/>
        <w:jc w:val="left"/>
        <w:rPr>
          <w:rFonts w:ascii="宋体" w:hAnsi="宋体"/>
          <w:szCs w:val="21"/>
        </w:rPr>
      </w:pPr>
      <w:r>
        <w:rPr>
          <w:rFonts w:hint="eastAsia" w:ascii="宋体" w:hAnsi="宋体"/>
          <w:szCs w:val="21"/>
        </w:rPr>
        <w:t>3.5.6严禁违法分包</w:t>
      </w:r>
    </w:p>
    <w:p w14:paraId="29906D11">
      <w:pPr>
        <w:spacing w:line="360" w:lineRule="auto"/>
        <w:ind w:firstLine="420" w:firstLineChars="200"/>
        <w:jc w:val="left"/>
        <w:rPr>
          <w:rFonts w:ascii="宋体" w:hAnsi="宋体"/>
          <w:szCs w:val="21"/>
        </w:rPr>
      </w:pPr>
      <w:r>
        <w:rPr>
          <w:rFonts w:hint="eastAsia" w:ascii="宋体" w:hAnsi="宋体"/>
          <w:szCs w:val="21"/>
        </w:rPr>
        <w:t>一经查实，承包人的履约担保不予退还，发包人有权终止合同；同时发包人有权向相关行政监管部门举报，根据《住房和城乡建设部关于印发建筑工程施工发包与承包违法行为认定查处管理办法的通知》（建市规〔2019〕1号）相关规定条执行。</w:t>
      </w:r>
    </w:p>
    <w:p w14:paraId="7EE20024">
      <w:pPr>
        <w:pStyle w:val="7"/>
        <w:spacing w:before="0" w:beforeAutospacing="0" w:after="0" w:afterAutospacing="0" w:line="360" w:lineRule="auto"/>
        <w:ind w:firstLine="422" w:firstLineChars="200"/>
        <w:rPr>
          <w:sz w:val="21"/>
          <w:szCs w:val="21"/>
        </w:rPr>
      </w:pPr>
      <w:bookmarkStart w:id="1144" w:name="_Toc532377339"/>
      <w:r>
        <w:rPr>
          <w:rFonts w:hint="eastAsia"/>
          <w:sz w:val="21"/>
          <w:szCs w:val="21"/>
        </w:rPr>
        <w:t>3.7 履约担保</w:t>
      </w:r>
      <w:bookmarkEnd w:id="1144"/>
    </w:p>
    <w:p w14:paraId="3CFB8DD6">
      <w:pPr>
        <w:spacing w:line="360" w:lineRule="auto"/>
        <w:ind w:firstLine="420" w:firstLineChars="200"/>
        <w:jc w:val="left"/>
        <w:rPr>
          <w:rFonts w:ascii="宋体" w:hAnsi="宋体"/>
          <w:szCs w:val="21"/>
        </w:rPr>
      </w:pPr>
      <w:r>
        <w:rPr>
          <w:rFonts w:hint="eastAsia" w:ascii="宋体" w:hAnsi="宋体"/>
          <w:szCs w:val="21"/>
        </w:rPr>
        <w:t>3.7.1承包人是否提供履约担保：</w:t>
      </w:r>
      <w:r>
        <w:rPr>
          <w:rFonts w:hint="eastAsia" w:ascii="宋体" w:hAnsi="宋体"/>
          <w:szCs w:val="21"/>
          <w:u w:val="single"/>
        </w:rPr>
        <w:t>提供</w:t>
      </w:r>
      <w:r>
        <w:rPr>
          <w:rFonts w:hint="eastAsia" w:ascii="宋体" w:hAnsi="宋体"/>
          <w:szCs w:val="21"/>
        </w:rPr>
        <w:t>。</w:t>
      </w:r>
    </w:p>
    <w:p w14:paraId="7CD8064E">
      <w:pPr>
        <w:spacing w:line="360" w:lineRule="auto"/>
        <w:ind w:firstLine="420" w:firstLineChars="200"/>
        <w:jc w:val="left"/>
        <w:rPr>
          <w:rFonts w:ascii="宋体" w:hAnsi="宋体"/>
          <w:szCs w:val="21"/>
        </w:rPr>
      </w:pPr>
      <w:r>
        <w:rPr>
          <w:rFonts w:hint="eastAsia" w:ascii="宋体" w:hAnsi="宋体"/>
          <w:szCs w:val="21"/>
        </w:rPr>
        <w:t>3.7.2承包人提供履约担保的形式、金额及期限：</w:t>
      </w:r>
    </w:p>
    <w:p w14:paraId="07D41B89">
      <w:pPr>
        <w:spacing w:line="360" w:lineRule="auto"/>
        <w:ind w:firstLine="420" w:firstLineChars="200"/>
        <w:jc w:val="left"/>
        <w:rPr>
          <w:rFonts w:ascii="宋体" w:hAnsi="宋体"/>
          <w:szCs w:val="21"/>
        </w:rPr>
      </w:pPr>
      <w:r>
        <w:rPr>
          <w:rFonts w:hint="eastAsia" w:ascii="宋体" w:hAnsi="宋体"/>
          <w:szCs w:val="21"/>
        </w:rPr>
        <w:t>（1）履约担保的形式：现金或银行保函或现金+银行保函的组合；采用保函形式的，保函必须为不可撤销且见索即付；</w:t>
      </w:r>
    </w:p>
    <w:p w14:paraId="756A05C5">
      <w:pPr>
        <w:tabs>
          <w:tab w:val="left" w:pos="1134"/>
        </w:tabs>
        <w:spacing w:line="360" w:lineRule="auto"/>
        <w:ind w:firstLine="420" w:firstLineChars="200"/>
        <w:jc w:val="left"/>
        <w:rPr>
          <w:rFonts w:ascii="宋体" w:hAnsi="宋体"/>
          <w:szCs w:val="21"/>
        </w:rPr>
      </w:pPr>
      <w:r>
        <w:rPr>
          <w:rFonts w:hint="eastAsia" w:ascii="宋体" w:hAnsi="宋体"/>
          <w:szCs w:val="21"/>
        </w:rPr>
        <w:t>（2）履约担保的金额：</w:t>
      </w:r>
      <w:r>
        <w:rPr>
          <w:rFonts w:hint="eastAsia" w:ascii="仿宋_GB2312" w:hAnsi="宋体" w:eastAsia="仿宋_GB2312" w:cs="宋体"/>
          <w:kern w:val="0"/>
          <w:szCs w:val="21"/>
        </w:rPr>
        <w:t xml:space="preserve">            </w:t>
      </w:r>
      <w:r>
        <w:rPr>
          <w:rFonts w:hint="eastAsia" w:ascii="宋体" w:hAnsi="宋体"/>
          <w:szCs w:val="21"/>
        </w:rPr>
        <w:t>；</w:t>
      </w:r>
    </w:p>
    <w:p w14:paraId="53660585">
      <w:pPr>
        <w:tabs>
          <w:tab w:val="left" w:pos="1134"/>
        </w:tabs>
        <w:spacing w:line="360" w:lineRule="auto"/>
        <w:ind w:firstLine="420" w:firstLineChars="200"/>
        <w:jc w:val="left"/>
        <w:rPr>
          <w:rFonts w:ascii="宋体" w:hAnsi="宋体"/>
          <w:szCs w:val="21"/>
        </w:rPr>
      </w:pPr>
      <w:r>
        <w:rPr>
          <w:rFonts w:hint="eastAsia" w:ascii="宋体" w:hAnsi="宋体"/>
          <w:szCs w:val="21"/>
        </w:rPr>
        <w:t>（3）履约担保的提交时间：</w:t>
      </w:r>
      <w:r>
        <w:rPr>
          <w:rFonts w:hint="eastAsia" w:ascii="宋体" w:hAnsi="宋体"/>
          <w:szCs w:val="21"/>
          <w:u w:val="single"/>
        </w:rPr>
        <w:t>在合同签订前，承包人按担保金额向发包人提交履约担保</w:t>
      </w:r>
      <w:r>
        <w:rPr>
          <w:rFonts w:hint="eastAsia" w:ascii="宋体" w:hAnsi="宋体"/>
          <w:szCs w:val="21"/>
        </w:rPr>
        <w:t>。</w:t>
      </w:r>
    </w:p>
    <w:p w14:paraId="59390004">
      <w:pPr>
        <w:tabs>
          <w:tab w:val="left" w:pos="1134"/>
        </w:tabs>
        <w:spacing w:line="360" w:lineRule="auto"/>
        <w:ind w:firstLine="420" w:firstLineChars="200"/>
        <w:jc w:val="left"/>
        <w:rPr>
          <w:rFonts w:ascii="宋体" w:hAnsi="宋体"/>
          <w:szCs w:val="21"/>
        </w:rPr>
      </w:pPr>
      <w:r>
        <w:rPr>
          <w:rFonts w:hint="eastAsia" w:ascii="宋体" w:hAnsi="宋体"/>
          <w:szCs w:val="21"/>
        </w:rPr>
        <w:t>（4）履约担保的期限：</w:t>
      </w:r>
      <w:r>
        <w:rPr>
          <w:rFonts w:hint="eastAsia" w:ascii="宋体" w:hAnsi="宋体"/>
          <w:szCs w:val="21"/>
          <w:u w:val="single"/>
        </w:rPr>
        <w:t>自我方法定代表人（或其委托代理人）签字并加盖公章之日起至你方签发或应签发工程接收证书之日止</w:t>
      </w:r>
      <w:r>
        <w:rPr>
          <w:rFonts w:hint="eastAsia" w:ascii="宋体" w:hAnsi="宋体"/>
          <w:szCs w:val="21"/>
        </w:rPr>
        <w:t>。</w:t>
      </w:r>
    </w:p>
    <w:p w14:paraId="6CB58622">
      <w:pPr>
        <w:tabs>
          <w:tab w:val="left" w:pos="1134"/>
        </w:tabs>
        <w:spacing w:line="360" w:lineRule="auto"/>
        <w:ind w:firstLine="420" w:firstLineChars="200"/>
        <w:jc w:val="left"/>
        <w:rPr>
          <w:rFonts w:ascii="宋体" w:hAnsi="宋体"/>
          <w:szCs w:val="21"/>
          <w:u w:val="single"/>
        </w:rPr>
      </w:pPr>
      <w:r>
        <w:rPr>
          <w:rFonts w:hint="eastAsia" w:ascii="宋体" w:hAnsi="宋体"/>
          <w:szCs w:val="21"/>
        </w:rPr>
        <w:t>（5）履约担保的退还时间：</w:t>
      </w:r>
      <w:r>
        <w:rPr>
          <w:rFonts w:hint="eastAsia" w:ascii="宋体" w:hAnsi="宋体"/>
          <w:szCs w:val="21"/>
          <w:u w:val="single"/>
        </w:rPr>
        <w:t>采用现金担保的，工程竣工验收合格后14天内退还；采用银行保函的，工程竣工验收合格后14天内退还，或按工程实际情况约定分阶段退还，阶段划分按以下标准执行：</w:t>
      </w:r>
    </w:p>
    <w:p w14:paraId="7F60181A">
      <w:pPr>
        <w:tabs>
          <w:tab w:val="left" w:pos="1134"/>
        </w:tabs>
        <w:spacing w:line="360" w:lineRule="auto"/>
        <w:jc w:val="left"/>
        <w:rPr>
          <w:rFonts w:ascii="宋体" w:hAnsi="宋体"/>
          <w:szCs w:val="21"/>
        </w:rPr>
      </w:pPr>
      <w:r>
        <w:rPr>
          <w:rFonts w:hint="eastAsia" w:ascii="宋体" w:hAnsi="宋体"/>
          <w:szCs w:val="21"/>
          <w:u w:val="single"/>
        </w:rPr>
        <w:t xml:space="preserve">                                                   </w:t>
      </w:r>
      <w:r>
        <w:rPr>
          <w:rFonts w:hint="eastAsia" w:ascii="宋体" w:hAnsi="宋体"/>
          <w:szCs w:val="21"/>
        </w:rPr>
        <w:t>。</w:t>
      </w:r>
    </w:p>
    <w:p w14:paraId="3CF81F4C">
      <w:pPr>
        <w:spacing w:line="360" w:lineRule="auto"/>
        <w:ind w:firstLine="420" w:firstLineChars="200"/>
        <w:jc w:val="left"/>
        <w:rPr>
          <w:rFonts w:ascii="宋体" w:hAnsi="宋体"/>
          <w:szCs w:val="21"/>
        </w:rPr>
      </w:pPr>
      <w:r>
        <w:rPr>
          <w:rFonts w:hint="eastAsia" w:ascii="宋体" w:hAnsi="宋体"/>
          <w:szCs w:val="21"/>
        </w:rPr>
        <w:t>本款补充3.7.3项：</w:t>
      </w:r>
    </w:p>
    <w:p w14:paraId="581CED49">
      <w:pPr>
        <w:pStyle w:val="2"/>
        <w:spacing w:after="0" w:line="360" w:lineRule="auto"/>
        <w:ind w:firstLine="420" w:firstLineChars="200"/>
        <w:jc w:val="left"/>
        <w:rPr>
          <w:rFonts w:ascii="宋体" w:hAnsi="宋体"/>
          <w:szCs w:val="21"/>
        </w:rPr>
      </w:pPr>
      <w:r>
        <w:rPr>
          <w:rFonts w:hint="eastAsia" w:ascii="宋体" w:hAnsi="宋体"/>
          <w:szCs w:val="21"/>
        </w:rPr>
        <w:t>3.7.3 低价风险担保</w:t>
      </w:r>
    </w:p>
    <w:p w14:paraId="25BE3864">
      <w:pPr>
        <w:spacing w:line="360" w:lineRule="auto"/>
        <w:ind w:firstLine="420" w:firstLineChars="200"/>
        <w:jc w:val="left"/>
        <w:rPr>
          <w:rFonts w:ascii="宋体" w:hAnsi="宋体"/>
          <w:szCs w:val="21"/>
        </w:rPr>
      </w:pPr>
      <w:r>
        <w:rPr>
          <w:rFonts w:hint="eastAsia" w:ascii="宋体" w:hAnsi="宋体"/>
          <w:szCs w:val="21"/>
        </w:rPr>
        <w:t>承包人提供低价风险担保的情形：采用经评审的最低投标价法的项目投标报价低于最高限价85%时。</w:t>
      </w:r>
    </w:p>
    <w:p w14:paraId="401CED46">
      <w:pPr>
        <w:spacing w:line="360" w:lineRule="auto"/>
        <w:ind w:firstLine="420" w:firstLineChars="200"/>
        <w:jc w:val="left"/>
        <w:rPr>
          <w:rFonts w:ascii="宋体" w:hAnsi="宋体"/>
          <w:szCs w:val="21"/>
        </w:rPr>
      </w:pPr>
      <w:r>
        <w:rPr>
          <w:rFonts w:hint="eastAsia" w:ascii="宋体" w:hAnsi="宋体"/>
          <w:szCs w:val="21"/>
        </w:rPr>
        <w:t>承包人提供低价风险担保的形式、金额及期限：</w:t>
      </w:r>
    </w:p>
    <w:p w14:paraId="42D12EE0">
      <w:pPr>
        <w:spacing w:line="360" w:lineRule="auto"/>
        <w:ind w:firstLine="420" w:firstLineChars="200"/>
        <w:jc w:val="left"/>
        <w:rPr>
          <w:rFonts w:ascii="宋体" w:hAnsi="宋体"/>
          <w:szCs w:val="21"/>
        </w:rPr>
      </w:pPr>
      <w:r>
        <w:rPr>
          <w:rFonts w:hint="eastAsia" w:ascii="宋体" w:hAnsi="宋体"/>
          <w:szCs w:val="21"/>
        </w:rPr>
        <w:t>（1）低价风险担保的形式：现金或银行保函或现金+银行保函的组合；采用保函形式的，保函必须为不可撤销且见索即付；</w:t>
      </w:r>
    </w:p>
    <w:p w14:paraId="6E7BC736">
      <w:pPr>
        <w:spacing w:line="360" w:lineRule="auto"/>
        <w:ind w:firstLine="420" w:firstLineChars="200"/>
        <w:jc w:val="left"/>
        <w:rPr>
          <w:rFonts w:ascii="宋体" w:hAnsi="宋体"/>
          <w:szCs w:val="21"/>
        </w:rPr>
      </w:pPr>
      <w:r>
        <w:rPr>
          <w:rFonts w:hint="eastAsia" w:ascii="宋体" w:hAnsi="宋体"/>
          <w:szCs w:val="21"/>
        </w:rPr>
        <w:t>（2）低价风险担保的金额：</w:t>
      </w:r>
      <w:r>
        <w:rPr>
          <w:rFonts w:hint="eastAsia" w:ascii="仿宋_GB2312" w:hAnsi="宋体" w:eastAsia="仿宋_GB2312" w:cs="宋体"/>
          <w:kern w:val="0"/>
          <w:szCs w:val="21"/>
          <w:u w:val="single"/>
        </w:rPr>
        <w:t xml:space="preserve">            </w:t>
      </w:r>
      <w:r>
        <w:rPr>
          <w:rFonts w:hint="eastAsia" w:ascii="宋体" w:hAnsi="宋体"/>
          <w:szCs w:val="21"/>
        </w:rPr>
        <w:t>；</w:t>
      </w:r>
    </w:p>
    <w:p w14:paraId="49335D32">
      <w:pPr>
        <w:tabs>
          <w:tab w:val="left" w:pos="1134"/>
        </w:tabs>
        <w:spacing w:line="360" w:lineRule="auto"/>
        <w:ind w:firstLine="420" w:firstLineChars="200"/>
        <w:jc w:val="left"/>
        <w:rPr>
          <w:rFonts w:ascii="宋体" w:hAnsi="宋体"/>
          <w:szCs w:val="21"/>
        </w:rPr>
      </w:pPr>
      <w:r>
        <w:rPr>
          <w:rFonts w:hint="eastAsia" w:ascii="宋体" w:hAnsi="宋体"/>
          <w:szCs w:val="21"/>
        </w:rPr>
        <w:t>（3）低价风险担保的提交时间：</w:t>
      </w:r>
      <w:r>
        <w:rPr>
          <w:rFonts w:hint="eastAsia"/>
          <w:szCs w:val="21"/>
          <w:u w:val="single"/>
        </w:rPr>
        <w:t>从采购人低价风险担保书面通知送达拟中标人之日起    工作日内</w:t>
      </w:r>
      <w:r>
        <w:rPr>
          <w:rFonts w:hint="eastAsia" w:ascii="宋体" w:hAnsi="宋体"/>
          <w:szCs w:val="21"/>
          <w:u w:val="single"/>
        </w:rPr>
        <w:t>；</w:t>
      </w:r>
    </w:p>
    <w:p w14:paraId="7FC03F59">
      <w:pPr>
        <w:tabs>
          <w:tab w:val="left" w:pos="1134"/>
        </w:tabs>
        <w:spacing w:line="360" w:lineRule="auto"/>
        <w:ind w:firstLine="420" w:firstLineChars="200"/>
        <w:jc w:val="left"/>
        <w:rPr>
          <w:rFonts w:ascii="宋体" w:hAnsi="宋体"/>
          <w:szCs w:val="21"/>
        </w:rPr>
      </w:pPr>
      <w:r>
        <w:rPr>
          <w:rFonts w:hint="eastAsia" w:ascii="宋体" w:hAnsi="宋体"/>
          <w:szCs w:val="21"/>
        </w:rPr>
        <w:t>（4）低价风险担保的期限：</w:t>
      </w:r>
      <w:r>
        <w:rPr>
          <w:rFonts w:hint="eastAsia"/>
          <w:szCs w:val="21"/>
          <w:u w:val="single"/>
        </w:rPr>
        <w:t>自低价风险担保生效之日起至竣工验收合格之日止</w:t>
      </w:r>
      <w:r>
        <w:rPr>
          <w:rFonts w:hint="eastAsia" w:ascii="宋体" w:hAnsi="宋体"/>
          <w:szCs w:val="21"/>
        </w:rPr>
        <w:t>。</w:t>
      </w:r>
    </w:p>
    <w:p w14:paraId="43620E5D">
      <w:pPr>
        <w:pStyle w:val="2"/>
        <w:spacing w:after="0" w:line="360" w:lineRule="auto"/>
        <w:ind w:firstLine="420" w:firstLineChars="200"/>
        <w:jc w:val="left"/>
        <w:rPr>
          <w:rFonts w:ascii="宋体" w:hAnsi="宋体"/>
          <w:szCs w:val="21"/>
        </w:rPr>
      </w:pPr>
      <w:r>
        <w:rPr>
          <w:rFonts w:hint="eastAsia" w:ascii="宋体" w:hAnsi="宋体"/>
          <w:szCs w:val="21"/>
        </w:rPr>
        <w:t>低价风险担保的退还时间：</w:t>
      </w:r>
      <w:r>
        <w:rPr>
          <w:rFonts w:hint="eastAsia" w:ascii="宋体" w:hAnsi="宋体"/>
          <w:szCs w:val="21"/>
          <w:u w:val="single"/>
        </w:rPr>
        <w:t>采用现金担保的，工程竣工验收合格后14天内无息退还；采用银行保函的，工程竣工验收合格后14天内退还</w:t>
      </w:r>
      <w:r>
        <w:rPr>
          <w:rFonts w:hint="eastAsia" w:ascii="宋体" w:hAnsi="宋体"/>
          <w:szCs w:val="21"/>
        </w:rPr>
        <w:t>。</w:t>
      </w:r>
    </w:p>
    <w:p w14:paraId="5881F091">
      <w:pPr>
        <w:pStyle w:val="2"/>
        <w:spacing w:after="0" w:line="360" w:lineRule="auto"/>
        <w:ind w:firstLine="420" w:firstLineChars="200"/>
        <w:jc w:val="left"/>
        <w:rPr>
          <w:rFonts w:ascii="宋体" w:hAnsi="宋体"/>
          <w:szCs w:val="21"/>
        </w:rPr>
      </w:pPr>
      <w:bookmarkStart w:id="1145" w:name="_Toc351203636"/>
      <w:bookmarkStart w:id="1146" w:name="_Toc532377340"/>
      <w:bookmarkStart w:id="1147" w:name="_Toc532375611"/>
      <w:r>
        <w:rPr>
          <w:rFonts w:hint="eastAsia" w:ascii="宋体" w:hAnsi="宋体"/>
          <w:szCs w:val="21"/>
        </w:rPr>
        <w:t>（5）低价风险担保的扣减：</w:t>
      </w:r>
    </w:p>
    <w:p w14:paraId="6AF6A70E">
      <w:pPr>
        <w:pStyle w:val="2"/>
        <w:spacing w:after="0" w:line="360" w:lineRule="auto"/>
        <w:ind w:firstLine="420" w:firstLineChars="200"/>
        <w:jc w:val="left"/>
        <w:rPr>
          <w:rFonts w:ascii="宋体" w:hAnsi="宋体"/>
          <w:szCs w:val="21"/>
        </w:rPr>
      </w:pPr>
      <w:r>
        <w:rPr>
          <w:rFonts w:hint="eastAsia" w:ascii="宋体" w:hAnsi="宋体"/>
          <w:szCs w:val="21"/>
        </w:rPr>
        <w:t>①承包人在工程施工期间，以其投标时填报的工程主要材料价格低于同期工程造价管理机构发布的信息价格为由拒绝材料采购；或因其自身其他原因导致工程窝工或停工等，给发包人造成直接经济损失且拒绝承担的，按低价风险担保金额的</w:t>
      </w:r>
      <w:r>
        <w:rPr>
          <w:rFonts w:hint="eastAsia" w:ascii="宋体" w:hAnsi="宋体"/>
          <w:szCs w:val="21"/>
          <w:u w:val="single"/>
        </w:rPr>
        <w:t>50～100%</w:t>
      </w:r>
      <w:r>
        <w:rPr>
          <w:rFonts w:hint="eastAsia" w:ascii="宋体" w:hAnsi="宋体"/>
          <w:szCs w:val="21"/>
        </w:rPr>
        <w:t>扣减，直至解除合同；</w:t>
      </w:r>
    </w:p>
    <w:p w14:paraId="7B3F1099">
      <w:pPr>
        <w:pStyle w:val="2"/>
        <w:spacing w:after="0" w:line="360" w:lineRule="auto"/>
        <w:ind w:firstLine="420" w:firstLineChars="200"/>
        <w:jc w:val="left"/>
        <w:rPr>
          <w:rFonts w:ascii="宋体" w:hAnsi="宋体"/>
          <w:szCs w:val="21"/>
        </w:rPr>
      </w:pPr>
      <w:r>
        <w:rPr>
          <w:rFonts w:hint="eastAsia" w:ascii="宋体" w:hAnsi="宋体"/>
          <w:szCs w:val="21"/>
        </w:rPr>
        <w:t>②承包人在工程施工期间或竣工验收时，工程质量不符合国家现行有关施工质量验收规范要求的，按低价风险担保金额的</w:t>
      </w:r>
      <w:r>
        <w:rPr>
          <w:rFonts w:hint="eastAsia" w:ascii="宋体" w:hAnsi="宋体"/>
          <w:szCs w:val="21"/>
          <w:u w:val="single"/>
        </w:rPr>
        <w:t>50～100%</w:t>
      </w:r>
      <w:r>
        <w:rPr>
          <w:rFonts w:hint="eastAsia" w:ascii="宋体" w:hAnsi="宋体"/>
          <w:szCs w:val="21"/>
        </w:rPr>
        <w:t>扣减，直至解除合同；</w:t>
      </w:r>
    </w:p>
    <w:p w14:paraId="7DE87CB3">
      <w:pPr>
        <w:pStyle w:val="2"/>
        <w:spacing w:after="0" w:line="360" w:lineRule="auto"/>
        <w:ind w:firstLine="420" w:firstLineChars="200"/>
        <w:jc w:val="left"/>
        <w:rPr>
          <w:rFonts w:ascii="宋体" w:hAnsi="宋体"/>
          <w:szCs w:val="21"/>
        </w:rPr>
      </w:pPr>
      <w:r>
        <w:rPr>
          <w:rFonts w:hint="eastAsia" w:ascii="宋体" w:hAnsi="宋体"/>
          <w:szCs w:val="21"/>
        </w:rPr>
        <w:t>③承包人因16.2.3项原因被解除合同的，低价风险担保将全额扣除；</w:t>
      </w:r>
    </w:p>
    <w:p w14:paraId="071086F7">
      <w:pPr>
        <w:pStyle w:val="2"/>
        <w:spacing w:after="0" w:line="360" w:lineRule="auto"/>
        <w:ind w:firstLine="420" w:firstLineChars="200"/>
        <w:jc w:val="left"/>
        <w:rPr>
          <w:rFonts w:ascii="宋体" w:hAnsi="宋体"/>
          <w:szCs w:val="21"/>
          <w:u w:val="single"/>
        </w:rPr>
      </w:pPr>
      <w:r>
        <w:rPr>
          <w:rFonts w:hint="eastAsia" w:ascii="宋体" w:hAnsi="宋体"/>
          <w:szCs w:val="21"/>
        </w:rPr>
        <w:t>④因承包人过错导致的其他情形：</w:t>
      </w:r>
      <w:r>
        <w:rPr>
          <w:rFonts w:hint="eastAsia" w:ascii="宋体" w:hAnsi="宋体"/>
          <w:szCs w:val="21"/>
          <w:u w:val="single"/>
        </w:rPr>
        <w:t xml:space="preserve">        </w:t>
      </w:r>
      <w:r>
        <w:rPr>
          <w:rFonts w:hint="eastAsia" w:ascii="宋体" w:hAnsi="宋体"/>
          <w:szCs w:val="21"/>
        </w:rPr>
        <w:t>。</w:t>
      </w:r>
    </w:p>
    <w:p w14:paraId="5C31F095">
      <w:pPr>
        <w:pStyle w:val="6"/>
        <w:keepNext/>
        <w:keepLines/>
        <w:spacing w:before="156" w:beforeLines="50" w:beforeAutospacing="0" w:after="156" w:afterLines="50" w:afterAutospacing="0" w:line="360" w:lineRule="auto"/>
        <w:jc w:val="both"/>
        <w:rPr>
          <w:bCs w:val="0"/>
          <w:kern w:val="2"/>
          <w:sz w:val="21"/>
          <w:szCs w:val="21"/>
        </w:rPr>
      </w:pPr>
      <w:r>
        <w:rPr>
          <w:rFonts w:hint="eastAsia"/>
          <w:kern w:val="2"/>
          <w:sz w:val="21"/>
          <w:szCs w:val="21"/>
        </w:rPr>
        <w:t>4</w:t>
      </w:r>
      <w:bookmarkStart w:id="1148" w:name="_Toc267251413"/>
      <w:bookmarkStart w:id="1149" w:name="_Toc296944501"/>
      <w:bookmarkStart w:id="1150" w:name="_Toc296347161"/>
      <w:bookmarkStart w:id="1151" w:name="_Toc292559871"/>
      <w:bookmarkStart w:id="1152" w:name="_Toc296890990"/>
      <w:bookmarkStart w:id="1153" w:name="_Toc296346663"/>
      <w:bookmarkStart w:id="1154" w:name="_Toc296503162"/>
      <w:bookmarkStart w:id="1155" w:name="_Toc296891202"/>
      <w:bookmarkStart w:id="1156" w:name="_Toc297120462"/>
      <w:bookmarkStart w:id="1157" w:name="_Toc297048348"/>
      <w:bookmarkStart w:id="1158" w:name="_Toc292559366"/>
      <w:r>
        <w:rPr>
          <w:rFonts w:hint="eastAsia"/>
          <w:kern w:val="2"/>
          <w:sz w:val="21"/>
          <w:szCs w:val="21"/>
        </w:rPr>
        <w:t>. 监</w:t>
      </w:r>
      <w:bookmarkEnd w:id="1148"/>
      <w:bookmarkEnd w:id="1149"/>
      <w:bookmarkEnd w:id="1150"/>
      <w:bookmarkEnd w:id="1151"/>
      <w:bookmarkEnd w:id="1152"/>
      <w:bookmarkEnd w:id="1153"/>
      <w:bookmarkEnd w:id="1154"/>
      <w:bookmarkEnd w:id="1155"/>
      <w:bookmarkEnd w:id="1156"/>
      <w:bookmarkEnd w:id="1157"/>
      <w:bookmarkEnd w:id="1158"/>
      <w:r>
        <w:rPr>
          <w:rFonts w:hint="eastAsia"/>
          <w:kern w:val="2"/>
          <w:sz w:val="21"/>
          <w:szCs w:val="21"/>
        </w:rPr>
        <w:t>理人</w:t>
      </w:r>
      <w:bookmarkEnd w:id="1145"/>
      <w:bookmarkEnd w:id="1146"/>
      <w:bookmarkEnd w:id="1147"/>
    </w:p>
    <w:p w14:paraId="37E064B9">
      <w:pPr>
        <w:pStyle w:val="7"/>
        <w:spacing w:before="0" w:beforeAutospacing="0" w:after="0" w:afterAutospacing="0" w:line="360" w:lineRule="auto"/>
        <w:ind w:firstLine="422" w:firstLineChars="200"/>
        <w:rPr>
          <w:sz w:val="21"/>
          <w:szCs w:val="21"/>
        </w:rPr>
      </w:pPr>
      <w:bookmarkStart w:id="1159" w:name="_Toc532377341"/>
      <w:r>
        <w:rPr>
          <w:rFonts w:hint="eastAsia"/>
          <w:sz w:val="21"/>
          <w:szCs w:val="21"/>
        </w:rPr>
        <w:t>4.1 监理人的一般规定</w:t>
      </w:r>
      <w:bookmarkEnd w:id="1159"/>
    </w:p>
    <w:p w14:paraId="22DB1781">
      <w:pPr>
        <w:spacing w:line="360" w:lineRule="auto"/>
        <w:ind w:firstLine="420" w:firstLineChars="200"/>
        <w:jc w:val="left"/>
        <w:rPr>
          <w:rFonts w:ascii="宋体" w:hAnsi="宋体"/>
          <w:szCs w:val="21"/>
        </w:rPr>
      </w:pPr>
      <w:r>
        <w:rPr>
          <w:rFonts w:hint="eastAsia" w:ascii="宋体" w:hAnsi="宋体"/>
          <w:szCs w:val="21"/>
        </w:rPr>
        <w:t>关于监理人的监理内容：</w:t>
      </w:r>
      <w:r>
        <w:rPr>
          <w:rFonts w:hint="eastAsia" w:ascii="宋体" w:hAnsi="宋体"/>
          <w:szCs w:val="21"/>
          <w:u w:val="single"/>
        </w:rPr>
        <w:t>见发包人与监理人就本工程签订的监理合同</w:t>
      </w:r>
      <w:r>
        <w:rPr>
          <w:rFonts w:hint="eastAsia" w:ascii="宋体" w:hAnsi="宋体"/>
          <w:szCs w:val="21"/>
        </w:rPr>
        <w:t>。</w:t>
      </w:r>
    </w:p>
    <w:p w14:paraId="45435704">
      <w:pPr>
        <w:spacing w:line="360" w:lineRule="auto"/>
        <w:ind w:firstLine="420" w:firstLineChars="200"/>
        <w:jc w:val="left"/>
        <w:rPr>
          <w:rFonts w:ascii="宋体" w:hAnsi="宋体"/>
          <w:szCs w:val="21"/>
        </w:rPr>
      </w:pPr>
      <w:r>
        <w:rPr>
          <w:rFonts w:hint="eastAsia" w:ascii="宋体" w:hAnsi="宋体"/>
          <w:szCs w:val="21"/>
        </w:rPr>
        <w:t>关于监理人的监理权限：</w:t>
      </w:r>
      <w:r>
        <w:rPr>
          <w:rFonts w:hint="eastAsia" w:ascii="宋体" w:hAnsi="宋体"/>
          <w:szCs w:val="21"/>
          <w:u w:val="single"/>
        </w:rPr>
        <w:t>见发包人与监理人就本工程签订的监理合同；任何涉及费用确定和（或）工期调整，或者设计变更，或者变更估价，或者涉及经济责任的事项，监理工程师在发出指令或通知前，须征得发包人书面同意</w:t>
      </w:r>
      <w:r>
        <w:rPr>
          <w:rFonts w:hint="eastAsia" w:ascii="宋体" w:hAnsi="宋体"/>
          <w:szCs w:val="21"/>
        </w:rPr>
        <w:t>。</w:t>
      </w:r>
    </w:p>
    <w:p w14:paraId="6AD9410E">
      <w:pPr>
        <w:spacing w:line="360" w:lineRule="auto"/>
        <w:ind w:firstLine="420" w:firstLineChars="200"/>
        <w:jc w:val="left"/>
        <w:rPr>
          <w:rFonts w:ascii="宋体" w:hAnsi="宋体"/>
          <w:szCs w:val="21"/>
        </w:rPr>
      </w:pPr>
      <w:r>
        <w:rPr>
          <w:rFonts w:hint="eastAsia" w:ascii="宋体" w:hAnsi="宋体"/>
          <w:szCs w:val="21"/>
        </w:rPr>
        <w:t>关于监理人在施工现场的办公场所、生活场所的提供和费用承担的约定：</w:t>
      </w:r>
      <w:r>
        <w:rPr>
          <w:rFonts w:hint="eastAsia" w:ascii="宋体" w:hAnsi="宋体"/>
          <w:szCs w:val="21"/>
          <w:u w:val="single"/>
        </w:rPr>
        <w:t xml:space="preserve">                          </w:t>
      </w:r>
      <w:r>
        <w:rPr>
          <w:rFonts w:hint="eastAsia" w:ascii="宋体" w:hAnsi="宋体"/>
          <w:szCs w:val="21"/>
        </w:rPr>
        <w:t>。</w:t>
      </w:r>
    </w:p>
    <w:p w14:paraId="276593CD">
      <w:pPr>
        <w:pStyle w:val="7"/>
        <w:spacing w:before="0" w:beforeAutospacing="0" w:after="0" w:afterAutospacing="0" w:line="360" w:lineRule="auto"/>
        <w:ind w:firstLine="422" w:firstLineChars="200"/>
        <w:rPr>
          <w:sz w:val="21"/>
          <w:szCs w:val="21"/>
        </w:rPr>
      </w:pPr>
      <w:bookmarkStart w:id="1160" w:name="_Toc532377342"/>
      <w:r>
        <w:rPr>
          <w:rFonts w:hint="eastAsia"/>
          <w:sz w:val="21"/>
          <w:szCs w:val="21"/>
        </w:rPr>
        <w:t>4.2 监理人员</w:t>
      </w:r>
      <w:bookmarkEnd w:id="1160"/>
    </w:p>
    <w:p w14:paraId="1E50F54D">
      <w:pPr>
        <w:spacing w:line="360" w:lineRule="auto"/>
        <w:ind w:firstLine="420" w:firstLineChars="200"/>
        <w:jc w:val="left"/>
        <w:rPr>
          <w:rFonts w:ascii="宋体" w:hAnsi="宋体"/>
          <w:szCs w:val="21"/>
        </w:rPr>
      </w:pPr>
      <w:r>
        <w:rPr>
          <w:rFonts w:hint="eastAsia" w:ascii="宋体" w:hAnsi="宋体"/>
          <w:szCs w:val="21"/>
        </w:rPr>
        <w:t>总监理工程师：</w:t>
      </w:r>
    </w:p>
    <w:p w14:paraId="6A2882CE">
      <w:pPr>
        <w:spacing w:line="360" w:lineRule="auto"/>
        <w:ind w:firstLine="420" w:firstLineChars="200"/>
        <w:jc w:val="left"/>
        <w:rPr>
          <w:rFonts w:ascii="宋体" w:hAnsi="宋体"/>
          <w:szCs w:val="21"/>
        </w:rPr>
      </w:pPr>
      <w:r>
        <w:rPr>
          <w:rFonts w:hint="eastAsia" w:ascii="宋体" w:hAnsi="宋体"/>
          <w:szCs w:val="21"/>
        </w:rPr>
        <w:t>姓    名：</w:t>
      </w:r>
      <w:r>
        <w:rPr>
          <w:rFonts w:ascii="宋体" w:hAnsi="宋体"/>
          <w:szCs w:val="21"/>
          <w:u w:val="single"/>
        </w:rPr>
        <w:t xml:space="preserve">                          </w:t>
      </w:r>
      <w:r>
        <w:rPr>
          <w:rFonts w:hint="eastAsia" w:ascii="宋体" w:hAnsi="宋体"/>
          <w:szCs w:val="21"/>
        </w:rPr>
        <w:t>；</w:t>
      </w:r>
    </w:p>
    <w:p w14:paraId="79DCF108">
      <w:pPr>
        <w:spacing w:line="360" w:lineRule="auto"/>
        <w:ind w:firstLine="420" w:firstLineChars="200"/>
        <w:jc w:val="left"/>
        <w:rPr>
          <w:rFonts w:ascii="宋体" w:hAnsi="宋体"/>
          <w:szCs w:val="21"/>
        </w:rPr>
      </w:pPr>
      <w:r>
        <w:rPr>
          <w:rFonts w:hint="eastAsia" w:ascii="宋体" w:hAnsi="宋体"/>
          <w:szCs w:val="21"/>
        </w:rPr>
        <w:t>职    务：</w:t>
      </w:r>
      <w:r>
        <w:rPr>
          <w:rFonts w:ascii="宋体" w:hAnsi="宋体"/>
          <w:szCs w:val="21"/>
          <w:u w:val="single"/>
        </w:rPr>
        <w:t xml:space="preserve">                          </w:t>
      </w:r>
      <w:r>
        <w:rPr>
          <w:rFonts w:hint="eastAsia" w:ascii="宋体" w:hAnsi="宋体"/>
          <w:szCs w:val="21"/>
        </w:rPr>
        <w:t>；</w:t>
      </w:r>
    </w:p>
    <w:p w14:paraId="5B9C4A28">
      <w:pPr>
        <w:spacing w:line="360" w:lineRule="auto"/>
        <w:ind w:firstLine="420" w:firstLineChars="200"/>
        <w:jc w:val="left"/>
        <w:rPr>
          <w:rFonts w:ascii="宋体" w:hAnsi="宋体"/>
          <w:szCs w:val="21"/>
        </w:rPr>
      </w:pPr>
      <w:r>
        <w:rPr>
          <w:rFonts w:hint="eastAsia" w:ascii="宋体" w:hAnsi="宋体"/>
          <w:szCs w:val="21"/>
        </w:rPr>
        <w:t>监理工程师执业资格证书号：</w:t>
      </w:r>
      <w:r>
        <w:rPr>
          <w:rFonts w:ascii="宋体" w:hAnsi="宋体"/>
          <w:szCs w:val="21"/>
          <w:u w:val="single"/>
        </w:rPr>
        <w:t xml:space="preserve">              </w:t>
      </w:r>
      <w:r>
        <w:rPr>
          <w:rFonts w:hint="eastAsia" w:ascii="宋体" w:hAnsi="宋体"/>
          <w:szCs w:val="21"/>
        </w:rPr>
        <w:t>；</w:t>
      </w:r>
    </w:p>
    <w:p w14:paraId="1C65083B">
      <w:pPr>
        <w:spacing w:line="360" w:lineRule="auto"/>
        <w:ind w:firstLine="420" w:firstLineChars="200"/>
        <w:jc w:val="left"/>
        <w:rPr>
          <w:rFonts w:ascii="宋体" w:hAnsi="宋体"/>
          <w:szCs w:val="21"/>
        </w:rPr>
      </w:pPr>
      <w:r>
        <w:rPr>
          <w:rFonts w:hint="eastAsia" w:ascii="宋体" w:hAnsi="宋体"/>
          <w:szCs w:val="21"/>
        </w:rPr>
        <w:t>联系方式：</w:t>
      </w:r>
      <w:r>
        <w:rPr>
          <w:rFonts w:ascii="宋体" w:hAnsi="宋体"/>
          <w:szCs w:val="21"/>
          <w:u w:val="single"/>
        </w:rPr>
        <w:t xml:space="preserve">                          </w:t>
      </w:r>
      <w:r>
        <w:rPr>
          <w:rFonts w:hint="eastAsia" w:ascii="宋体" w:hAnsi="宋体"/>
          <w:szCs w:val="21"/>
        </w:rPr>
        <w:t>；</w:t>
      </w:r>
    </w:p>
    <w:p w14:paraId="077CE6F7">
      <w:pPr>
        <w:spacing w:line="360" w:lineRule="auto"/>
        <w:ind w:firstLine="420" w:firstLineChars="200"/>
        <w:jc w:val="left"/>
        <w:rPr>
          <w:rFonts w:ascii="宋体" w:hAnsi="宋体"/>
          <w:szCs w:val="21"/>
        </w:rPr>
      </w:pPr>
      <w:r>
        <w:rPr>
          <w:rFonts w:hint="eastAsia" w:ascii="宋体" w:hAnsi="宋体"/>
          <w:szCs w:val="21"/>
        </w:rPr>
        <w:t>关于监理人的其他约定：</w:t>
      </w:r>
      <w:r>
        <w:rPr>
          <w:rFonts w:hint="eastAsia" w:ascii="宋体" w:hAnsi="宋体"/>
          <w:szCs w:val="21"/>
          <w:u w:val="single"/>
        </w:rPr>
        <w:t>见发包人与监理人就本工程签订的监理合同</w:t>
      </w:r>
      <w:r>
        <w:rPr>
          <w:rFonts w:hint="eastAsia" w:ascii="宋体" w:hAnsi="宋体"/>
          <w:szCs w:val="21"/>
        </w:rPr>
        <w:t>。</w:t>
      </w:r>
    </w:p>
    <w:p w14:paraId="2F83DCF9">
      <w:pPr>
        <w:pStyle w:val="7"/>
        <w:spacing w:before="0" w:beforeAutospacing="0" w:after="0" w:afterAutospacing="0" w:line="360" w:lineRule="auto"/>
        <w:ind w:firstLine="420" w:firstLineChars="200"/>
        <w:rPr>
          <w:b w:val="0"/>
          <w:sz w:val="21"/>
          <w:szCs w:val="21"/>
        </w:rPr>
      </w:pPr>
      <w:bookmarkStart w:id="1161" w:name="_Toc532377343"/>
      <w:r>
        <w:rPr>
          <w:rFonts w:hint="eastAsia"/>
          <w:b w:val="0"/>
          <w:sz w:val="21"/>
          <w:szCs w:val="21"/>
        </w:rPr>
        <w:t>4.4 商定或确定</w:t>
      </w:r>
      <w:bookmarkEnd w:id="1161"/>
    </w:p>
    <w:p w14:paraId="6C61A408">
      <w:pPr>
        <w:spacing w:line="360" w:lineRule="auto"/>
        <w:ind w:firstLine="420" w:firstLineChars="200"/>
        <w:jc w:val="left"/>
        <w:rPr>
          <w:rFonts w:ascii="宋体" w:hAnsi="宋体"/>
          <w:szCs w:val="21"/>
        </w:rPr>
      </w:pPr>
      <w:bookmarkStart w:id="1162" w:name="_Toc267251418"/>
      <w:r>
        <w:rPr>
          <w:rFonts w:hint="eastAsia" w:ascii="宋体" w:hAnsi="宋体"/>
          <w:szCs w:val="21"/>
        </w:rPr>
        <w:t>在发包人和承包人不能通过协商达成一致意见时，发包人授权监理人对以下事项进行确定：</w:t>
      </w:r>
    </w:p>
    <w:p w14:paraId="7987CAF1">
      <w:pPr>
        <w:spacing w:line="360" w:lineRule="auto"/>
        <w:ind w:firstLine="420" w:firstLineChars="200"/>
        <w:jc w:val="left"/>
        <w:rPr>
          <w:rFonts w:ascii="宋体" w:hAnsi="宋体"/>
          <w:szCs w:val="21"/>
        </w:rPr>
      </w:pPr>
      <w:r>
        <w:rPr>
          <w:rFonts w:hint="eastAsia" w:ascii="宋体" w:hAnsi="宋体"/>
          <w:szCs w:val="21"/>
          <w:u w:val="single"/>
        </w:rPr>
        <w:t xml:space="preserve">                          </w:t>
      </w:r>
      <w:r>
        <w:rPr>
          <w:rFonts w:hint="eastAsia" w:ascii="宋体" w:hAnsi="宋体"/>
          <w:szCs w:val="21"/>
        </w:rPr>
        <w:t>。</w:t>
      </w:r>
    </w:p>
    <w:p w14:paraId="3F199C95">
      <w:pPr>
        <w:pStyle w:val="6"/>
        <w:keepNext/>
        <w:keepLines/>
        <w:spacing w:before="156" w:beforeLines="50" w:beforeAutospacing="0" w:after="156" w:afterLines="50" w:afterAutospacing="0" w:line="360" w:lineRule="auto"/>
        <w:jc w:val="both"/>
        <w:rPr>
          <w:bCs w:val="0"/>
          <w:kern w:val="2"/>
          <w:sz w:val="21"/>
          <w:szCs w:val="21"/>
        </w:rPr>
      </w:pPr>
      <w:bookmarkStart w:id="1163" w:name="_Toc532375612"/>
      <w:bookmarkStart w:id="1164" w:name="_Toc351203637"/>
      <w:bookmarkStart w:id="1165" w:name="_Toc532377344"/>
      <w:r>
        <w:rPr>
          <w:rFonts w:hint="eastAsia"/>
          <w:kern w:val="2"/>
          <w:sz w:val="21"/>
          <w:szCs w:val="21"/>
        </w:rPr>
        <w:t>5</w:t>
      </w:r>
      <w:bookmarkEnd w:id="1162"/>
      <w:bookmarkStart w:id="1166" w:name="_Toc296347162"/>
      <w:bookmarkStart w:id="1167" w:name="_Toc296890991"/>
      <w:bookmarkStart w:id="1168" w:name="_Toc297048349"/>
      <w:bookmarkStart w:id="1169" w:name="_Toc296503163"/>
      <w:bookmarkStart w:id="1170" w:name="_Toc296891203"/>
      <w:bookmarkStart w:id="1171" w:name="_Toc296944502"/>
      <w:bookmarkStart w:id="1172" w:name="_Toc296346664"/>
      <w:bookmarkStart w:id="1173" w:name="_Toc297120463"/>
      <w:bookmarkStart w:id="1174" w:name="_Toc292559367"/>
      <w:bookmarkStart w:id="1175" w:name="_Toc292559872"/>
      <w:r>
        <w:rPr>
          <w:rFonts w:hint="eastAsia"/>
          <w:kern w:val="2"/>
          <w:sz w:val="21"/>
          <w:szCs w:val="21"/>
        </w:rPr>
        <w:t>. 工程质量</w:t>
      </w:r>
      <w:bookmarkEnd w:id="1163"/>
      <w:bookmarkEnd w:id="1164"/>
      <w:bookmarkEnd w:id="1165"/>
    </w:p>
    <w:p w14:paraId="2043C256">
      <w:pPr>
        <w:pStyle w:val="7"/>
        <w:spacing w:before="0" w:beforeAutospacing="0" w:after="0" w:afterAutospacing="0" w:line="360" w:lineRule="auto"/>
        <w:ind w:firstLine="422" w:firstLineChars="200"/>
        <w:rPr>
          <w:sz w:val="21"/>
          <w:szCs w:val="21"/>
        </w:rPr>
      </w:pPr>
      <w:bookmarkStart w:id="1176" w:name="_Toc532377345"/>
      <w:r>
        <w:rPr>
          <w:rFonts w:hint="eastAsia"/>
          <w:sz w:val="21"/>
          <w:szCs w:val="21"/>
        </w:rPr>
        <w:t>5.1 质量要求</w:t>
      </w:r>
      <w:bookmarkEnd w:id="1176"/>
      <w:bookmarkStart w:id="1177" w:name="_Hlk528909888"/>
      <w:bookmarkStart w:id="1178" w:name="_Toc303539106"/>
      <w:bookmarkStart w:id="1179" w:name="_Toc300934949"/>
      <w:bookmarkStart w:id="1180" w:name="_Toc304295527"/>
      <w:bookmarkStart w:id="1181" w:name="_Toc312677997"/>
      <w:bookmarkStart w:id="1182" w:name="_Toc297216155"/>
      <w:bookmarkStart w:id="1183" w:name="_Toc297123496"/>
      <w:bookmarkStart w:id="1184" w:name="_Toc318581164"/>
    </w:p>
    <w:p w14:paraId="797DBA89">
      <w:pPr>
        <w:spacing w:line="360" w:lineRule="auto"/>
        <w:ind w:firstLine="420" w:firstLineChars="200"/>
        <w:jc w:val="left"/>
        <w:rPr>
          <w:rFonts w:ascii="宋体" w:hAnsi="宋体"/>
          <w:szCs w:val="21"/>
          <w:u w:val="single"/>
        </w:rPr>
      </w:pPr>
      <w:r>
        <w:rPr>
          <w:rFonts w:hint="eastAsia" w:ascii="宋体" w:hAnsi="宋体"/>
          <w:szCs w:val="21"/>
        </w:rPr>
        <w:t>工程质量符合强制性质量标准，</w:t>
      </w:r>
      <w:r>
        <w:rPr>
          <w:rFonts w:hint="eastAsia" w:ascii="宋体" w:hAnsi="宋体"/>
          <w:szCs w:val="21"/>
          <w:u w:val="single"/>
        </w:rPr>
        <w:t>符合国家和重庆市现行有关施工质量验收规范要求，并达到合格标准</w:t>
      </w:r>
      <w:r>
        <w:rPr>
          <w:rFonts w:hint="eastAsia" w:ascii="宋体" w:hAnsi="宋体"/>
          <w:szCs w:val="21"/>
        </w:rPr>
        <w:t>。强制性质量标准有（包括但不限于）：</w:t>
      </w:r>
      <w:r>
        <w:rPr>
          <w:rFonts w:hint="eastAsia" w:ascii="宋体" w:hAnsi="宋体"/>
          <w:szCs w:val="21"/>
          <w:u w:val="single"/>
        </w:rPr>
        <w:t xml:space="preserve">            </w:t>
      </w:r>
      <w:r>
        <w:rPr>
          <w:rFonts w:hint="eastAsia" w:ascii="宋体" w:hAnsi="宋体"/>
          <w:szCs w:val="21"/>
        </w:rPr>
        <w:t>。</w:t>
      </w:r>
    </w:p>
    <w:bookmarkEnd w:id="1177"/>
    <w:p w14:paraId="62D8BF22">
      <w:pPr>
        <w:pStyle w:val="7"/>
        <w:spacing w:before="0" w:beforeAutospacing="0" w:after="0" w:afterAutospacing="0" w:line="360" w:lineRule="auto"/>
        <w:ind w:firstLine="422" w:firstLineChars="200"/>
        <w:rPr>
          <w:sz w:val="21"/>
          <w:szCs w:val="21"/>
        </w:rPr>
      </w:pPr>
      <w:bookmarkStart w:id="1185" w:name="_Toc532377346"/>
      <w:r>
        <w:rPr>
          <w:rFonts w:hint="eastAsia"/>
          <w:sz w:val="21"/>
          <w:szCs w:val="21"/>
        </w:rPr>
        <w:t>5.2 质量保证措施</w:t>
      </w:r>
      <w:bookmarkEnd w:id="1185"/>
    </w:p>
    <w:p w14:paraId="688E6B76">
      <w:pPr>
        <w:spacing w:line="360" w:lineRule="auto"/>
        <w:ind w:firstLine="420" w:firstLineChars="200"/>
        <w:jc w:val="left"/>
        <w:rPr>
          <w:rFonts w:ascii="宋体" w:hAnsi="宋体"/>
          <w:szCs w:val="21"/>
        </w:rPr>
      </w:pPr>
      <w:r>
        <w:rPr>
          <w:rFonts w:hint="eastAsia" w:ascii="宋体" w:hAnsi="宋体"/>
          <w:szCs w:val="21"/>
        </w:rPr>
        <w:t>本款补充5.2.4项：</w:t>
      </w:r>
    </w:p>
    <w:p w14:paraId="53E26E4D">
      <w:pPr>
        <w:spacing w:line="360" w:lineRule="auto"/>
        <w:ind w:firstLine="420" w:firstLineChars="200"/>
        <w:jc w:val="left"/>
        <w:rPr>
          <w:rFonts w:ascii="宋体" w:hAnsi="宋体"/>
          <w:szCs w:val="21"/>
        </w:rPr>
      </w:pPr>
      <w:r>
        <w:rPr>
          <w:rFonts w:hint="eastAsia" w:ascii="宋体" w:hAnsi="宋体"/>
          <w:szCs w:val="21"/>
        </w:rPr>
        <w:t>5.2.4 在工程建设中，参建各方应严格执行以下规定（包括但不限于）：</w:t>
      </w:r>
    </w:p>
    <w:p w14:paraId="0947FA3C">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《建筑工程施工质量验收统一标准》（GB50300-2013）</w:t>
      </w:r>
      <w:r>
        <w:rPr>
          <w:rFonts w:hint="eastAsia" w:ascii="宋体" w:hAnsi="宋体"/>
          <w:szCs w:val="21"/>
        </w:rPr>
        <w:t>；</w:t>
      </w:r>
    </w:p>
    <w:p w14:paraId="37355726">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《住房城乡建设部关于印发工程质量安全提升行动方案的通知》（建质〔2017〕57号）</w:t>
      </w:r>
      <w:r>
        <w:rPr>
          <w:rFonts w:hint="eastAsia" w:ascii="宋体" w:hAnsi="宋体"/>
          <w:szCs w:val="21"/>
        </w:rPr>
        <w:t>；</w:t>
      </w:r>
    </w:p>
    <w:p w14:paraId="4901836D">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《房屋建筑和市政基础设施工程竣工验收规定》（建质〔2013〕171号）</w:t>
      </w:r>
      <w:r>
        <w:rPr>
          <w:rFonts w:hint="eastAsia" w:ascii="宋体" w:hAnsi="宋体"/>
          <w:szCs w:val="21"/>
        </w:rPr>
        <w:t>；</w:t>
      </w:r>
    </w:p>
    <w:p w14:paraId="13EF7DFE">
      <w:pPr>
        <w:spacing w:line="360" w:lineRule="auto"/>
        <w:ind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《建设部关于贯彻执行建筑工程勘察设计及施工质量验收规范若干问题的通知》（建标〔2002〕212号）</w:t>
      </w:r>
      <w:r>
        <w:rPr>
          <w:rFonts w:hint="eastAsia" w:ascii="宋体" w:hAnsi="宋体"/>
          <w:szCs w:val="21"/>
        </w:rPr>
        <w:t>；</w:t>
      </w:r>
    </w:p>
    <w:p w14:paraId="0CF4CC46">
      <w:pPr>
        <w:spacing w:line="360" w:lineRule="auto"/>
        <w:ind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《重庆市住房和城乡建设委员会关于印发&lt;重庆市房屋建筑和市政基础设施工程质量常见问题防治要点（2019年版）&gt;的通知》（渝建〔2019〕198号）</w:t>
      </w:r>
      <w:r>
        <w:rPr>
          <w:rFonts w:hint="eastAsia" w:ascii="宋体" w:hAnsi="宋体"/>
          <w:szCs w:val="21"/>
        </w:rPr>
        <w:t>；</w:t>
      </w:r>
    </w:p>
    <w:p w14:paraId="08772F8F">
      <w:pPr>
        <w:spacing w:line="360" w:lineRule="auto"/>
        <w:ind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《关于印发&lt;重庆市房屋建筑和市政基础设施工程预拌商品砂浆应用推进工作方案&gt;的通知》（渝建〔2018〕375号）</w:t>
      </w:r>
      <w:r>
        <w:rPr>
          <w:rFonts w:hint="eastAsia" w:ascii="宋体" w:hAnsi="宋体"/>
          <w:szCs w:val="21"/>
        </w:rPr>
        <w:t>；</w:t>
      </w:r>
    </w:p>
    <w:p w14:paraId="5255FE9B">
      <w:pPr>
        <w:spacing w:line="360" w:lineRule="auto"/>
        <w:ind w:firstLine="420" w:firstLineChars="200"/>
        <w:jc w:val="left"/>
        <w:rPr>
          <w:rFonts w:ascii="宋体" w:hAnsi="宋体"/>
          <w:szCs w:val="21"/>
        </w:rPr>
      </w:pPr>
      <w:r>
        <w:rPr>
          <w:rFonts w:hint="eastAsia" w:ascii="宋体" w:hAnsi="宋体"/>
          <w:szCs w:val="21"/>
        </w:rPr>
        <w:t>（7）</w:t>
      </w:r>
      <w:r>
        <w:rPr>
          <w:rFonts w:hint="eastAsia" w:ascii="宋体" w:hAnsi="宋体"/>
          <w:szCs w:val="21"/>
          <w:u w:val="single"/>
        </w:rPr>
        <w:t>《重庆市城乡建设委员会关于印发2018年房屋建筑和市政基础设施工程质量要点的通知》（渝建〔2018〕94号）</w:t>
      </w:r>
      <w:r>
        <w:rPr>
          <w:rFonts w:hint="eastAsia" w:ascii="宋体" w:hAnsi="宋体"/>
          <w:szCs w:val="21"/>
        </w:rPr>
        <w:t>；</w:t>
      </w:r>
    </w:p>
    <w:p w14:paraId="0AC08801">
      <w:pPr>
        <w:spacing w:line="360" w:lineRule="auto"/>
        <w:ind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《重庆市城乡建设委员会关于进一步推广应用预拌商品砂浆的通知》（渝建〔2016〕318号）</w:t>
      </w:r>
      <w:r>
        <w:rPr>
          <w:rFonts w:hint="eastAsia" w:ascii="宋体" w:hAnsi="宋体"/>
          <w:szCs w:val="21"/>
        </w:rPr>
        <w:t>；</w:t>
      </w:r>
    </w:p>
    <w:p w14:paraId="1DA760CB">
      <w:pPr>
        <w:spacing w:line="360" w:lineRule="auto"/>
        <w:ind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《重庆市建设委员会关于发布&lt;建筑工程施工质量验收规范用表（建筑节能分部工程）&gt;和&lt;建设工程技术用表（建筑节能工程）&gt;的通知》（渝建发〔2008〕76号）</w:t>
      </w:r>
      <w:r>
        <w:rPr>
          <w:rFonts w:hint="eastAsia" w:ascii="宋体" w:hAnsi="宋体"/>
          <w:szCs w:val="21"/>
        </w:rPr>
        <w:t>；</w:t>
      </w:r>
    </w:p>
    <w:p w14:paraId="0AD76535">
      <w:pPr>
        <w:spacing w:line="360" w:lineRule="auto"/>
        <w:ind w:firstLine="420" w:firstLineChars="200"/>
        <w:jc w:val="left"/>
        <w:rPr>
          <w:rFonts w:ascii="宋体" w:hAnsi="宋体"/>
          <w:szCs w:val="21"/>
        </w:rPr>
      </w:pPr>
      <w:r>
        <w:rPr>
          <w:rFonts w:hint="eastAsia" w:ascii="宋体" w:hAnsi="宋体"/>
          <w:szCs w:val="21"/>
        </w:rPr>
        <w:t>（10）</w:t>
      </w:r>
      <w:r>
        <w:rPr>
          <w:rFonts w:hint="eastAsia" w:ascii="宋体" w:hAnsi="宋体"/>
          <w:szCs w:val="21"/>
          <w:u w:val="single"/>
        </w:rPr>
        <w:t>国家和本市现行有关建设工程质量验收标准、规范和要求</w:t>
      </w:r>
      <w:r>
        <w:rPr>
          <w:rFonts w:hint="eastAsia" w:ascii="宋体" w:hAnsi="宋体"/>
          <w:szCs w:val="21"/>
        </w:rPr>
        <w:t>；</w:t>
      </w:r>
    </w:p>
    <w:p w14:paraId="7C7CC2C4">
      <w:pPr>
        <w:pStyle w:val="2"/>
        <w:spacing w:after="0"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4687C8F0">
      <w:pPr>
        <w:spacing w:line="360" w:lineRule="auto"/>
        <w:ind w:firstLine="420" w:firstLineChars="200"/>
        <w:jc w:val="left"/>
        <w:rPr>
          <w:rFonts w:ascii="宋体" w:hAnsi="宋体"/>
          <w:szCs w:val="21"/>
        </w:rPr>
      </w:pPr>
      <w:r>
        <w:rPr>
          <w:rFonts w:hint="eastAsia" w:ascii="宋体" w:hAnsi="宋体"/>
          <w:szCs w:val="21"/>
        </w:rPr>
        <w:t>承包人、监理人和发包人在工程建设中，应严格执行国家及重庆市现行标准，如上述标准及规范要求有出入则以较严格者为准。</w:t>
      </w:r>
    </w:p>
    <w:p w14:paraId="55C72765">
      <w:pPr>
        <w:pStyle w:val="7"/>
        <w:spacing w:before="0" w:beforeAutospacing="0" w:after="0" w:afterAutospacing="0" w:line="360" w:lineRule="auto"/>
        <w:ind w:firstLine="422" w:firstLineChars="200"/>
        <w:rPr>
          <w:sz w:val="21"/>
          <w:szCs w:val="21"/>
        </w:rPr>
      </w:pPr>
      <w:bookmarkStart w:id="1186" w:name="_Toc351203536"/>
      <w:bookmarkStart w:id="1187" w:name="_Toc532377347"/>
      <w:bookmarkStart w:id="1188" w:name="_Hlk528927873"/>
      <w:r>
        <w:rPr>
          <w:rFonts w:hint="eastAsia"/>
          <w:sz w:val="21"/>
          <w:szCs w:val="21"/>
        </w:rPr>
        <w:t>5.3隐蔽工程检查</w:t>
      </w:r>
    </w:p>
    <w:p w14:paraId="5FEB575D">
      <w:pPr>
        <w:spacing w:line="360" w:lineRule="auto"/>
        <w:ind w:firstLine="420" w:firstLineChars="200"/>
        <w:jc w:val="left"/>
        <w:rPr>
          <w:rFonts w:ascii="宋体" w:hAnsi="宋体"/>
          <w:szCs w:val="21"/>
        </w:rPr>
      </w:pPr>
      <w:r>
        <w:rPr>
          <w:rFonts w:hint="eastAsia" w:ascii="宋体" w:hAnsi="宋体"/>
          <w:szCs w:val="21"/>
        </w:rPr>
        <w:t>5.3.2检查程序</w:t>
      </w:r>
    </w:p>
    <w:p w14:paraId="0F475799">
      <w:pPr>
        <w:spacing w:line="360" w:lineRule="auto"/>
        <w:ind w:firstLine="420" w:firstLineChars="200"/>
        <w:jc w:val="left"/>
        <w:rPr>
          <w:rFonts w:ascii="宋体" w:hAnsi="宋体"/>
          <w:szCs w:val="21"/>
        </w:rPr>
      </w:pPr>
      <w:r>
        <w:rPr>
          <w:rFonts w:hint="eastAsia" w:ascii="宋体" w:hAnsi="宋体"/>
          <w:szCs w:val="21"/>
        </w:rPr>
        <w:t>工程隐蔽部位经承包人自检确认具备覆盖条件的，承包人应在共同检查前</w:t>
      </w:r>
      <w:r>
        <w:rPr>
          <w:rFonts w:hint="eastAsia" w:ascii="宋体" w:hAnsi="宋体"/>
          <w:szCs w:val="21"/>
          <w:u w:val="single"/>
        </w:rPr>
        <w:t xml:space="preserve">    </w:t>
      </w:r>
      <w:r>
        <w:rPr>
          <w:rFonts w:hint="eastAsia" w:ascii="宋体" w:hAnsi="宋体"/>
          <w:szCs w:val="21"/>
        </w:rPr>
        <w:t>小时书面通知监理人检查，通知中应载明隐蔽检查的内容、时间和地点，并应附有自检记录和必要的检查资料。</w:t>
      </w:r>
    </w:p>
    <w:p w14:paraId="334DC9AC">
      <w:pPr>
        <w:pStyle w:val="7"/>
        <w:spacing w:before="0" w:beforeAutospacing="0" w:after="0" w:afterAutospacing="0" w:line="360" w:lineRule="auto"/>
        <w:ind w:firstLine="422" w:firstLineChars="200"/>
        <w:rPr>
          <w:sz w:val="21"/>
          <w:szCs w:val="21"/>
        </w:rPr>
      </w:pPr>
      <w:r>
        <w:rPr>
          <w:rFonts w:hint="eastAsia"/>
          <w:sz w:val="21"/>
          <w:szCs w:val="21"/>
        </w:rPr>
        <w:t>5</w:t>
      </w:r>
      <w:bookmarkStart w:id="1189" w:name="_Toc337558762"/>
      <w:r>
        <w:rPr>
          <w:rFonts w:hint="eastAsia"/>
          <w:sz w:val="21"/>
          <w:szCs w:val="21"/>
        </w:rPr>
        <w:t>.4 不合格工程的处理</w:t>
      </w:r>
      <w:bookmarkEnd w:id="1186"/>
      <w:bookmarkEnd w:id="1187"/>
    </w:p>
    <w:bookmarkEnd w:id="1189"/>
    <w:p w14:paraId="5781C805">
      <w:pPr>
        <w:spacing w:line="360" w:lineRule="auto"/>
        <w:ind w:firstLine="420" w:firstLineChars="200"/>
        <w:jc w:val="left"/>
        <w:rPr>
          <w:rFonts w:ascii="宋体" w:hAnsi="宋体"/>
          <w:szCs w:val="21"/>
        </w:rPr>
      </w:pPr>
      <w:r>
        <w:rPr>
          <w:rFonts w:hint="eastAsia" w:ascii="宋体" w:hAnsi="宋体"/>
          <w:szCs w:val="21"/>
        </w:rPr>
        <w:t>本款补充5.4.3项：</w:t>
      </w:r>
    </w:p>
    <w:p w14:paraId="27B35A5D">
      <w:pPr>
        <w:spacing w:line="360" w:lineRule="auto"/>
        <w:ind w:firstLine="420" w:firstLineChars="200"/>
        <w:jc w:val="left"/>
        <w:rPr>
          <w:rFonts w:ascii="宋体" w:hAnsi="宋体"/>
          <w:szCs w:val="21"/>
        </w:rPr>
      </w:pPr>
      <w:r>
        <w:rPr>
          <w:rFonts w:hint="eastAsia" w:ascii="宋体" w:hAnsi="宋体"/>
          <w:szCs w:val="21"/>
        </w:rPr>
        <w:t>5.4.3 承包人在收到监理人发出的《不合格分项报告》或监理通知单后，必须在监理人规定时间内按要求完成整改，未能在限定时间内完成整改的，须承担相应违约责任。</w:t>
      </w:r>
    </w:p>
    <w:p w14:paraId="091F6EBF">
      <w:pPr>
        <w:spacing w:line="360" w:lineRule="auto"/>
        <w:ind w:firstLine="420" w:firstLineChars="200"/>
        <w:jc w:val="left"/>
        <w:rPr>
          <w:rFonts w:ascii="宋体" w:hAnsi="宋体"/>
          <w:szCs w:val="21"/>
        </w:rPr>
      </w:pPr>
      <w:r>
        <w:rPr>
          <w:rFonts w:hint="eastAsia" w:ascii="宋体" w:hAnsi="宋体"/>
          <w:szCs w:val="21"/>
        </w:rPr>
        <w:t>本条补充5.6款：</w:t>
      </w:r>
    </w:p>
    <w:bookmarkEnd w:id="1188"/>
    <w:p w14:paraId="773115FA">
      <w:pPr>
        <w:pStyle w:val="7"/>
        <w:spacing w:before="0" w:beforeAutospacing="0" w:after="0" w:afterAutospacing="0" w:line="360" w:lineRule="auto"/>
        <w:ind w:firstLine="422" w:firstLineChars="200"/>
        <w:rPr>
          <w:sz w:val="21"/>
          <w:szCs w:val="21"/>
        </w:rPr>
      </w:pPr>
      <w:bookmarkStart w:id="1190" w:name="_Toc532377348"/>
      <w:r>
        <w:rPr>
          <w:rFonts w:hint="eastAsia"/>
          <w:sz w:val="21"/>
          <w:szCs w:val="21"/>
        </w:rPr>
        <w:t>5.6 质量事故的处理</w:t>
      </w:r>
      <w:bookmarkEnd w:id="1190"/>
    </w:p>
    <w:p w14:paraId="0B850105">
      <w:pPr>
        <w:spacing w:line="360" w:lineRule="auto"/>
        <w:ind w:firstLine="420" w:firstLineChars="200"/>
        <w:jc w:val="left"/>
        <w:rPr>
          <w:rFonts w:ascii="宋体" w:hAnsi="宋体"/>
          <w:szCs w:val="21"/>
        </w:rPr>
      </w:pPr>
      <w:r>
        <w:rPr>
          <w:rFonts w:hint="eastAsia" w:ascii="宋体" w:hAnsi="宋体"/>
          <w:szCs w:val="21"/>
        </w:rPr>
        <w:t>5.6.1 合同履行过程中，发生工程质量事故的调查处理按照国家及重庆市现行规定处理。</w:t>
      </w:r>
    </w:p>
    <w:p w14:paraId="033E8CE5">
      <w:pPr>
        <w:spacing w:line="360" w:lineRule="auto"/>
        <w:ind w:firstLine="420" w:firstLineChars="200"/>
        <w:jc w:val="left"/>
        <w:rPr>
          <w:rFonts w:ascii="宋体" w:hAnsi="宋体"/>
          <w:szCs w:val="21"/>
        </w:rPr>
      </w:pPr>
      <w:r>
        <w:rPr>
          <w:rFonts w:hint="eastAsia" w:ascii="宋体" w:hAnsi="宋体"/>
          <w:szCs w:val="21"/>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bookmarkEnd w:id="1166"/>
    <w:bookmarkEnd w:id="1167"/>
    <w:bookmarkEnd w:id="1168"/>
    <w:bookmarkEnd w:id="1169"/>
    <w:bookmarkEnd w:id="1170"/>
    <w:bookmarkEnd w:id="1171"/>
    <w:bookmarkEnd w:id="1172"/>
    <w:bookmarkEnd w:id="1173"/>
    <w:bookmarkEnd w:id="1174"/>
    <w:bookmarkEnd w:id="1175"/>
    <w:bookmarkEnd w:id="1178"/>
    <w:bookmarkEnd w:id="1179"/>
    <w:bookmarkEnd w:id="1180"/>
    <w:bookmarkEnd w:id="1181"/>
    <w:bookmarkEnd w:id="1182"/>
    <w:bookmarkEnd w:id="1183"/>
    <w:bookmarkEnd w:id="1184"/>
    <w:p w14:paraId="23B53C83">
      <w:pPr>
        <w:pStyle w:val="6"/>
        <w:keepNext/>
        <w:keepLines/>
        <w:spacing w:before="156" w:beforeLines="50" w:beforeAutospacing="0" w:after="156" w:afterLines="50" w:afterAutospacing="0" w:line="360" w:lineRule="auto"/>
        <w:jc w:val="both"/>
        <w:rPr>
          <w:bCs w:val="0"/>
          <w:kern w:val="2"/>
          <w:sz w:val="21"/>
          <w:szCs w:val="21"/>
        </w:rPr>
      </w:pPr>
      <w:bookmarkStart w:id="1191" w:name="_Toc351203638"/>
      <w:bookmarkStart w:id="1192" w:name="_Toc532377349"/>
      <w:bookmarkStart w:id="1193" w:name="_Toc532375613"/>
      <w:bookmarkStart w:id="1194" w:name="_Toc297120473"/>
      <w:bookmarkStart w:id="1195" w:name="_Toc296347172"/>
      <w:bookmarkStart w:id="1196" w:name="_Toc267251428"/>
      <w:bookmarkStart w:id="1197" w:name="_Toc296891001"/>
      <w:bookmarkStart w:id="1198" w:name="_Toc296891213"/>
      <w:bookmarkStart w:id="1199" w:name="_Toc296944512"/>
      <w:bookmarkStart w:id="1200" w:name="_Toc267251427"/>
      <w:bookmarkStart w:id="1201" w:name="_Toc351203642"/>
      <w:bookmarkStart w:id="1202" w:name="_Toc292559378"/>
      <w:bookmarkStart w:id="1203" w:name="_Toc297048359"/>
      <w:bookmarkStart w:id="1204" w:name="_Toc296503173"/>
      <w:bookmarkStart w:id="1205" w:name="_Toc296346674"/>
      <w:bookmarkStart w:id="1206" w:name="_Toc292559883"/>
      <w:r>
        <w:rPr>
          <w:rFonts w:hint="eastAsia"/>
          <w:kern w:val="2"/>
          <w:sz w:val="21"/>
          <w:szCs w:val="21"/>
        </w:rPr>
        <w:t>6. 安全文明施工与环境保护</w:t>
      </w:r>
      <w:bookmarkEnd w:id="1191"/>
      <w:bookmarkEnd w:id="1192"/>
      <w:bookmarkEnd w:id="1193"/>
    </w:p>
    <w:p w14:paraId="1B8108AA">
      <w:pPr>
        <w:pStyle w:val="7"/>
        <w:spacing w:before="0" w:beforeAutospacing="0" w:after="0" w:afterAutospacing="0" w:line="360" w:lineRule="auto"/>
        <w:ind w:firstLine="422" w:firstLineChars="200"/>
        <w:rPr>
          <w:sz w:val="21"/>
          <w:szCs w:val="21"/>
        </w:rPr>
      </w:pPr>
      <w:bookmarkStart w:id="1207" w:name="_Toc532375614"/>
      <w:bookmarkStart w:id="1208" w:name="_Toc532377350"/>
      <w:r>
        <w:rPr>
          <w:rFonts w:hint="eastAsia"/>
          <w:sz w:val="21"/>
          <w:szCs w:val="21"/>
        </w:rPr>
        <w:t>6.1 安全文明施工</w:t>
      </w:r>
      <w:bookmarkEnd w:id="1207"/>
      <w:bookmarkEnd w:id="1208"/>
    </w:p>
    <w:p w14:paraId="57AD381D">
      <w:pPr>
        <w:spacing w:line="360" w:lineRule="auto"/>
        <w:ind w:firstLine="420" w:firstLineChars="200"/>
        <w:jc w:val="left"/>
        <w:rPr>
          <w:rFonts w:ascii="宋体" w:hAnsi="宋体"/>
          <w:szCs w:val="21"/>
        </w:rPr>
      </w:pPr>
      <w:r>
        <w:rPr>
          <w:rFonts w:hint="eastAsia" w:ascii="宋体" w:hAnsi="宋体"/>
          <w:szCs w:val="21"/>
        </w:rPr>
        <w:t>承包人必须认真贯彻执行国家安全生产法律、法规、规章和强制性安全标准，按照重庆市现行的质量、安全文明施工有关规定和发包人安全管理的有关规定，建立完善的质量、安全、文明施工管理制度。</w:t>
      </w:r>
    </w:p>
    <w:p w14:paraId="268D1C99">
      <w:pPr>
        <w:spacing w:line="360" w:lineRule="auto"/>
        <w:ind w:firstLine="420" w:firstLineChars="200"/>
        <w:jc w:val="left"/>
        <w:rPr>
          <w:rFonts w:ascii="宋体" w:hAnsi="宋体"/>
          <w:szCs w:val="21"/>
        </w:rPr>
      </w:pPr>
      <w:r>
        <w:rPr>
          <w:rFonts w:hint="eastAsia" w:ascii="宋体" w:hAnsi="宋体"/>
          <w:szCs w:val="21"/>
        </w:rPr>
        <w:t>承包人的施工要做到节能、环保，如果通过采用新材料、新设备、新工艺、新技术的手段来提高工程质量或节省工期，则必须保证新材料、新设备、新工艺、新技术是成熟的并获得相关部门正式批准的，同时使用前承包人必须组织专家论证，并得到发包人、监理人的批准。</w:t>
      </w:r>
    </w:p>
    <w:p w14:paraId="0F3F5E71">
      <w:pPr>
        <w:spacing w:line="360" w:lineRule="auto"/>
        <w:ind w:firstLine="420" w:firstLineChars="200"/>
        <w:jc w:val="left"/>
        <w:rPr>
          <w:rFonts w:ascii="宋体" w:hAnsi="宋体"/>
          <w:szCs w:val="21"/>
          <w:u w:val="single"/>
        </w:rPr>
      </w:pPr>
      <w:r>
        <w:rPr>
          <w:rFonts w:hint="eastAsia" w:ascii="宋体" w:hAnsi="宋体"/>
          <w:szCs w:val="21"/>
        </w:rPr>
        <w:t>6.1.1 项目安全生产的达标目标及相应事项的约定：</w:t>
      </w:r>
      <w:r>
        <w:rPr>
          <w:rFonts w:hint="eastAsia" w:ascii="宋体" w:hAnsi="宋体"/>
          <w:szCs w:val="21"/>
          <w:u w:val="single"/>
        </w:rPr>
        <w:t>达到《建筑施工安全检查标准》（JGJ59-2011）的要求</w:t>
      </w:r>
      <w:r>
        <w:rPr>
          <w:rFonts w:hint="eastAsia" w:ascii="宋体" w:hAnsi="宋体"/>
          <w:szCs w:val="21"/>
        </w:rPr>
        <w:t>。</w:t>
      </w:r>
    </w:p>
    <w:p w14:paraId="5716B137">
      <w:pPr>
        <w:spacing w:line="360" w:lineRule="auto"/>
        <w:ind w:firstLine="420" w:firstLineChars="200"/>
        <w:jc w:val="left"/>
        <w:rPr>
          <w:rFonts w:ascii="宋体" w:hAnsi="宋体"/>
          <w:szCs w:val="21"/>
        </w:rPr>
      </w:pPr>
      <w:r>
        <w:rPr>
          <w:rFonts w:hint="eastAsia" w:ascii="宋体" w:hAnsi="宋体"/>
          <w:szCs w:val="21"/>
          <w:u w:val="single"/>
        </w:rPr>
        <w:t>（1）按现行安全文明施工费计取及使用管理的政策文件规定及发包人制订的安全管理制度执行</w:t>
      </w:r>
      <w:r>
        <w:rPr>
          <w:rFonts w:hint="eastAsia" w:ascii="宋体" w:hAnsi="宋体"/>
          <w:szCs w:val="21"/>
        </w:rPr>
        <w:t>。</w:t>
      </w:r>
    </w:p>
    <w:p w14:paraId="3B7CA791">
      <w:pPr>
        <w:spacing w:line="360" w:lineRule="auto"/>
        <w:ind w:firstLine="420" w:firstLineChars="200"/>
        <w:jc w:val="left"/>
        <w:rPr>
          <w:rFonts w:ascii="宋体" w:hAnsi="宋体"/>
          <w:szCs w:val="21"/>
        </w:rPr>
      </w:pPr>
      <w:r>
        <w:rPr>
          <w:rFonts w:hint="eastAsia" w:ascii="宋体" w:hAnsi="宋体"/>
          <w:szCs w:val="21"/>
          <w:u w:val="single"/>
        </w:rPr>
        <w:t>（2）承包人的原因造成事故，由此产生的法律责任和事故责任及费用由承包人全部承担</w:t>
      </w:r>
      <w:r>
        <w:rPr>
          <w:rFonts w:hint="eastAsia" w:ascii="宋体" w:hAnsi="宋体"/>
          <w:szCs w:val="21"/>
        </w:rPr>
        <w:t>。</w:t>
      </w:r>
    </w:p>
    <w:p w14:paraId="78DEF226">
      <w:pPr>
        <w:spacing w:line="360" w:lineRule="auto"/>
        <w:ind w:firstLine="420" w:firstLineChars="200"/>
        <w:jc w:val="left"/>
        <w:rPr>
          <w:rFonts w:ascii="宋体" w:hAnsi="宋体"/>
          <w:szCs w:val="21"/>
        </w:rPr>
      </w:pPr>
      <w:r>
        <w:rPr>
          <w:rFonts w:hint="eastAsia" w:ascii="宋体" w:hAnsi="宋体"/>
          <w:szCs w:val="21"/>
          <w:u w:val="single"/>
        </w:rPr>
        <w:t>（3）承包人向发包人做出安全承诺，并签订《安全生产目标责任书》和《安全承诺书》</w:t>
      </w:r>
      <w:r>
        <w:rPr>
          <w:rFonts w:hint="eastAsia" w:ascii="宋体" w:hAnsi="宋体"/>
          <w:szCs w:val="21"/>
        </w:rPr>
        <w:t>。</w:t>
      </w:r>
    </w:p>
    <w:p w14:paraId="0615AEF0">
      <w:pPr>
        <w:spacing w:line="360" w:lineRule="auto"/>
        <w:ind w:firstLine="420" w:firstLineChars="200"/>
        <w:jc w:val="left"/>
        <w:rPr>
          <w:rFonts w:ascii="宋体" w:hAnsi="宋体"/>
          <w:szCs w:val="21"/>
        </w:rPr>
      </w:pPr>
      <w:r>
        <w:rPr>
          <w:rFonts w:hint="eastAsia" w:ascii="宋体" w:hAnsi="宋体"/>
          <w:szCs w:val="21"/>
          <w:u w:val="single"/>
        </w:rPr>
        <w:t>（4）承包人在施工过程中，必须严格执行安全生产法的相关规定，制定切实可靠的安全技术措施</w:t>
      </w:r>
      <w:r>
        <w:rPr>
          <w:rFonts w:hint="eastAsia" w:ascii="宋体" w:hAnsi="宋体"/>
          <w:szCs w:val="21"/>
        </w:rPr>
        <w:t>。</w:t>
      </w:r>
    </w:p>
    <w:p w14:paraId="0E75F4AB">
      <w:pPr>
        <w:spacing w:line="360" w:lineRule="auto"/>
        <w:ind w:firstLine="420" w:firstLineChars="200"/>
        <w:jc w:val="left"/>
        <w:rPr>
          <w:rFonts w:ascii="宋体" w:hAnsi="宋体"/>
          <w:szCs w:val="21"/>
          <w:u w:val="single"/>
        </w:rPr>
      </w:pPr>
      <w:r>
        <w:rPr>
          <w:rFonts w:hint="eastAsia" w:ascii="宋体" w:hAnsi="宋体"/>
          <w:szCs w:val="21"/>
          <w:u w:val="single"/>
        </w:rPr>
        <w:t>（5）接受发包人安全监督和管理，在施工中违反安全管理规定和操作规程、违章作业的，承担违约责任</w:t>
      </w:r>
      <w:r>
        <w:rPr>
          <w:rFonts w:hint="eastAsia" w:ascii="宋体" w:hAnsi="宋体"/>
          <w:szCs w:val="21"/>
        </w:rPr>
        <w:t>。</w:t>
      </w:r>
    </w:p>
    <w:p w14:paraId="6A474719">
      <w:pPr>
        <w:spacing w:line="360" w:lineRule="auto"/>
        <w:ind w:firstLine="420" w:firstLineChars="200"/>
        <w:jc w:val="left"/>
        <w:rPr>
          <w:rFonts w:ascii="宋体" w:hAnsi="宋体"/>
          <w:szCs w:val="21"/>
        </w:rPr>
      </w:pPr>
      <w:r>
        <w:rPr>
          <w:rFonts w:hint="eastAsia" w:ascii="宋体" w:hAnsi="宋体"/>
          <w:szCs w:val="21"/>
        </w:rPr>
        <w:t>6.1.4 关于治安保卫的特别约定：</w:t>
      </w:r>
      <w:r>
        <w:rPr>
          <w:rFonts w:hint="eastAsia" w:ascii="宋体" w:hAnsi="宋体"/>
          <w:szCs w:val="21"/>
          <w:u w:val="single"/>
        </w:rPr>
        <w:t>承包人负责组建施工现场治安管理机构或联防组织；承包人负责编制施工场地治安管理计划和突发治安事件紧急预案</w:t>
      </w:r>
      <w:r>
        <w:rPr>
          <w:rFonts w:hint="eastAsia" w:ascii="宋体" w:hAnsi="宋体"/>
          <w:szCs w:val="21"/>
        </w:rPr>
        <w:t>。</w:t>
      </w:r>
    </w:p>
    <w:p w14:paraId="6B0D51B2">
      <w:pPr>
        <w:spacing w:line="360" w:lineRule="auto"/>
        <w:ind w:firstLine="420" w:firstLineChars="200"/>
        <w:jc w:val="left"/>
        <w:rPr>
          <w:rFonts w:ascii="宋体" w:hAnsi="宋体"/>
          <w:szCs w:val="21"/>
          <w:u w:val="single"/>
        </w:rPr>
      </w:pPr>
      <w:r>
        <w:rPr>
          <w:rFonts w:hint="eastAsia" w:ascii="宋体" w:hAnsi="宋体"/>
          <w:szCs w:val="21"/>
        </w:rPr>
        <w:t>关于编制施工场地治安管理计划的约定：</w:t>
      </w:r>
      <w:r>
        <w:rPr>
          <w:rFonts w:hint="eastAsia" w:ascii="宋体" w:hAnsi="宋体"/>
          <w:szCs w:val="21"/>
          <w:u w:val="single"/>
        </w:rPr>
        <w:t>由承包人负责</w:t>
      </w:r>
      <w:r>
        <w:rPr>
          <w:rFonts w:hint="eastAsia" w:ascii="宋体" w:hAnsi="宋体"/>
          <w:szCs w:val="21"/>
        </w:rPr>
        <w:t>。</w:t>
      </w:r>
    </w:p>
    <w:p w14:paraId="32453472">
      <w:pPr>
        <w:spacing w:line="360" w:lineRule="auto"/>
        <w:ind w:firstLine="420" w:firstLineChars="200"/>
        <w:jc w:val="left"/>
        <w:rPr>
          <w:rFonts w:ascii="宋体" w:hAnsi="宋体"/>
          <w:szCs w:val="21"/>
        </w:rPr>
      </w:pPr>
      <w:r>
        <w:rPr>
          <w:rFonts w:hint="eastAsia" w:ascii="宋体" w:hAnsi="宋体"/>
          <w:szCs w:val="21"/>
        </w:rPr>
        <w:t>6.1.5 文明施工</w:t>
      </w:r>
    </w:p>
    <w:p w14:paraId="6C17C065">
      <w:pPr>
        <w:spacing w:line="360" w:lineRule="auto"/>
        <w:ind w:firstLine="420" w:firstLineChars="200"/>
        <w:jc w:val="left"/>
        <w:rPr>
          <w:rFonts w:ascii="宋体" w:hAnsi="宋体"/>
          <w:szCs w:val="21"/>
          <w:u w:val="single"/>
        </w:rPr>
      </w:pPr>
      <w:r>
        <w:rPr>
          <w:rFonts w:hint="eastAsia" w:ascii="宋体" w:hAnsi="宋体"/>
          <w:szCs w:val="21"/>
        </w:rPr>
        <w:t>合同当事人对文明施工的要求：</w:t>
      </w:r>
      <w:r>
        <w:rPr>
          <w:rFonts w:hint="eastAsia" w:ascii="宋体" w:hAnsi="宋体"/>
          <w:szCs w:val="21"/>
          <w:u w:val="single"/>
        </w:rPr>
        <w:t>承包人应按照《房屋建筑和市政基础设施工程施工扬尘控制工作方案》（渝建发〔2009〕13号）、《重庆市建设委员会关于印发&lt;重庆市房屋建筑和市政基础设施工程现场文明施工标准&gt;的通知》（渝建发〔2008〕169号）等相关规定履行好施工扬尘控制、文明施工等责任</w:t>
      </w:r>
      <w:r>
        <w:rPr>
          <w:rFonts w:hint="eastAsia" w:ascii="宋体" w:hAnsi="宋体"/>
          <w:szCs w:val="21"/>
        </w:rPr>
        <w:t>。</w:t>
      </w:r>
    </w:p>
    <w:p w14:paraId="2A282CAC">
      <w:pPr>
        <w:spacing w:line="360" w:lineRule="auto"/>
        <w:ind w:firstLine="420" w:firstLineChars="200"/>
        <w:jc w:val="left"/>
        <w:rPr>
          <w:rFonts w:ascii="宋体" w:hAnsi="宋体"/>
          <w:szCs w:val="21"/>
          <w:u w:val="single"/>
        </w:rPr>
      </w:pPr>
      <w:r>
        <w:rPr>
          <w:rFonts w:hint="eastAsia" w:ascii="宋体" w:hAnsi="宋体"/>
          <w:szCs w:val="21"/>
          <w:u w:val="single"/>
        </w:rPr>
        <w:t>承包人应按规定设置施工现场围挡，承包人采用的围挡主体形式应从重庆市城乡建委发布的标准图集（DJBT-062、DJBT-063）中选用，做好施工围挡，围挡应整齐美观，承包人按相关要求做好日常维护和保洁，围挡高度满足规范要求，相关费用已包含在签约合同价中</w:t>
      </w:r>
      <w:r>
        <w:rPr>
          <w:rFonts w:hint="eastAsia" w:ascii="宋体" w:hAnsi="宋体"/>
          <w:szCs w:val="21"/>
        </w:rPr>
        <w:t>。</w:t>
      </w:r>
    </w:p>
    <w:p w14:paraId="5ED6A8A7">
      <w:pPr>
        <w:spacing w:line="360" w:lineRule="auto"/>
        <w:ind w:firstLine="420" w:firstLineChars="200"/>
        <w:jc w:val="left"/>
        <w:rPr>
          <w:rFonts w:ascii="宋体" w:hAnsi="宋体"/>
          <w:szCs w:val="21"/>
          <w:u w:val="single"/>
        </w:rPr>
      </w:pPr>
      <w:r>
        <w:rPr>
          <w:rFonts w:hint="eastAsia" w:ascii="宋体" w:hAnsi="宋体"/>
          <w:szCs w:val="21"/>
        </w:rPr>
        <w:t>6.1.6 关于安全文明施工费支付比例和支付期限的约定：按照行业主管部门相关规定</w:t>
      </w:r>
      <w:r>
        <w:rPr>
          <w:rFonts w:hint="eastAsia" w:ascii="宋体" w:hAnsi="宋体"/>
          <w:szCs w:val="21"/>
          <w:u w:val="single"/>
        </w:rPr>
        <w:t xml:space="preserve">                 </w:t>
      </w:r>
      <w:r>
        <w:rPr>
          <w:rFonts w:hint="eastAsia" w:ascii="宋体" w:hAnsi="宋体"/>
          <w:szCs w:val="21"/>
        </w:rPr>
        <w:t>执行。</w:t>
      </w:r>
    </w:p>
    <w:p w14:paraId="73B33B4C">
      <w:pPr>
        <w:spacing w:line="360" w:lineRule="auto"/>
        <w:ind w:firstLine="420" w:firstLineChars="200"/>
        <w:jc w:val="left"/>
        <w:rPr>
          <w:rFonts w:ascii="宋体" w:hAnsi="宋体"/>
          <w:szCs w:val="21"/>
          <w:u w:val="single"/>
        </w:rPr>
      </w:pPr>
      <w:r>
        <w:rPr>
          <w:rFonts w:hint="eastAsia" w:ascii="宋体" w:hAnsi="宋体"/>
          <w:szCs w:val="21"/>
          <w:u w:val="single"/>
        </w:rPr>
        <w:t>安全文明施工费的要求与内容、提取支付方法以及违反约定造成损失的赔偿等条款，按照现行规范要求执行，做到专款专用</w:t>
      </w:r>
      <w:r>
        <w:rPr>
          <w:rFonts w:hint="eastAsia" w:ascii="宋体" w:hAnsi="宋体"/>
          <w:szCs w:val="21"/>
        </w:rPr>
        <w:t>。</w:t>
      </w:r>
    </w:p>
    <w:p w14:paraId="4D14A8C7">
      <w:pPr>
        <w:pStyle w:val="7"/>
        <w:spacing w:before="0" w:beforeAutospacing="0" w:after="0" w:afterAutospacing="0" w:line="360" w:lineRule="auto"/>
        <w:ind w:firstLine="422" w:firstLineChars="200"/>
        <w:rPr>
          <w:sz w:val="21"/>
          <w:szCs w:val="21"/>
        </w:rPr>
      </w:pPr>
      <w:bookmarkStart w:id="1209" w:name="_Toc532377351"/>
      <w:bookmarkStart w:id="1210" w:name="_Toc532375615"/>
      <w:r>
        <w:rPr>
          <w:rFonts w:hint="eastAsia"/>
          <w:sz w:val="21"/>
          <w:szCs w:val="21"/>
        </w:rPr>
        <w:t>6.3 环境保护</w:t>
      </w:r>
      <w:bookmarkEnd w:id="1209"/>
      <w:bookmarkEnd w:id="1210"/>
    </w:p>
    <w:p w14:paraId="37E1BD29">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本款补充6.3.1～6.3.8项：</w:t>
      </w:r>
    </w:p>
    <w:p w14:paraId="3AA80119">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6.3.1 承包人应严格按照项目环境影响评价文件批准书结合发包人报送的环境影响报告书的要求进行环境保护的相关工作。如行政主管部门有新标准，则按最新标准执行，执行新标准增加的费用由发包人承担。</w:t>
      </w:r>
    </w:p>
    <w:p w14:paraId="180363F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6.3.2 承包人应做好对周边环境的调查工作，认真编制施工组织设计，严格按照施工方案组织施工，涉及交通、绿化、市政、环保、生态、公共安全等的施工方案应达到相关标准要求并在施工前得到相关行政主管部门和单位的同意，否则不得施工，因施工原因引起的一切投诉及处罚由承包人自行负责。</w:t>
      </w:r>
    </w:p>
    <w:p w14:paraId="3A82C25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6.3.3 承包人应加强生态环境保护工作。施工期间，采取边坡防护，挡渣坝、排水沟、沉淀池、表土剥离和绿化恢复等水土保持措施减少水土流失量，绿化恢复宜采用适于当地生长的植物。</w:t>
      </w:r>
    </w:p>
    <w:p w14:paraId="1ED30262">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6.3.4 承包人应认真落实水污染防治措施。施工期间，加强机械设备维护，减少跑冒滴漏等现象；做好含油废水处理措施；施工场地生活污水经生化处理后达到《污水综合排放标准》（GB8978-1996）一级标准后排放。</w:t>
      </w:r>
    </w:p>
    <w:p w14:paraId="450BD2EB">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6.3.5 承包人应重视大气污染物污染防治措施。施工期间，严格执行市政府“蓝天行动”方案等有关规定，通过洒水防尘，严格控制施工场地扬尘和运输扬尘污染。</w:t>
      </w:r>
    </w:p>
    <w:p w14:paraId="22C30CDA">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6.3.6 承包人应落实固体废物污染防治措施。施工期间，项目产生的弃方不可合理</w:t>
      </w:r>
      <w:r>
        <w:rPr>
          <w:rFonts w:ascii="宋体" w:hAnsi="宋体"/>
          <w:szCs w:val="21"/>
        </w:rPr>
        <w:t>利用的</w:t>
      </w:r>
      <w:r>
        <w:rPr>
          <w:rFonts w:hint="eastAsia" w:ascii="宋体" w:hAnsi="宋体"/>
          <w:szCs w:val="21"/>
        </w:rPr>
        <w:t>，应运往指定的弃渣场内堆存；建筑垃圾运至指定的建筑垃圾消纳场处置；生活垃圾由当地环卫部门统一处置。</w:t>
      </w:r>
    </w:p>
    <w:p w14:paraId="10D43333">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6.3.7 承包人应认真落实噪声污染防治措施。施工期间，优选低噪声设备，合理安排施工时间，严格控制夜间施工，昼、夜施工场界需满足《建筑施工场界环境噪声排放标准》（GB12523-2011）。</w:t>
      </w:r>
    </w:p>
    <w:p w14:paraId="6DAAEA88">
      <w:pPr>
        <w:spacing w:line="360" w:lineRule="auto"/>
        <w:ind w:firstLine="420" w:firstLineChars="200"/>
        <w:jc w:val="left"/>
        <w:rPr>
          <w:rFonts w:ascii="宋体" w:hAnsi="宋体"/>
          <w:szCs w:val="21"/>
        </w:rPr>
      </w:pPr>
      <w:r>
        <w:rPr>
          <w:rFonts w:hint="eastAsia" w:ascii="宋体" w:hAnsi="宋体"/>
          <w:szCs w:val="21"/>
        </w:rPr>
        <w:t>6.3.8 承包人自行负责办理有关施工场地交通、环卫和施工噪音管理等手续，并应按要求结合自身实际和重庆市相关规定，考虑不低于以上标准的此类工作。</w:t>
      </w:r>
    </w:p>
    <w:p w14:paraId="1DAFDDD6">
      <w:pPr>
        <w:spacing w:line="360" w:lineRule="auto"/>
        <w:ind w:firstLine="420" w:firstLineChars="200"/>
        <w:jc w:val="left"/>
        <w:rPr>
          <w:rFonts w:ascii="宋体" w:hAnsi="宋体"/>
          <w:szCs w:val="21"/>
        </w:rPr>
      </w:pPr>
      <w:r>
        <w:rPr>
          <w:rFonts w:hint="eastAsia" w:ascii="宋体" w:hAnsi="宋体"/>
          <w:szCs w:val="21"/>
        </w:rPr>
        <w:t xml:space="preserve">6.3.9 </w:t>
      </w:r>
      <w:r>
        <w:rPr>
          <w:rFonts w:hint="eastAsia" w:ascii="宋体" w:hAnsi="宋体"/>
          <w:szCs w:val="21"/>
          <w:u w:val="single"/>
        </w:rPr>
        <w:t xml:space="preserve">        </w:t>
      </w:r>
      <w:r>
        <w:rPr>
          <w:rFonts w:hint="eastAsia" w:ascii="宋体" w:hAnsi="宋体"/>
          <w:szCs w:val="21"/>
        </w:rPr>
        <w:t>。</w:t>
      </w:r>
    </w:p>
    <w:p w14:paraId="28FD8710">
      <w:pPr>
        <w:pStyle w:val="6"/>
        <w:keepNext/>
        <w:keepLines/>
        <w:spacing w:before="156" w:beforeLines="50" w:beforeAutospacing="0" w:after="156" w:afterLines="50" w:afterAutospacing="0" w:line="360" w:lineRule="auto"/>
        <w:jc w:val="both"/>
        <w:rPr>
          <w:bCs w:val="0"/>
          <w:kern w:val="2"/>
          <w:sz w:val="21"/>
          <w:szCs w:val="21"/>
        </w:rPr>
      </w:pPr>
      <w:bookmarkStart w:id="1211" w:name="_Toc532375616"/>
      <w:bookmarkStart w:id="1212" w:name="_Toc532377352"/>
      <w:bookmarkStart w:id="1213" w:name="_Toc351203639"/>
      <w:r>
        <w:rPr>
          <w:rFonts w:hint="eastAsia"/>
          <w:kern w:val="2"/>
          <w:sz w:val="21"/>
          <w:szCs w:val="21"/>
        </w:rPr>
        <w:t>7. 工期和进度</w:t>
      </w:r>
      <w:bookmarkEnd w:id="1211"/>
      <w:bookmarkEnd w:id="1212"/>
      <w:bookmarkEnd w:id="1213"/>
    </w:p>
    <w:p w14:paraId="442A8B7A">
      <w:pPr>
        <w:pStyle w:val="7"/>
        <w:spacing w:before="0" w:beforeAutospacing="0" w:after="0" w:afterAutospacing="0" w:line="360" w:lineRule="auto"/>
        <w:ind w:firstLine="422" w:firstLineChars="200"/>
        <w:rPr>
          <w:sz w:val="21"/>
          <w:szCs w:val="21"/>
        </w:rPr>
      </w:pPr>
      <w:bookmarkStart w:id="1214" w:name="_Toc532377353"/>
      <w:bookmarkStart w:id="1215" w:name="_Toc532375617"/>
      <w:r>
        <w:rPr>
          <w:rFonts w:hint="eastAsia"/>
          <w:sz w:val="21"/>
          <w:szCs w:val="21"/>
        </w:rPr>
        <w:t>7.1 施工组织设计</w:t>
      </w:r>
      <w:bookmarkEnd w:id="1214"/>
      <w:bookmarkEnd w:id="1215"/>
    </w:p>
    <w:p w14:paraId="4955DC1A">
      <w:pPr>
        <w:autoSpaceDE w:val="0"/>
        <w:autoSpaceDN w:val="0"/>
        <w:spacing w:line="360" w:lineRule="auto"/>
        <w:ind w:firstLine="420" w:firstLineChars="200"/>
        <w:jc w:val="left"/>
        <w:rPr>
          <w:rFonts w:ascii="宋体" w:hAnsi="宋体"/>
          <w:szCs w:val="21"/>
          <w:u w:val="single"/>
        </w:rPr>
      </w:pPr>
      <w:r>
        <w:rPr>
          <w:rFonts w:hint="eastAsia" w:ascii="宋体" w:hAnsi="宋体"/>
          <w:szCs w:val="21"/>
        </w:rPr>
        <w:t>7.1.1 合同当事人约定的施工组织设计应包括的其他内容：</w:t>
      </w:r>
      <w:r>
        <w:rPr>
          <w:rFonts w:hint="eastAsia" w:ascii="宋体" w:hAnsi="宋体"/>
          <w:szCs w:val="21"/>
          <w:u w:val="single"/>
        </w:rPr>
        <w:t>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r>
        <w:rPr>
          <w:rFonts w:hint="eastAsia" w:ascii="宋体" w:hAnsi="宋体"/>
          <w:szCs w:val="21"/>
        </w:rPr>
        <w:t>。</w:t>
      </w:r>
    </w:p>
    <w:p w14:paraId="4F5AECB7">
      <w:pPr>
        <w:autoSpaceDE w:val="0"/>
        <w:autoSpaceDN w:val="0"/>
        <w:spacing w:line="360" w:lineRule="auto"/>
        <w:ind w:firstLine="420" w:firstLineChars="200"/>
        <w:jc w:val="left"/>
        <w:rPr>
          <w:rFonts w:ascii="宋体" w:hAnsi="宋体"/>
          <w:szCs w:val="21"/>
        </w:rPr>
      </w:pPr>
      <w:r>
        <w:rPr>
          <w:rFonts w:hint="eastAsia" w:ascii="宋体" w:hAnsi="宋体"/>
          <w:szCs w:val="21"/>
        </w:rPr>
        <w:t>7.1.2 施工组织设计的提交和修改</w:t>
      </w:r>
    </w:p>
    <w:p w14:paraId="377E0A1A">
      <w:pPr>
        <w:autoSpaceDE w:val="0"/>
        <w:autoSpaceDN w:val="0"/>
        <w:spacing w:line="360" w:lineRule="auto"/>
        <w:ind w:firstLine="420" w:firstLineChars="200"/>
        <w:jc w:val="left"/>
        <w:rPr>
          <w:rFonts w:ascii="宋体" w:hAnsi="宋体"/>
          <w:szCs w:val="21"/>
        </w:rPr>
      </w:pPr>
      <w:r>
        <w:rPr>
          <w:rFonts w:hint="eastAsia" w:ascii="宋体" w:hAnsi="宋体"/>
          <w:szCs w:val="21"/>
        </w:rPr>
        <w:t>承包人提交详细施工组织设计的期限的约定：</w:t>
      </w:r>
      <w:r>
        <w:rPr>
          <w:rFonts w:hint="eastAsia" w:ascii="宋体" w:hAnsi="宋体"/>
          <w:szCs w:val="21"/>
          <w:u w:val="single"/>
        </w:rPr>
        <w:t>合同签订后  天内，但最迟不得晚于开工通知载明的开工日期前7天</w:t>
      </w:r>
      <w:r>
        <w:rPr>
          <w:rFonts w:hint="eastAsia" w:ascii="宋体" w:hAnsi="宋体"/>
          <w:szCs w:val="21"/>
        </w:rPr>
        <w:t>。</w:t>
      </w:r>
    </w:p>
    <w:p w14:paraId="58838AA8">
      <w:pPr>
        <w:spacing w:line="360" w:lineRule="auto"/>
        <w:ind w:firstLine="420" w:firstLineChars="200"/>
        <w:jc w:val="left"/>
        <w:rPr>
          <w:rFonts w:ascii="宋体" w:hAnsi="宋体"/>
          <w:szCs w:val="21"/>
        </w:rPr>
      </w:pPr>
      <w:r>
        <w:rPr>
          <w:rFonts w:hint="eastAsia" w:ascii="宋体" w:hAnsi="宋体"/>
          <w:szCs w:val="21"/>
        </w:rPr>
        <w:t>发包人和监理人在收到详细的施工组织设计后确认或提出修改意见的期限：</w:t>
      </w:r>
      <w:r>
        <w:rPr>
          <w:rFonts w:hint="eastAsia" w:ascii="宋体" w:hAnsi="宋体"/>
          <w:szCs w:val="21"/>
          <w:u w:val="single"/>
        </w:rPr>
        <w:t>收到施工组织设计后  天内</w:t>
      </w:r>
      <w:r>
        <w:rPr>
          <w:rFonts w:hint="eastAsia" w:ascii="宋体" w:hAnsi="宋体"/>
          <w:szCs w:val="21"/>
        </w:rPr>
        <w:t>。</w:t>
      </w:r>
    </w:p>
    <w:p w14:paraId="4C7396EE">
      <w:pPr>
        <w:pStyle w:val="7"/>
        <w:spacing w:before="0" w:beforeAutospacing="0" w:after="0" w:afterAutospacing="0" w:line="360" w:lineRule="auto"/>
        <w:ind w:firstLine="422" w:firstLineChars="200"/>
        <w:rPr>
          <w:sz w:val="21"/>
          <w:szCs w:val="21"/>
        </w:rPr>
      </w:pPr>
      <w:bookmarkStart w:id="1216" w:name="_Toc532375618"/>
      <w:bookmarkStart w:id="1217" w:name="_Toc532377354"/>
      <w:r>
        <w:rPr>
          <w:rFonts w:hint="eastAsia"/>
          <w:sz w:val="21"/>
          <w:szCs w:val="21"/>
        </w:rPr>
        <w:t>7.2 施工进度计划</w:t>
      </w:r>
      <w:bookmarkEnd w:id="1216"/>
      <w:bookmarkEnd w:id="1217"/>
    </w:p>
    <w:p w14:paraId="54467B12">
      <w:pPr>
        <w:spacing w:line="360" w:lineRule="auto"/>
        <w:ind w:firstLine="420" w:firstLineChars="200"/>
        <w:jc w:val="left"/>
        <w:rPr>
          <w:rFonts w:ascii="宋体" w:hAnsi="宋体"/>
          <w:szCs w:val="21"/>
        </w:rPr>
      </w:pPr>
      <w:r>
        <w:rPr>
          <w:rFonts w:hint="eastAsia" w:ascii="宋体" w:hAnsi="宋体"/>
          <w:szCs w:val="21"/>
        </w:rPr>
        <w:t>7.2.2 施工进度计划的修订</w:t>
      </w:r>
    </w:p>
    <w:p w14:paraId="32677ACB">
      <w:pPr>
        <w:spacing w:line="360" w:lineRule="auto"/>
        <w:ind w:firstLine="420" w:firstLineChars="200"/>
        <w:jc w:val="left"/>
        <w:rPr>
          <w:rFonts w:ascii="宋体" w:hAnsi="宋体"/>
          <w:szCs w:val="21"/>
        </w:rPr>
      </w:pPr>
      <w:r>
        <w:rPr>
          <w:rFonts w:hint="eastAsia" w:ascii="宋体" w:hAnsi="宋体"/>
          <w:szCs w:val="21"/>
        </w:rPr>
        <w:t>发包人和监理人在收到修订的施工进度计划后确认或提出修改意见的期限：</w:t>
      </w:r>
      <w:r>
        <w:rPr>
          <w:rFonts w:hint="eastAsia" w:ascii="宋体" w:hAnsi="宋体"/>
          <w:szCs w:val="21"/>
          <w:u w:val="single"/>
        </w:rPr>
        <w:t>收到修订的施工进度计划后  天内</w:t>
      </w:r>
      <w:r>
        <w:rPr>
          <w:rFonts w:hint="eastAsia" w:ascii="宋体" w:hAnsi="宋体"/>
          <w:szCs w:val="21"/>
        </w:rPr>
        <w:t>。</w:t>
      </w:r>
    </w:p>
    <w:p w14:paraId="39EC067A">
      <w:pPr>
        <w:pStyle w:val="7"/>
        <w:spacing w:before="0" w:beforeAutospacing="0" w:after="0" w:afterAutospacing="0" w:line="360" w:lineRule="auto"/>
        <w:ind w:firstLine="422" w:firstLineChars="200"/>
        <w:rPr>
          <w:sz w:val="21"/>
          <w:szCs w:val="21"/>
        </w:rPr>
      </w:pPr>
      <w:bookmarkStart w:id="1218" w:name="_Toc532377355"/>
      <w:bookmarkStart w:id="1219" w:name="_Toc532375619"/>
      <w:bookmarkStart w:id="1220" w:name="_Toc297123514"/>
      <w:bookmarkStart w:id="1221" w:name="_Toc312678005"/>
      <w:bookmarkStart w:id="1222" w:name="_Toc304295541"/>
      <w:bookmarkStart w:id="1223" w:name="_Toc300934966"/>
      <w:bookmarkStart w:id="1224" w:name="_Toc297216173"/>
      <w:bookmarkStart w:id="1225" w:name="_Toc312677479"/>
      <w:bookmarkStart w:id="1226" w:name="_Toc303539123"/>
      <w:r>
        <w:rPr>
          <w:rFonts w:hint="eastAsia"/>
          <w:sz w:val="21"/>
          <w:szCs w:val="21"/>
        </w:rPr>
        <w:t>7.3 开工</w:t>
      </w:r>
      <w:bookmarkEnd w:id="1218"/>
      <w:bookmarkEnd w:id="1219"/>
    </w:p>
    <w:p w14:paraId="7A165DBF">
      <w:pPr>
        <w:spacing w:line="360" w:lineRule="auto"/>
        <w:ind w:firstLine="420" w:firstLineChars="200"/>
        <w:jc w:val="left"/>
        <w:rPr>
          <w:rFonts w:ascii="宋体" w:hAnsi="宋体"/>
          <w:szCs w:val="21"/>
        </w:rPr>
      </w:pPr>
      <w:r>
        <w:rPr>
          <w:rFonts w:hint="eastAsia" w:ascii="宋体" w:hAnsi="宋体"/>
          <w:szCs w:val="21"/>
        </w:rPr>
        <w:t>7.3.1 开工准备</w:t>
      </w:r>
    </w:p>
    <w:p w14:paraId="1B7EDFCB">
      <w:pPr>
        <w:spacing w:line="360" w:lineRule="auto"/>
        <w:ind w:firstLine="420" w:firstLineChars="200"/>
        <w:jc w:val="left"/>
        <w:rPr>
          <w:rFonts w:ascii="宋体" w:hAnsi="宋体"/>
          <w:szCs w:val="21"/>
        </w:rPr>
      </w:pPr>
      <w:r>
        <w:rPr>
          <w:rFonts w:hint="eastAsia" w:ascii="宋体" w:hAnsi="宋体"/>
          <w:szCs w:val="21"/>
        </w:rPr>
        <w:t>关于承包人提交工程开工报审表的期限：</w:t>
      </w:r>
      <w:r>
        <w:rPr>
          <w:rFonts w:hint="eastAsia" w:ascii="宋体" w:hAnsi="宋体"/>
          <w:szCs w:val="21"/>
          <w:u w:val="single"/>
        </w:rPr>
        <w:t>不晚于开工前  天</w:t>
      </w:r>
      <w:r>
        <w:rPr>
          <w:rFonts w:hint="eastAsia" w:ascii="宋体" w:hAnsi="宋体"/>
          <w:szCs w:val="21"/>
        </w:rPr>
        <w:t>。</w:t>
      </w:r>
    </w:p>
    <w:p w14:paraId="4794D794">
      <w:pPr>
        <w:spacing w:line="360" w:lineRule="auto"/>
        <w:ind w:firstLine="420" w:firstLineChars="200"/>
        <w:jc w:val="left"/>
        <w:rPr>
          <w:rFonts w:ascii="宋体" w:hAnsi="宋体"/>
          <w:szCs w:val="21"/>
        </w:rPr>
      </w:pPr>
      <w:r>
        <w:rPr>
          <w:rFonts w:hint="eastAsia" w:ascii="宋体" w:hAnsi="宋体"/>
          <w:szCs w:val="21"/>
        </w:rPr>
        <w:t>关于发包人应完成的其他开工准备工作及期限：</w:t>
      </w:r>
      <w:r>
        <w:rPr>
          <w:rFonts w:hint="eastAsia" w:ascii="宋体" w:hAnsi="宋体"/>
          <w:szCs w:val="21"/>
          <w:u w:val="single"/>
        </w:rPr>
        <w:t>不晚于开工前  天</w:t>
      </w:r>
      <w:r>
        <w:rPr>
          <w:rFonts w:hint="eastAsia" w:ascii="宋体" w:hAnsi="宋体"/>
          <w:szCs w:val="21"/>
        </w:rPr>
        <w:t>。</w:t>
      </w:r>
    </w:p>
    <w:p w14:paraId="2FE93A70">
      <w:pPr>
        <w:spacing w:line="360" w:lineRule="auto"/>
        <w:ind w:firstLine="420" w:firstLineChars="200"/>
        <w:jc w:val="left"/>
        <w:rPr>
          <w:rFonts w:ascii="宋体" w:hAnsi="宋体"/>
          <w:szCs w:val="21"/>
        </w:rPr>
      </w:pPr>
      <w:r>
        <w:rPr>
          <w:rFonts w:hint="eastAsia" w:ascii="宋体" w:hAnsi="宋体"/>
          <w:szCs w:val="21"/>
        </w:rPr>
        <w:t>关于承包人应完成的其他开工准备工作及期限：</w:t>
      </w:r>
      <w:r>
        <w:rPr>
          <w:rFonts w:hint="eastAsia" w:ascii="宋体" w:hAnsi="宋体"/>
          <w:szCs w:val="21"/>
          <w:u w:val="single"/>
        </w:rPr>
        <w:t>不晚于开工前  天</w:t>
      </w:r>
      <w:r>
        <w:rPr>
          <w:rFonts w:hint="eastAsia" w:ascii="宋体" w:hAnsi="宋体"/>
          <w:szCs w:val="21"/>
        </w:rPr>
        <w:t>。</w:t>
      </w:r>
    </w:p>
    <w:bookmarkEnd w:id="1220"/>
    <w:bookmarkEnd w:id="1221"/>
    <w:bookmarkEnd w:id="1222"/>
    <w:bookmarkEnd w:id="1223"/>
    <w:bookmarkEnd w:id="1224"/>
    <w:bookmarkEnd w:id="1225"/>
    <w:bookmarkEnd w:id="1226"/>
    <w:p w14:paraId="0916C98C">
      <w:pPr>
        <w:pStyle w:val="7"/>
        <w:spacing w:before="0" w:beforeAutospacing="0" w:after="0" w:afterAutospacing="0" w:line="360" w:lineRule="auto"/>
        <w:ind w:firstLine="422" w:firstLineChars="200"/>
        <w:rPr>
          <w:sz w:val="21"/>
          <w:szCs w:val="21"/>
        </w:rPr>
      </w:pPr>
      <w:bookmarkStart w:id="1227" w:name="_Toc532377356"/>
      <w:bookmarkStart w:id="1228" w:name="_Toc532375620"/>
      <w:r>
        <w:rPr>
          <w:rFonts w:hint="eastAsia"/>
          <w:sz w:val="21"/>
          <w:szCs w:val="21"/>
        </w:rPr>
        <w:t>7.4 测量放线</w:t>
      </w:r>
      <w:bookmarkEnd w:id="1227"/>
      <w:bookmarkEnd w:id="1228"/>
    </w:p>
    <w:p w14:paraId="708736EC">
      <w:pPr>
        <w:spacing w:line="360" w:lineRule="auto"/>
        <w:ind w:firstLine="420" w:firstLineChars="200"/>
        <w:jc w:val="left"/>
        <w:rPr>
          <w:rFonts w:ascii="宋体" w:hAnsi="宋体"/>
          <w:szCs w:val="21"/>
        </w:rPr>
      </w:pPr>
      <w:r>
        <w:rPr>
          <w:rFonts w:hint="eastAsia" w:ascii="宋体" w:hAnsi="宋体"/>
          <w:szCs w:val="21"/>
        </w:rPr>
        <w:t>7.4.1 发包人通过监理人向承包人提供测量基准点、基准线和水准点及其书面资料的期限：</w:t>
      </w:r>
      <w:r>
        <w:rPr>
          <w:rFonts w:hint="eastAsia" w:ascii="宋体" w:hAnsi="宋体"/>
          <w:szCs w:val="21"/>
          <w:u w:val="single"/>
        </w:rPr>
        <w:t>不晚于开工前  天</w:t>
      </w:r>
      <w:r>
        <w:rPr>
          <w:rFonts w:hint="eastAsia" w:ascii="宋体" w:hAnsi="宋体"/>
          <w:szCs w:val="21"/>
        </w:rPr>
        <w:t>。</w:t>
      </w:r>
    </w:p>
    <w:p w14:paraId="7BABA9BF">
      <w:pPr>
        <w:spacing w:line="360" w:lineRule="auto"/>
        <w:ind w:firstLine="420" w:firstLineChars="200"/>
        <w:jc w:val="left"/>
        <w:rPr>
          <w:rFonts w:ascii="宋体" w:hAnsi="宋体"/>
          <w:szCs w:val="21"/>
        </w:rPr>
      </w:pPr>
      <w:r>
        <w:rPr>
          <w:rFonts w:hint="eastAsia" w:ascii="宋体" w:hAnsi="宋体"/>
          <w:szCs w:val="21"/>
        </w:rPr>
        <w:t>承包人报监理人审批施工控制网资料的期限：</w:t>
      </w:r>
      <w:r>
        <w:rPr>
          <w:rFonts w:hint="eastAsia" w:ascii="宋体" w:hAnsi="宋体"/>
          <w:szCs w:val="21"/>
          <w:u w:val="single"/>
        </w:rPr>
        <w:t>发出开工通知后  天。承包人发现发包人提供的测量基准点、基准线和水准点及其书面资料存在错误或疏漏的，应及时通知监理人并报告发包人，承包人应会同监理人、发包人核实，发包人就如何处理和是否继续施工作出决定，并通过监理人通知承包人</w:t>
      </w:r>
      <w:r>
        <w:rPr>
          <w:rFonts w:hint="eastAsia" w:ascii="宋体" w:hAnsi="宋体"/>
          <w:szCs w:val="21"/>
        </w:rPr>
        <w:t>。</w:t>
      </w:r>
    </w:p>
    <w:p w14:paraId="247A8C9F">
      <w:pPr>
        <w:pStyle w:val="7"/>
        <w:spacing w:before="0" w:beforeAutospacing="0" w:after="0" w:afterAutospacing="0" w:line="360" w:lineRule="auto"/>
        <w:ind w:firstLine="422" w:firstLineChars="200"/>
        <w:rPr>
          <w:sz w:val="21"/>
          <w:szCs w:val="21"/>
        </w:rPr>
      </w:pPr>
      <w:bookmarkStart w:id="1229" w:name="_Toc532377357"/>
      <w:bookmarkStart w:id="1230" w:name="_Toc532375621"/>
      <w:r>
        <w:rPr>
          <w:rFonts w:hint="eastAsia"/>
          <w:sz w:val="21"/>
          <w:szCs w:val="21"/>
        </w:rPr>
        <w:t>7</w:t>
      </w:r>
      <w:bookmarkStart w:id="1231" w:name="_Toc312678010"/>
      <w:bookmarkStart w:id="1232" w:name="_Toc297216175"/>
      <w:bookmarkStart w:id="1233" w:name="_Toc303539125"/>
      <w:bookmarkStart w:id="1234" w:name="_Toc312677484"/>
      <w:bookmarkStart w:id="1235" w:name="_Toc300934968"/>
      <w:bookmarkStart w:id="1236" w:name="_Toc297123516"/>
      <w:bookmarkStart w:id="1237" w:name="_Toc304295546"/>
      <w:r>
        <w:rPr>
          <w:rFonts w:hint="eastAsia"/>
          <w:sz w:val="21"/>
          <w:szCs w:val="21"/>
        </w:rPr>
        <w:t>.5 工期延误</w:t>
      </w:r>
      <w:bookmarkEnd w:id="1229"/>
      <w:bookmarkEnd w:id="1230"/>
    </w:p>
    <w:bookmarkEnd w:id="1231"/>
    <w:bookmarkEnd w:id="1232"/>
    <w:bookmarkEnd w:id="1233"/>
    <w:bookmarkEnd w:id="1234"/>
    <w:bookmarkEnd w:id="1235"/>
    <w:bookmarkEnd w:id="1236"/>
    <w:bookmarkEnd w:id="1237"/>
    <w:p w14:paraId="50A3C571">
      <w:pPr>
        <w:spacing w:line="360" w:lineRule="auto"/>
        <w:ind w:firstLine="420" w:firstLineChars="200"/>
        <w:jc w:val="left"/>
        <w:rPr>
          <w:rFonts w:ascii="宋体" w:hAnsi="宋体"/>
          <w:szCs w:val="21"/>
        </w:rPr>
      </w:pPr>
      <w:bookmarkStart w:id="1238" w:name="_Hlk528927940"/>
      <w:r>
        <w:rPr>
          <w:rFonts w:hint="eastAsia" w:ascii="宋体" w:hAnsi="宋体"/>
          <w:szCs w:val="21"/>
        </w:rPr>
        <w:t>7.5.1 因发包人原因导致工期延误：</w:t>
      </w:r>
    </w:p>
    <w:p w14:paraId="40663890">
      <w:pPr>
        <w:spacing w:line="360" w:lineRule="auto"/>
        <w:ind w:firstLine="420" w:firstLineChars="200"/>
        <w:jc w:val="left"/>
        <w:rPr>
          <w:rFonts w:ascii="宋体" w:hAnsi="宋体"/>
          <w:szCs w:val="21"/>
        </w:rPr>
      </w:pPr>
      <w:r>
        <w:rPr>
          <w:rFonts w:hint="eastAsia" w:ascii="宋体" w:hAnsi="宋体"/>
          <w:szCs w:val="21"/>
        </w:rPr>
        <w:t>在合同履行过程中，除通用条款约定外，因下列情况导致工期延误和（或）费用增加的，由发包人承担由此延误的工期和（或）增加的费用：</w:t>
      </w:r>
    </w:p>
    <w:p w14:paraId="25576905">
      <w:pPr>
        <w:spacing w:line="360" w:lineRule="auto"/>
        <w:ind w:firstLine="420" w:firstLineChars="200"/>
        <w:jc w:val="left"/>
        <w:rPr>
          <w:rFonts w:ascii="宋体" w:hAnsi="宋体"/>
          <w:szCs w:val="21"/>
        </w:rPr>
      </w:pPr>
      <w:r>
        <w:rPr>
          <w:rFonts w:hint="eastAsia" w:ascii="宋体" w:hAnsi="宋体"/>
          <w:szCs w:val="21"/>
        </w:rPr>
        <w:t>（1）发包人未能按合同约定提供施工场地，且该未提供开工条件直接影响项目关键线路的；</w:t>
      </w:r>
    </w:p>
    <w:p w14:paraId="20987335">
      <w:pPr>
        <w:spacing w:line="360" w:lineRule="auto"/>
        <w:ind w:firstLine="420" w:firstLineChars="200"/>
        <w:jc w:val="left"/>
        <w:rPr>
          <w:rFonts w:ascii="宋体" w:hAnsi="宋体"/>
          <w:szCs w:val="21"/>
        </w:rPr>
      </w:pPr>
      <w:r>
        <w:rPr>
          <w:rFonts w:hint="eastAsia" w:ascii="宋体" w:hAnsi="宋体"/>
          <w:szCs w:val="21"/>
        </w:rPr>
        <w:t>（2）发包人提供的测量基准点、基准线和水准点及其书面资料存在错误或疏漏，且该错误或疏漏直接影响项目关键线路的；</w:t>
      </w:r>
    </w:p>
    <w:p w14:paraId="66416C1A">
      <w:pPr>
        <w:spacing w:line="360" w:lineRule="auto"/>
        <w:ind w:firstLine="420" w:firstLineChars="200"/>
        <w:jc w:val="left"/>
        <w:rPr>
          <w:rFonts w:ascii="宋体" w:hAnsi="宋体"/>
          <w:szCs w:val="21"/>
        </w:rPr>
      </w:pPr>
      <w:r>
        <w:rPr>
          <w:rFonts w:hint="eastAsia" w:ascii="宋体" w:hAnsi="宋体"/>
          <w:szCs w:val="21"/>
        </w:rPr>
        <w:t>（3）监理人未按合同约定发出指示、批准等文件，且该未按合同约定发出指示、批准直接影响项目关键线路的；</w:t>
      </w:r>
    </w:p>
    <w:p w14:paraId="1CDB8271">
      <w:pPr>
        <w:spacing w:line="360" w:lineRule="auto"/>
        <w:ind w:firstLine="420" w:firstLineChars="200"/>
        <w:jc w:val="left"/>
        <w:rPr>
          <w:rFonts w:ascii="宋体" w:hAnsi="宋体"/>
          <w:szCs w:val="21"/>
        </w:rPr>
      </w:pPr>
      <w:r>
        <w:rPr>
          <w:rFonts w:hint="eastAsia" w:ascii="宋体" w:hAnsi="宋体"/>
          <w:szCs w:val="21"/>
        </w:rPr>
        <w:t>（4）变更未及时审批，直接影响项目关键线路的；</w:t>
      </w:r>
    </w:p>
    <w:p w14:paraId="4985A35F">
      <w:pPr>
        <w:spacing w:line="360" w:lineRule="auto"/>
        <w:ind w:firstLine="420" w:firstLineChars="200"/>
        <w:jc w:val="left"/>
        <w:rPr>
          <w:rFonts w:ascii="宋体" w:hAnsi="宋体"/>
          <w:szCs w:val="21"/>
        </w:rPr>
      </w:pPr>
      <w:r>
        <w:rPr>
          <w:rFonts w:hint="eastAsia" w:ascii="宋体" w:hAnsi="宋体"/>
          <w:szCs w:val="21"/>
        </w:rPr>
        <w:t>（5）实施变更直接影响项目关键线路的；</w:t>
      </w:r>
    </w:p>
    <w:p w14:paraId="4DF4681D">
      <w:pPr>
        <w:spacing w:line="360" w:lineRule="auto"/>
        <w:ind w:firstLine="420" w:firstLineChars="200"/>
        <w:jc w:val="left"/>
        <w:rPr>
          <w:rFonts w:ascii="宋体" w:hAnsi="宋体"/>
          <w:szCs w:val="21"/>
        </w:rPr>
      </w:pPr>
      <w:r>
        <w:rPr>
          <w:rFonts w:hint="eastAsia" w:ascii="宋体" w:hAnsi="宋体"/>
          <w:szCs w:val="21"/>
        </w:rPr>
        <w:t>（6）因发包人原因导致工程暂停施工、停建、缓建的；</w:t>
      </w:r>
    </w:p>
    <w:p w14:paraId="2D50FDF9">
      <w:pPr>
        <w:spacing w:line="360" w:lineRule="auto"/>
        <w:ind w:firstLine="420" w:firstLineChars="200"/>
        <w:jc w:val="left"/>
        <w:rPr>
          <w:rFonts w:ascii="宋体" w:hAnsi="宋体"/>
          <w:szCs w:val="21"/>
        </w:rPr>
      </w:pPr>
      <w:r>
        <w:rPr>
          <w:rFonts w:hint="eastAsia" w:ascii="宋体" w:hAnsi="宋体"/>
          <w:szCs w:val="21"/>
        </w:rPr>
        <w:t>（7）因征地拆迁、当地群众阻工等情形的；</w:t>
      </w:r>
    </w:p>
    <w:p w14:paraId="251780C9">
      <w:pPr>
        <w:spacing w:line="360" w:lineRule="auto"/>
        <w:ind w:firstLine="420" w:firstLineChars="200"/>
        <w:jc w:val="left"/>
        <w:rPr>
          <w:rFonts w:ascii="宋体" w:hAnsi="宋体"/>
          <w:szCs w:val="21"/>
          <w:u w:val="single"/>
        </w:rPr>
      </w:pPr>
      <w:r>
        <w:rPr>
          <w:rFonts w:hint="eastAsia" w:ascii="宋体" w:hAnsi="宋体"/>
          <w:szCs w:val="21"/>
        </w:rPr>
        <w:t>（8）</w:t>
      </w:r>
      <w:r>
        <w:rPr>
          <w:rFonts w:hint="eastAsia" w:ascii="宋体" w:hAnsi="宋体"/>
          <w:szCs w:val="21"/>
          <w:u w:val="single"/>
        </w:rPr>
        <w:t>合同约定的其他情形</w:t>
      </w:r>
      <w:r>
        <w:rPr>
          <w:rFonts w:hint="eastAsia" w:ascii="宋体" w:hAnsi="宋体"/>
          <w:szCs w:val="21"/>
        </w:rPr>
        <w:t>。</w:t>
      </w:r>
    </w:p>
    <w:p w14:paraId="5727B98F">
      <w:pPr>
        <w:spacing w:line="360" w:lineRule="auto"/>
        <w:ind w:firstLine="420" w:firstLineChars="200"/>
        <w:jc w:val="left"/>
        <w:rPr>
          <w:rFonts w:ascii="宋体" w:hAnsi="宋体"/>
          <w:szCs w:val="21"/>
        </w:rPr>
      </w:pPr>
      <w:r>
        <w:rPr>
          <w:rFonts w:hint="eastAsia" w:ascii="宋体" w:hAnsi="宋体"/>
          <w:szCs w:val="21"/>
          <w:u w:val="single"/>
        </w:rPr>
        <w:t>因发包人原因未按计划开工日期开工的，发包人应按实际开工日期顺延竣工日期。因发包人原因导致工期延误需要修订施工进度计划的，按照第7.2.2项〔施工进度计划的修订〕执行</w:t>
      </w:r>
      <w:r>
        <w:rPr>
          <w:rFonts w:hint="eastAsia" w:ascii="宋体" w:hAnsi="宋体"/>
          <w:szCs w:val="21"/>
        </w:rPr>
        <w:t>。</w:t>
      </w:r>
    </w:p>
    <w:p w14:paraId="0E1F3DFE">
      <w:pPr>
        <w:spacing w:line="360" w:lineRule="auto"/>
        <w:ind w:firstLine="420" w:firstLineChars="200"/>
        <w:jc w:val="left"/>
        <w:rPr>
          <w:rFonts w:ascii="宋体" w:hAnsi="宋体"/>
          <w:szCs w:val="21"/>
        </w:rPr>
      </w:pPr>
      <w:r>
        <w:rPr>
          <w:rFonts w:hint="eastAsia" w:ascii="宋体" w:hAnsi="宋体"/>
          <w:szCs w:val="21"/>
        </w:rPr>
        <w:t>7.5.2 因承包人原因导致工期延误</w:t>
      </w:r>
    </w:p>
    <w:p w14:paraId="1F72D81B">
      <w:pPr>
        <w:spacing w:line="360" w:lineRule="auto"/>
        <w:ind w:firstLine="420" w:firstLineChars="200"/>
        <w:jc w:val="left"/>
        <w:rPr>
          <w:rFonts w:ascii="宋体" w:hAnsi="宋体"/>
          <w:szCs w:val="21"/>
        </w:rPr>
      </w:pPr>
      <w:r>
        <w:rPr>
          <w:rFonts w:hint="eastAsia" w:ascii="宋体" w:hAnsi="宋体"/>
          <w:szCs w:val="21"/>
          <w:u w:val="single"/>
        </w:rPr>
        <w:t>因承包人原因造成工期延误，逾期竣工按16.2.2（6）目执行。</w:t>
      </w:r>
    </w:p>
    <w:bookmarkEnd w:id="1238"/>
    <w:p w14:paraId="4B72C9A6">
      <w:pPr>
        <w:pStyle w:val="7"/>
        <w:spacing w:before="0" w:beforeAutospacing="0" w:after="0" w:afterAutospacing="0" w:line="360" w:lineRule="auto"/>
        <w:ind w:firstLine="422" w:firstLineChars="200"/>
        <w:rPr>
          <w:sz w:val="21"/>
          <w:szCs w:val="21"/>
        </w:rPr>
      </w:pPr>
      <w:bookmarkStart w:id="1239" w:name="_Toc532377358"/>
      <w:bookmarkStart w:id="1240" w:name="_Toc532375622"/>
      <w:bookmarkStart w:id="1241" w:name="_Hlk528927997"/>
      <w:r>
        <w:rPr>
          <w:rFonts w:hint="eastAsia"/>
          <w:sz w:val="21"/>
          <w:szCs w:val="21"/>
        </w:rPr>
        <w:t>7</w:t>
      </w:r>
      <w:bookmarkStart w:id="1242" w:name="_Toc297123519"/>
      <w:bookmarkStart w:id="1243" w:name="_Toc312678015"/>
      <w:bookmarkStart w:id="1244" w:name="_Toc304295549"/>
      <w:bookmarkStart w:id="1245" w:name="_Toc300934971"/>
      <w:bookmarkStart w:id="1246" w:name="_Toc297216178"/>
      <w:bookmarkStart w:id="1247" w:name="_Toc303539128"/>
      <w:r>
        <w:rPr>
          <w:rFonts w:hint="eastAsia"/>
          <w:sz w:val="21"/>
          <w:szCs w:val="21"/>
        </w:rPr>
        <w:t>.6 不</w:t>
      </w:r>
      <w:bookmarkEnd w:id="1242"/>
      <w:bookmarkEnd w:id="1243"/>
      <w:bookmarkEnd w:id="1244"/>
      <w:bookmarkEnd w:id="1245"/>
      <w:bookmarkEnd w:id="1246"/>
      <w:bookmarkEnd w:id="1247"/>
      <w:r>
        <w:rPr>
          <w:rFonts w:hint="eastAsia"/>
          <w:sz w:val="21"/>
          <w:szCs w:val="21"/>
        </w:rPr>
        <w:t>利物质条件</w:t>
      </w:r>
      <w:bookmarkEnd w:id="1239"/>
      <w:bookmarkEnd w:id="1240"/>
    </w:p>
    <w:bookmarkEnd w:id="1241"/>
    <w:p w14:paraId="61AECA25">
      <w:pPr>
        <w:spacing w:line="360" w:lineRule="auto"/>
        <w:ind w:firstLine="420" w:firstLineChars="200"/>
        <w:jc w:val="left"/>
        <w:rPr>
          <w:rFonts w:ascii="宋体" w:hAnsi="宋体"/>
          <w:bCs/>
          <w:szCs w:val="21"/>
        </w:rPr>
      </w:pPr>
      <w:bookmarkStart w:id="1248" w:name="_Toc300934972"/>
      <w:bookmarkStart w:id="1249" w:name="_Toc297216179"/>
      <w:bookmarkStart w:id="1250" w:name="_Toc297123520"/>
      <w:bookmarkStart w:id="1251" w:name="_Toc312678016"/>
      <w:bookmarkStart w:id="1252" w:name="_Toc304295550"/>
      <w:bookmarkStart w:id="1253" w:name="_Toc303539129"/>
      <w:bookmarkStart w:id="1254" w:name="_Toc318581172"/>
      <w:r>
        <w:rPr>
          <w:rFonts w:hint="eastAsia" w:ascii="宋体" w:hAnsi="宋体"/>
          <w:szCs w:val="21"/>
        </w:rPr>
        <w:t>不利物质条件的其他情形和有关约定：</w:t>
      </w:r>
      <w:bookmarkStart w:id="1255" w:name="_Hlk528910274"/>
      <w:r>
        <w:rPr>
          <w:rFonts w:hint="eastAsia" w:ascii="宋体" w:hAnsi="宋体"/>
          <w:szCs w:val="21"/>
          <w:u w:val="single"/>
        </w:rPr>
        <w:t xml:space="preserve">    </w:t>
      </w:r>
      <w:r>
        <w:rPr>
          <w:rFonts w:hint="eastAsia" w:ascii="宋体" w:hAnsi="宋体"/>
          <w:szCs w:val="21"/>
        </w:rPr>
        <w:t>。</w:t>
      </w:r>
    </w:p>
    <w:bookmarkEnd w:id="1248"/>
    <w:bookmarkEnd w:id="1249"/>
    <w:bookmarkEnd w:id="1250"/>
    <w:bookmarkEnd w:id="1251"/>
    <w:bookmarkEnd w:id="1252"/>
    <w:bookmarkEnd w:id="1253"/>
    <w:bookmarkEnd w:id="1254"/>
    <w:bookmarkEnd w:id="1255"/>
    <w:p w14:paraId="616CA49C">
      <w:pPr>
        <w:pStyle w:val="7"/>
        <w:spacing w:before="0" w:beforeAutospacing="0" w:after="0" w:afterAutospacing="0" w:line="360" w:lineRule="auto"/>
        <w:ind w:firstLine="422" w:firstLineChars="200"/>
        <w:rPr>
          <w:sz w:val="21"/>
          <w:szCs w:val="21"/>
        </w:rPr>
      </w:pPr>
      <w:bookmarkStart w:id="1256" w:name="_Toc532375623"/>
      <w:bookmarkStart w:id="1257" w:name="_Toc532377359"/>
      <w:r>
        <w:rPr>
          <w:rFonts w:hint="eastAsia"/>
          <w:sz w:val="21"/>
          <w:szCs w:val="21"/>
        </w:rPr>
        <w:t>7</w:t>
      </w:r>
      <w:bookmarkStart w:id="1258" w:name="_Toc304295551"/>
      <w:bookmarkStart w:id="1259" w:name="_Toc297216180"/>
      <w:bookmarkStart w:id="1260" w:name="_Toc303539130"/>
      <w:bookmarkStart w:id="1261" w:name="_Toc300934973"/>
      <w:bookmarkStart w:id="1262" w:name="_Toc312678017"/>
      <w:bookmarkStart w:id="1263" w:name="_Toc297123521"/>
      <w:r>
        <w:rPr>
          <w:rFonts w:hint="eastAsia"/>
          <w:sz w:val="21"/>
          <w:szCs w:val="21"/>
        </w:rPr>
        <w:t>.7异常恶劣的气候条件</w:t>
      </w:r>
      <w:bookmarkEnd w:id="1256"/>
      <w:bookmarkEnd w:id="1257"/>
    </w:p>
    <w:bookmarkEnd w:id="1258"/>
    <w:bookmarkEnd w:id="1259"/>
    <w:bookmarkEnd w:id="1260"/>
    <w:bookmarkEnd w:id="1261"/>
    <w:bookmarkEnd w:id="1262"/>
    <w:bookmarkEnd w:id="1263"/>
    <w:p w14:paraId="574506AF">
      <w:pPr>
        <w:spacing w:line="360" w:lineRule="auto"/>
        <w:ind w:firstLine="420" w:firstLineChars="200"/>
        <w:jc w:val="left"/>
        <w:rPr>
          <w:rFonts w:ascii="宋体" w:hAnsi="宋体"/>
          <w:szCs w:val="21"/>
          <w:u w:val="single"/>
        </w:rPr>
      </w:pPr>
      <w:r>
        <w:rPr>
          <w:rFonts w:hint="eastAsia" w:ascii="宋体" w:hAnsi="宋体"/>
          <w:szCs w:val="21"/>
        </w:rPr>
        <w:t>发包人和承包人同意以下情形视为异常恶劣的气候条件：</w:t>
      </w:r>
      <w:r>
        <w:rPr>
          <w:rFonts w:hint="eastAsia" w:ascii="宋体" w:hAnsi="宋体"/>
          <w:szCs w:val="21"/>
          <w:u w:val="single"/>
        </w:rPr>
        <w:t xml:space="preserve">    （异常气候是指项目所在地50年以上一遇的罕见气候现象）</w:t>
      </w:r>
      <w:r>
        <w:rPr>
          <w:rFonts w:hint="eastAsia" w:ascii="宋体" w:hAnsi="宋体"/>
          <w:szCs w:val="21"/>
        </w:rPr>
        <w:t>。</w:t>
      </w:r>
    </w:p>
    <w:p w14:paraId="4C70FC7A">
      <w:pPr>
        <w:pStyle w:val="7"/>
        <w:spacing w:before="0" w:beforeAutospacing="0" w:after="0" w:afterAutospacing="0" w:line="360" w:lineRule="auto"/>
        <w:ind w:firstLine="422" w:firstLineChars="200"/>
        <w:rPr>
          <w:sz w:val="21"/>
          <w:szCs w:val="21"/>
        </w:rPr>
      </w:pPr>
      <w:bookmarkStart w:id="1264" w:name="_Toc532375624"/>
      <w:bookmarkStart w:id="1265" w:name="_Toc532377360"/>
      <w:r>
        <w:rPr>
          <w:rFonts w:hint="eastAsia"/>
          <w:sz w:val="21"/>
          <w:szCs w:val="21"/>
        </w:rPr>
        <w:t>7.9 提前竣工</w:t>
      </w:r>
      <w:bookmarkEnd w:id="1264"/>
      <w:bookmarkEnd w:id="1265"/>
    </w:p>
    <w:p w14:paraId="54D5DCC9">
      <w:pPr>
        <w:spacing w:line="360" w:lineRule="auto"/>
        <w:ind w:firstLine="420" w:firstLineChars="200"/>
        <w:jc w:val="left"/>
        <w:rPr>
          <w:rFonts w:ascii="宋体" w:hAnsi="宋体"/>
          <w:szCs w:val="21"/>
        </w:rPr>
      </w:pPr>
      <w:r>
        <w:rPr>
          <w:rFonts w:hint="eastAsia" w:ascii="宋体" w:hAnsi="宋体"/>
          <w:szCs w:val="21"/>
        </w:rPr>
        <w:t>7.9.1项细化为：</w:t>
      </w:r>
    </w:p>
    <w:p w14:paraId="5B9EFAB1">
      <w:pPr>
        <w:spacing w:line="360" w:lineRule="auto"/>
        <w:ind w:firstLine="420" w:firstLineChars="200"/>
        <w:jc w:val="left"/>
        <w:rPr>
          <w:rFonts w:ascii="宋体" w:hAnsi="宋体"/>
          <w:szCs w:val="21"/>
        </w:rPr>
      </w:pPr>
      <w:r>
        <w:rPr>
          <w:rFonts w:hint="eastAsia" w:ascii="宋体" w:hAnsi="宋体"/>
          <w:szCs w:val="21"/>
        </w:rPr>
        <w:t>（1）当项目需要提前竣工或项目工期按照第7.5款〔工期延误〕约定顺延后需要提前竣工的，发包人应通过监理人向承包人下达提前竣工指示。承包人同意提前竣工的，应向发包人和监理人提交提前竣工方案，提前竣工方案经监理人和发包人审批后生效。由此增加的费用按照第10.4.1项〔变更估价原则〕约定执行。</w:t>
      </w:r>
    </w:p>
    <w:p w14:paraId="04525DDD">
      <w:pPr>
        <w:spacing w:line="360" w:lineRule="auto"/>
        <w:ind w:firstLine="420" w:firstLineChars="200"/>
        <w:jc w:val="left"/>
        <w:rPr>
          <w:rFonts w:ascii="宋体" w:hAnsi="宋体"/>
          <w:szCs w:val="21"/>
        </w:rPr>
      </w:pPr>
      <w:r>
        <w:rPr>
          <w:rFonts w:hint="eastAsia" w:ascii="宋体" w:hAnsi="宋体"/>
          <w:szCs w:val="21"/>
        </w:rPr>
        <w:t>（2）发包人不得随意要求承包人提前竣工，承包人也不得随意提出提前竣工的建议。如遇特殊情况，确需将工期提前的，发包人和承包人必须采取有效措施，确保工程质量。</w:t>
      </w:r>
    </w:p>
    <w:p w14:paraId="6AE44112">
      <w:pPr>
        <w:spacing w:line="360" w:lineRule="auto"/>
        <w:ind w:firstLine="420" w:firstLineChars="200"/>
        <w:jc w:val="left"/>
        <w:rPr>
          <w:rFonts w:ascii="宋体" w:hAnsi="宋体"/>
          <w:szCs w:val="21"/>
        </w:rPr>
      </w:pPr>
      <w:r>
        <w:rPr>
          <w:rFonts w:hint="eastAsia" w:ascii="宋体" w:hAnsi="宋体"/>
          <w:szCs w:val="21"/>
        </w:rPr>
        <w:t>7.9.2 提前竣工的奖励：</w:t>
      </w:r>
      <w:r>
        <w:rPr>
          <w:rFonts w:hint="eastAsia" w:ascii="宋体" w:hAnsi="宋体"/>
          <w:szCs w:val="21"/>
          <w:u w:val="single"/>
        </w:rPr>
        <w:t>无。</w:t>
      </w:r>
    </w:p>
    <w:p w14:paraId="08A31F50">
      <w:pPr>
        <w:pStyle w:val="6"/>
        <w:keepNext/>
        <w:keepLines/>
        <w:spacing w:before="156" w:beforeLines="50" w:beforeAutospacing="0" w:after="156" w:afterLines="50" w:afterAutospacing="0" w:line="360" w:lineRule="auto"/>
        <w:jc w:val="both"/>
        <w:rPr>
          <w:bCs w:val="0"/>
          <w:kern w:val="2"/>
          <w:sz w:val="21"/>
          <w:szCs w:val="21"/>
        </w:rPr>
      </w:pPr>
      <w:bookmarkStart w:id="1266" w:name="_Toc532375625"/>
      <w:bookmarkStart w:id="1267" w:name="_Toc532377361"/>
      <w:bookmarkStart w:id="1268" w:name="_Toc351203640"/>
      <w:r>
        <w:rPr>
          <w:rFonts w:hint="eastAsia"/>
          <w:kern w:val="2"/>
          <w:sz w:val="21"/>
          <w:szCs w:val="21"/>
        </w:rPr>
        <w:t>8. 材料与设备</w:t>
      </w:r>
      <w:bookmarkEnd w:id="1266"/>
      <w:bookmarkEnd w:id="1267"/>
      <w:bookmarkEnd w:id="1268"/>
    </w:p>
    <w:p w14:paraId="12E80B14">
      <w:pPr>
        <w:pStyle w:val="7"/>
        <w:spacing w:before="0" w:beforeAutospacing="0" w:after="0" w:afterAutospacing="0" w:line="360" w:lineRule="auto"/>
        <w:ind w:firstLine="422" w:firstLineChars="200"/>
        <w:rPr>
          <w:sz w:val="21"/>
          <w:szCs w:val="21"/>
        </w:rPr>
      </w:pPr>
      <w:bookmarkStart w:id="1269" w:name="_Toc532375626"/>
      <w:bookmarkStart w:id="1270" w:name="_Toc532377362"/>
      <w:r>
        <w:rPr>
          <w:rFonts w:hint="eastAsia"/>
          <w:sz w:val="21"/>
          <w:szCs w:val="21"/>
        </w:rPr>
        <w:t>8.1发包人供应材料与工程设备</w:t>
      </w:r>
      <w:bookmarkEnd w:id="1269"/>
      <w:bookmarkEnd w:id="1270"/>
    </w:p>
    <w:p w14:paraId="7278C771">
      <w:pPr>
        <w:spacing w:line="360" w:lineRule="auto"/>
        <w:ind w:firstLine="420" w:firstLineChars="200"/>
        <w:jc w:val="left"/>
        <w:rPr>
          <w:rFonts w:ascii="宋体" w:hAnsi="宋体"/>
          <w:szCs w:val="21"/>
        </w:rPr>
      </w:pPr>
      <w:r>
        <w:rPr>
          <w:rFonts w:hint="eastAsia" w:ascii="宋体" w:hAnsi="宋体"/>
          <w:szCs w:val="21"/>
        </w:rPr>
        <w:t>材料的名称、规格、数量和价格：</w:t>
      </w:r>
      <w:r>
        <w:rPr>
          <w:rFonts w:hint="eastAsia" w:ascii="宋体" w:hAnsi="宋体"/>
          <w:szCs w:val="21"/>
          <w:u w:val="single"/>
        </w:rPr>
        <w:t>发包人应提供甲供材料的明细表，结算时按经监理人、承包人共同确认的供应数量乘以采购时甲供材料暂定价格，在支付工程款时扣除</w:t>
      </w:r>
      <w:r>
        <w:rPr>
          <w:rFonts w:hint="eastAsia" w:ascii="宋体" w:hAnsi="宋体"/>
          <w:szCs w:val="21"/>
        </w:rPr>
        <w:t>。</w:t>
      </w:r>
    </w:p>
    <w:p w14:paraId="27491BEF">
      <w:pPr>
        <w:spacing w:line="360" w:lineRule="auto"/>
        <w:ind w:firstLine="420" w:firstLineChars="200"/>
        <w:jc w:val="left"/>
        <w:rPr>
          <w:rFonts w:ascii="宋体" w:hAnsi="宋体"/>
          <w:szCs w:val="21"/>
        </w:rPr>
      </w:pPr>
      <w:r>
        <w:rPr>
          <w:rFonts w:hint="eastAsia" w:ascii="宋体" w:hAnsi="宋体"/>
          <w:szCs w:val="21"/>
          <w:u w:val="single"/>
        </w:rPr>
        <w:t>发包人按约定的内容提供材料设备并对提供的材料设备质量负责，承包人按施工规范和检测规范对一切进场材料进行质量检验，承包人有权退回检验不合格的材料；承包人对投入使用的材料质量负责</w:t>
      </w:r>
      <w:r>
        <w:rPr>
          <w:rFonts w:hint="eastAsia" w:ascii="宋体" w:hAnsi="宋体"/>
          <w:szCs w:val="21"/>
        </w:rPr>
        <w:t>。</w:t>
      </w:r>
    </w:p>
    <w:p w14:paraId="7C3C966B">
      <w:pPr>
        <w:pStyle w:val="7"/>
        <w:spacing w:before="0" w:beforeAutospacing="0" w:after="0" w:afterAutospacing="0" w:line="360" w:lineRule="auto"/>
        <w:ind w:firstLine="422" w:firstLineChars="200"/>
        <w:rPr>
          <w:sz w:val="21"/>
          <w:szCs w:val="21"/>
        </w:rPr>
      </w:pPr>
      <w:bookmarkStart w:id="1271" w:name="_Toc351203554"/>
      <w:bookmarkStart w:id="1272" w:name="_Toc532375627"/>
      <w:bookmarkStart w:id="1273" w:name="_Toc532377363"/>
      <w:r>
        <w:rPr>
          <w:rFonts w:hint="eastAsia"/>
          <w:sz w:val="21"/>
          <w:szCs w:val="21"/>
        </w:rPr>
        <w:t>8</w:t>
      </w:r>
      <w:bookmarkStart w:id="1274" w:name="_Toc296346561"/>
      <w:bookmarkStart w:id="1275" w:name="_Toc337558778"/>
      <w:bookmarkStart w:id="1276" w:name="_Toc296503060"/>
      <w:r>
        <w:rPr>
          <w:rFonts w:hint="eastAsia"/>
          <w:sz w:val="21"/>
          <w:szCs w:val="21"/>
        </w:rPr>
        <w:t>.2 承包人采购材料与工程设备</w:t>
      </w:r>
      <w:bookmarkEnd w:id="1271"/>
      <w:bookmarkEnd w:id="1272"/>
      <w:bookmarkEnd w:id="1273"/>
    </w:p>
    <w:bookmarkEnd w:id="1274"/>
    <w:bookmarkEnd w:id="1275"/>
    <w:bookmarkEnd w:id="1276"/>
    <w:p w14:paraId="17C6B4D2">
      <w:pPr>
        <w:spacing w:line="360" w:lineRule="auto"/>
        <w:ind w:firstLine="420" w:firstLineChars="200"/>
        <w:jc w:val="left"/>
        <w:rPr>
          <w:rFonts w:ascii="宋体" w:hAnsi="宋体"/>
          <w:szCs w:val="21"/>
        </w:rPr>
      </w:pPr>
      <w:r>
        <w:rPr>
          <w:rFonts w:hint="eastAsia" w:ascii="宋体" w:hAnsi="宋体"/>
          <w:szCs w:val="21"/>
        </w:rPr>
        <w:t>8.2.1承包人负责采购、运输和保管的材料、工程设备：</w:t>
      </w:r>
      <w:r>
        <w:rPr>
          <w:rFonts w:hint="eastAsia" w:ascii="宋体" w:hAnsi="宋体"/>
          <w:szCs w:val="21"/>
          <w:u w:val="single"/>
        </w:rPr>
        <w:t>由承包人自行采购。承包人采购材料设备必须经监理人和发包人批准，结算时由监理人和发包人按采购文件规定审核的数量和合同约定</w:t>
      </w:r>
      <w:r>
        <w:rPr>
          <w:rFonts w:ascii="宋体" w:hAnsi="宋体"/>
          <w:szCs w:val="21"/>
          <w:u w:val="single"/>
        </w:rPr>
        <w:t>价格</w:t>
      </w:r>
      <w:r>
        <w:rPr>
          <w:rFonts w:hint="eastAsia" w:ascii="宋体" w:hAnsi="宋体"/>
          <w:szCs w:val="21"/>
          <w:u w:val="single"/>
        </w:rPr>
        <w:t>计算</w:t>
      </w:r>
      <w:r>
        <w:rPr>
          <w:rFonts w:hint="eastAsia" w:ascii="宋体" w:hAnsi="宋体"/>
          <w:szCs w:val="21"/>
        </w:rPr>
        <w:t>。</w:t>
      </w:r>
    </w:p>
    <w:p w14:paraId="0B724C23">
      <w:pPr>
        <w:spacing w:line="360" w:lineRule="auto"/>
        <w:ind w:firstLine="420" w:firstLineChars="200"/>
        <w:jc w:val="left"/>
        <w:rPr>
          <w:rFonts w:ascii="宋体" w:hAnsi="宋体"/>
          <w:szCs w:val="21"/>
        </w:rPr>
      </w:pPr>
      <w:r>
        <w:rPr>
          <w:rFonts w:hint="eastAsia" w:ascii="宋体" w:hAnsi="宋体"/>
          <w:szCs w:val="21"/>
        </w:rPr>
        <w:t>8.2.2承包人报送监理人审批的时间：</w:t>
      </w:r>
      <w:r>
        <w:rPr>
          <w:rFonts w:hint="eastAsia" w:ascii="宋体" w:hAnsi="宋体"/>
          <w:szCs w:val="21"/>
          <w:u w:val="single"/>
        </w:rPr>
        <w:t>按发包人及监理单位的相关规定执行</w:t>
      </w:r>
      <w:r>
        <w:rPr>
          <w:rFonts w:hint="eastAsia" w:ascii="宋体" w:hAnsi="宋体"/>
          <w:szCs w:val="21"/>
        </w:rPr>
        <w:t>。</w:t>
      </w:r>
    </w:p>
    <w:p w14:paraId="299E909A">
      <w:pPr>
        <w:spacing w:line="360" w:lineRule="auto"/>
        <w:ind w:firstLine="420" w:firstLineChars="200"/>
        <w:jc w:val="left"/>
        <w:rPr>
          <w:rFonts w:ascii="宋体" w:hAnsi="宋体"/>
          <w:szCs w:val="21"/>
        </w:rPr>
      </w:pPr>
      <w:r>
        <w:rPr>
          <w:rFonts w:hint="eastAsia" w:ascii="宋体" w:hAnsi="宋体"/>
          <w:szCs w:val="21"/>
        </w:rPr>
        <w:t>8.2.3承包人选择的生产厂家或供应商满足下列条件：</w:t>
      </w:r>
    </w:p>
    <w:p w14:paraId="0FA0DBE8">
      <w:pPr>
        <w:spacing w:line="360" w:lineRule="auto"/>
        <w:ind w:firstLine="420" w:firstLineChars="200"/>
        <w:jc w:val="left"/>
        <w:rPr>
          <w:rFonts w:ascii="宋体" w:hAnsi="宋体"/>
          <w:szCs w:val="21"/>
        </w:rPr>
      </w:pPr>
      <w:r>
        <w:rPr>
          <w:rFonts w:hint="eastAsia" w:ascii="宋体" w:hAnsi="宋体"/>
          <w:szCs w:val="21"/>
        </w:rPr>
        <w:t>A.承包人选择的混凝土供应商应满足下列条件：</w:t>
      </w:r>
      <w:r>
        <w:rPr>
          <w:rFonts w:hint="eastAsia" w:ascii="宋体" w:hAnsi="宋体"/>
          <w:szCs w:val="21"/>
          <w:u w:val="single"/>
        </w:rPr>
        <w:t xml:space="preserve">        </w:t>
      </w:r>
      <w:r>
        <w:rPr>
          <w:rFonts w:hint="eastAsia" w:ascii="宋体" w:hAnsi="宋体"/>
          <w:szCs w:val="21"/>
        </w:rPr>
        <w:t>；</w:t>
      </w:r>
    </w:p>
    <w:p w14:paraId="58B653C5">
      <w:pPr>
        <w:spacing w:line="360" w:lineRule="auto"/>
        <w:ind w:firstLine="420" w:firstLineChars="200"/>
        <w:jc w:val="left"/>
        <w:rPr>
          <w:rFonts w:ascii="宋体" w:hAnsi="宋体"/>
          <w:szCs w:val="21"/>
        </w:rPr>
      </w:pPr>
      <w:r>
        <w:rPr>
          <w:rFonts w:hint="eastAsia" w:ascii="宋体" w:hAnsi="宋体"/>
          <w:szCs w:val="21"/>
        </w:rPr>
        <w:t>B.承包人选择的钢材供应商应满足下列条件：</w:t>
      </w:r>
      <w:r>
        <w:rPr>
          <w:rFonts w:hint="eastAsia" w:ascii="宋体" w:hAnsi="宋体"/>
          <w:szCs w:val="21"/>
          <w:u w:val="single"/>
        </w:rPr>
        <w:t xml:space="preserve">        </w:t>
      </w:r>
      <w:r>
        <w:rPr>
          <w:rFonts w:hint="eastAsia" w:ascii="宋体" w:hAnsi="宋体"/>
          <w:szCs w:val="21"/>
        </w:rPr>
        <w:t>；</w:t>
      </w:r>
    </w:p>
    <w:p w14:paraId="4E680310">
      <w:pPr>
        <w:spacing w:line="360" w:lineRule="auto"/>
        <w:ind w:firstLine="420" w:firstLineChars="200"/>
        <w:jc w:val="left"/>
        <w:rPr>
          <w:rFonts w:ascii="宋体" w:hAnsi="宋体"/>
          <w:szCs w:val="21"/>
        </w:rPr>
      </w:pPr>
      <w:r>
        <w:rPr>
          <w:rFonts w:hint="eastAsia" w:ascii="宋体" w:hAnsi="宋体"/>
          <w:szCs w:val="21"/>
        </w:rPr>
        <w:t>C.承包人选择的水泥供应商应满足下列条件：</w:t>
      </w:r>
      <w:r>
        <w:rPr>
          <w:rFonts w:hint="eastAsia" w:ascii="宋体" w:hAnsi="宋体"/>
          <w:szCs w:val="21"/>
          <w:u w:val="single"/>
        </w:rPr>
        <w:t xml:space="preserve">        </w:t>
      </w:r>
      <w:r>
        <w:rPr>
          <w:rFonts w:hint="eastAsia" w:ascii="宋体" w:hAnsi="宋体"/>
          <w:szCs w:val="21"/>
        </w:rPr>
        <w:t>；</w:t>
      </w:r>
    </w:p>
    <w:p w14:paraId="4CD3ECA6">
      <w:pPr>
        <w:spacing w:line="360" w:lineRule="auto"/>
        <w:ind w:firstLine="420" w:firstLineChars="200"/>
        <w:jc w:val="left"/>
        <w:rPr>
          <w:rFonts w:ascii="宋体" w:hAnsi="宋体"/>
          <w:szCs w:val="21"/>
        </w:rPr>
      </w:pPr>
      <w:r>
        <w:rPr>
          <w:rFonts w:hint="eastAsia" w:ascii="宋体" w:hAnsi="宋体"/>
          <w:szCs w:val="21"/>
        </w:rPr>
        <w:t>D.承包人采购的材料与设计或标准要求不符时，承包人应按发包人和监理人要求的时间运出施工场地，并重新采购符合要求的产品，并承担由此发生的费用，因此延误的工期不予顺延。</w:t>
      </w:r>
    </w:p>
    <w:p w14:paraId="0F4026DD">
      <w:pPr>
        <w:spacing w:line="360" w:lineRule="auto"/>
        <w:ind w:firstLine="420" w:firstLineChars="200"/>
        <w:jc w:val="left"/>
        <w:rPr>
          <w:rFonts w:ascii="宋体" w:hAnsi="宋体"/>
          <w:szCs w:val="21"/>
        </w:rPr>
      </w:pPr>
      <w:r>
        <w:rPr>
          <w:rFonts w:hint="eastAsia" w:ascii="宋体" w:hAnsi="宋体"/>
          <w:szCs w:val="21"/>
        </w:rPr>
        <w:t>E.承包人采购的材料在使用前，应按发包人和监理人的要求进行检验或试验，不合格的不得使用。</w:t>
      </w:r>
    </w:p>
    <w:p w14:paraId="5FB791C8">
      <w:pPr>
        <w:spacing w:line="360" w:lineRule="auto"/>
        <w:ind w:firstLine="420" w:firstLineChars="200"/>
        <w:jc w:val="left"/>
        <w:rPr>
          <w:rFonts w:ascii="宋体" w:hAnsi="宋体"/>
          <w:szCs w:val="21"/>
        </w:rPr>
      </w:pPr>
      <w:r>
        <w:rPr>
          <w:rFonts w:hint="eastAsia" w:ascii="宋体" w:hAnsi="宋体"/>
          <w:szCs w:val="21"/>
        </w:rPr>
        <w:t>F.</w:t>
      </w:r>
      <w:r>
        <w:rPr>
          <w:rFonts w:hint="eastAsia" w:ascii="宋体" w:hAnsi="宋体"/>
          <w:szCs w:val="21"/>
          <w:u w:val="single"/>
        </w:rPr>
        <w:t xml:space="preserve">        </w:t>
      </w:r>
      <w:r>
        <w:rPr>
          <w:rFonts w:hint="eastAsia" w:ascii="宋体" w:hAnsi="宋体"/>
          <w:szCs w:val="21"/>
        </w:rPr>
        <w:t>。</w:t>
      </w:r>
    </w:p>
    <w:p w14:paraId="6B6FB7FA">
      <w:pPr>
        <w:pStyle w:val="7"/>
        <w:spacing w:before="0" w:beforeAutospacing="0" w:after="0" w:afterAutospacing="0" w:line="360" w:lineRule="auto"/>
        <w:ind w:firstLine="422" w:firstLineChars="200"/>
        <w:rPr>
          <w:sz w:val="21"/>
          <w:szCs w:val="21"/>
        </w:rPr>
      </w:pPr>
      <w:bookmarkStart w:id="1277" w:name="_Toc532377364"/>
      <w:bookmarkStart w:id="1278" w:name="_Toc532375628"/>
      <w:r>
        <w:rPr>
          <w:rFonts w:hint="eastAsia"/>
          <w:sz w:val="21"/>
          <w:szCs w:val="21"/>
        </w:rPr>
        <w:t>8</w:t>
      </w:r>
      <w:bookmarkStart w:id="1279" w:name="_Toc312677493"/>
      <w:bookmarkStart w:id="1280" w:name="_Toc296891207"/>
      <w:bookmarkStart w:id="1281" w:name="_Toc297123527"/>
      <w:bookmarkStart w:id="1282" w:name="_Toc297120467"/>
      <w:bookmarkStart w:id="1283" w:name="_Toc292559372"/>
      <w:bookmarkStart w:id="1284" w:name="_Toc312678019"/>
      <w:bookmarkStart w:id="1285" w:name="_Toc297048353"/>
      <w:bookmarkStart w:id="1286" w:name="_Toc296346668"/>
      <w:bookmarkStart w:id="1287" w:name="_Toc296890995"/>
      <w:bookmarkStart w:id="1288" w:name="_Toc300934979"/>
      <w:bookmarkStart w:id="1289" w:name="_Toc296347166"/>
      <w:bookmarkStart w:id="1290" w:name="_Toc304295556"/>
      <w:bookmarkStart w:id="1291" w:name="_Toc280868654"/>
      <w:bookmarkStart w:id="1292" w:name="_Toc292559877"/>
      <w:bookmarkStart w:id="1293" w:name="_Toc297216186"/>
      <w:bookmarkStart w:id="1294" w:name="_Toc303539136"/>
      <w:bookmarkStart w:id="1295" w:name="_Toc296944506"/>
      <w:bookmarkStart w:id="1296" w:name="_Toc296503167"/>
      <w:bookmarkStart w:id="1297" w:name="_Toc267251424"/>
      <w:bookmarkStart w:id="1298" w:name="_Toc280868655"/>
      <w:bookmarkStart w:id="1299" w:name="_Toc280868656"/>
      <w:r>
        <w:rPr>
          <w:rFonts w:hint="eastAsia"/>
          <w:sz w:val="21"/>
          <w:szCs w:val="21"/>
        </w:rPr>
        <w:t>.4 材料与工程设备的保管与使用</w:t>
      </w:r>
      <w:bookmarkEnd w:id="1277"/>
      <w:bookmarkEnd w:id="1278"/>
    </w:p>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14:paraId="7CB804BD">
      <w:pPr>
        <w:spacing w:line="360" w:lineRule="auto"/>
        <w:ind w:firstLine="420" w:firstLineChars="200"/>
        <w:jc w:val="left"/>
        <w:rPr>
          <w:rFonts w:ascii="宋体" w:hAnsi="宋体"/>
          <w:szCs w:val="21"/>
        </w:rPr>
      </w:pPr>
      <w:r>
        <w:rPr>
          <w:rFonts w:hint="eastAsia" w:ascii="宋体" w:hAnsi="宋体"/>
          <w:szCs w:val="21"/>
        </w:rPr>
        <w:t>8</w:t>
      </w:r>
      <w:bookmarkStart w:id="1300" w:name="_Toc292559878"/>
      <w:bookmarkStart w:id="1301" w:name="_Toc292559373"/>
      <w:bookmarkStart w:id="1302" w:name="_Toc297216187"/>
      <w:bookmarkStart w:id="1303" w:name="_Toc296503168"/>
      <w:bookmarkStart w:id="1304" w:name="_Toc318581173"/>
      <w:bookmarkStart w:id="1305" w:name="_Toc297120468"/>
      <w:bookmarkStart w:id="1306" w:name="_Toc303539137"/>
      <w:bookmarkStart w:id="1307" w:name="_Toc296891208"/>
      <w:bookmarkStart w:id="1308" w:name="_Toc297048354"/>
      <w:bookmarkStart w:id="1309" w:name="_Toc304295557"/>
      <w:bookmarkStart w:id="1310" w:name="_Toc296890996"/>
      <w:bookmarkStart w:id="1311" w:name="_Toc297123528"/>
      <w:bookmarkStart w:id="1312" w:name="_Toc296346669"/>
      <w:bookmarkStart w:id="1313" w:name="_Toc300934980"/>
      <w:bookmarkStart w:id="1314" w:name="_Toc312677494"/>
      <w:bookmarkStart w:id="1315" w:name="_Toc296347167"/>
      <w:bookmarkStart w:id="1316" w:name="_Toc296944507"/>
      <w:bookmarkStart w:id="1317" w:name="_Toc312678020"/>
      <w:r>
        <w:rPr>
          <w:rFonts w:hint="eastAsia" w:ascii="宋体" w:hAnsi="宋体"/>
          <w:szCs w:val="21"/>
        </w:rPr>
        <w:t>.4.1 发包人供应的材料设备的保管费用的承担：</w:t>
      </w:r>
      <w:r>
        <w:rPr>
          <w:rFonts w:hint="eastAsia" w:ascii="宋体" w:hAnsi="宋体"/>
          <w:szCs w:val="21"/>
          <w:u w:val="single"/>
        </w:rPr>
        <w:t xml:space="preserve">           </w:t>
      </w:r>
      <w:r>
        <w:rPr>
          <w:rFonts w:hint="eastAsia" w:ascii="宋体" w:hAnsi="宋体"/>
          <w:szCs w:val="21"/>
        </w:rPr>
        <w:t>。</w:t>
      </w:r>
      <w:bookmarkEnd w:id="1300"/>
      <w:bookmarkEnd w:id="1301"/>
    </w:p>
    <w:p w14:paraId="34AA79CA">
      <w:pPr>
        <w:pStyle w:val="7"/>
        <w:spacing w:before="0" w:beforeAutospacing="0" w:after="0" w:afterAutospacing="0" w:line="360" w:lineRule="auto"/>
        <w:ind w:firstLine="422" w:firstLineChars="200"/>
        <w:rPr>
          <w:sz w:val="21"/>
          <w:szCs w:val="21"/>
        </w:rPr>
      </w:pPr>
      <w:bookmarkStart w:id="1318" w:name="_Toc532375629"/>
      <w:bookmarkStart w:id="1319" w:name="_Toc532377365"/>
      <w:r>
        <w:rPr>
          <w:rFonts w:hint="eastAsia"/>
          <w:sz w:val="21"/>
          <w:szCs w:val="21"/>
        </w:rPr>
        <w:t>8.6 样品</w:t>
      </w:r>
      <w:bookmarkEnd w:id="1318"/>
      <w:bookmarkEnd w:id="1319"/>
    </w:p>
    <w:p w14:paraId="7E307313">
      <w:pPr>
        <w:autoSpaceDE w:val="0"/>
        <w:autoSpaceDN w:val="0"/>
        <w:spacing w:line="360" w:lineRule="auto"/>
        <w:ind w:firstLine="420" w:firstLineChars="200"/>
        <w:jc w:val="left"/>
        <w:rPr>
          <w:rFonts w:ascii="宋体" w:hAnsi="宋体"/>
          <w:szCs w:val="21"/>
        </w:rPr>
      </w:pPr>
      <w:r>
        <w:rPr>
          <w:rFonts w:hint="eastAsia" w:ascii="宋体" w:hAnsi="宋体"/>
          <w:szCs w:val="21"/>
        </w:rPr>
        <w:t>8.6.1 样品的报送与封存</w:t>
      </w:r>
    </w:p>
    <w:p w14:paraId="655FF3A6">
      <w:pPr>
        <w:autoSpaceDE w:val="0"/>
        <w:autoSpaceDN w:val="0"/>
        <w:spacing w:line="360" w:lineRule="auto"/>
        <w:ind w:firstLine="420" w:firstLineChars="200"/>
        <w:jc w:val="left"/>
        <w:rPr>
          <w:rFonts w:ascii="宋体" w:hAnsi="宋体"/>
          <w:szCs w:val="21"/>
        </w:rPr>
      </w:pPr>
      <w:r>
        <w:rPr>
          <w:rFonts w:hint="eastAsia" w:ascii="宋体" w:hAnsi="宋体"/>
          <w:szCs w:val="21"/>
        </w:rPr>
        <w:t>需要承包人报送样品的材料或工程设备，样品的种类、名称、规格、数量要求：</w:t>
      </w:r>
      <w:r>
        <w:rPr>
          <w:rFonts w:hint="eastAsia" w:ascii="宋体" w:hAnsi="宋体"/>
          <w:szCs w:val="21"/>
          <w:u w:val="single"/>
        </w:rPr>
        <w:t xml:space="preserve">        </w:t>
      </w:r>
      <w:r>
        <w:rPr>
          <w:rFonts w:hint="eastAsia" w:ascii="宋体" w:hAnsi="宋体"/>
          <w:szCs w:val="21"/>
        </w:rPr>
        <w:t>。</w:t>
      </w:r>
    </w:p>
    <w:p w14:paraId="5CEF66FF">
      <w:pPr>
        <w:pStyle w:val="7"/>
        <w:spacing w:before="0" w:beforeAutospacing="0" w:after="0" w:afterAutospacing="0" w:line="360" w:lineRule="auto"/>
        <w:ind w:firstLine="422" w:firstLineChars="200"/>
        <w:rPr>
          <w:sz w:val="21"/>
          <w:szCs w:val="21"/>
        </w:rPr>
      </w:pPr>
      <w:bookmarkStart w:id="1320" w:name="_Toc532377366"/>
      <w:bookmarkStart w:id="1321" w:name="_Toc532375630"/>
      <w:r>
        <w:rPr>
          <w:rFonts w:hint="eastAsia"/>
          <w:sz w:val="21"/>
          <w:szCs w:val="21"/>
        </w:rPr>
        <w:t>8.8 施工设备和临时设施</w:t>
      </w:r>
      <w:bookmarkEnd w:id="1320"/>
      <w:bookmarkEnd w:id="1321"/>
    </w:p>
    <w:p w14:paraId="4330DEF1">
      <w:pPr>
        <w:autoSpaceDE w:val="0"/>
        <w:autoSpaceDN w:val="0"/>
        <w:spacing w:line="360" w:lineRule="auto"/>
        <w:ind w:firstLine="420" w:firstLineChars="200"/>
        <w:jc w:val="left"/>
        <w:rPr>
          <w:rFonts w:ascii="宋体" w:hAnsi="宋体"/>
          <w:szCs w:val="21"/>
        </w:rPr>
      </w:pPr>
      <w:r>
        <w:rPr>
          <w:rFonts w:hint="eastAsia" w:ascii="宋体" w:hAnsi="宋体"/>
          <w:szCs w:val="21"/>
        </w:rPr>
        <w:t>8.8.1 承包人提供的施工设备和临时设施</w:t>
      </w:r>
    </w:p>
    <w:p w14:paraId="785F717B">
      <w:pPr>
        <w:autoSpaceDE w:val="0"/>
        <w:autoSpaceDN w:val="0"/>
        <w:spacing w:line="360" w:lineRule="auto"/>
        <w:ind w:firstLine="420" w:firstLineChars="200"/>
        <w:jc w:val="left"/>
        <w:rPr>
          <w:rFonts w:ascii="宋体" w:hAnsi="宋体"/>
          <w:szCs w:val="21"/>
        </w:rPr>
      </w:pPr>
      <w:r>
        <w:rPr>
          <w:rFonts w:hint="eastAsia" w:ascii="宋体" w:hAnsi="宋体"/>
          <w:szCs w:val="21"/>
        </w:rPr>
        <w:t>关于修建临时设施费用承担的约定：</w:t>
      </w:r>
      <w:r>
        <w:rPr>
          <w:rFonts w:hint="eastAsia" w:ascii="宋体" w:hAnsi="宋体"/>
          <w:szCs w:val="21"/>
          <w:u w:val="single"/>
        </w:rPr>
        <w:t>由承包人承担</w:t>
      </w:r>
      <w:r>
        <w:rPr>
          <w:rFonts w:hint="eastAsia" w:ascii="宋体" w:hAnsi="宋体"/>
          <w:szCs w:val="21"/>
        </w:rPr>
        <w:t>。</w:t>
      </w:r>
    </w:p>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14:paraId="44CC99A6">
      <w:pPr>
        <w:pStyle w:val="6"/>
        <w:keepNext/>
        <w:keepLines/>
        <w:spacing w:before="156" w:beforeLines="50" w:beforeAutospacing="0" w:after="156" w:afterLines="50" w:afterAutospacing="0" w:line="360" w:lineRule="auto"/>
        <w:jc w:val="both"/>
        <w:rPr>
          <w:bCs w:val="0"/>
          <w:kern w:val="2"/>
          <w:sz w:val="21"/>
          <w:szCs w:val="21"/>
        </w:rPr>
      </w:pPr>
      <w:bookmarkStart w:id="1322" w:name="_Toc532375631"/>
      <w:bookmarkStart w:id="1323" w:name="_Toc351203641"/>
      <w:bookmarkStart w:id="1324" w:name="_Toc532377367"/>
      <w:r>
        <w:rPr>
          <w:rFonts w:hint="eastAsia"/>
          <w:kern w:val="2"/>
          <w:sz w:val="21"/>
          <w:szCs w:val="21"/>
        </w:rPr>
        <w:t>9</w:t>
      </w:r>
      <w:bookmarkEnd w:id="1297"/>
      <w:bookmarkEnd w:id="1298"/>
      <w:bookmarkEnd w:id="1299"/>
      <w:bookmarkStart w:id="1325" w:name="_Toc297216192"/>
      <w:bookmarkStart w:id="1326" w:name="_Toc304295559"/>
      <w:bookmarkStart w:id="1327" w:name="_Toc303539139"/>
      <w:bookmarkStart w:id="1328" w:name="_Toc297123533"/>
      <w:bookmarkStart w:id="1329" w:name="_Toc312677495"/>
      <w:bookmarkStart w:id="1330" w:name="_Toc300934982"/>
      <w:bookmarkStart w:id="1331" w:name="_Toc312678021"/>
      <w:r>
        <w:rPr>
          <w:rFonts w:hint="eastAsia"/>
          <w:kern w:val="2"/>
          <w:sz w:val="21"/>
          <w:szCs w:val="21"/>
        </w:rPr>
        <w:t>. 试验与检验</w:t>
      </w:r>
      <w:bookmarkEnd w:id="1322"/>
      <w:bookmarkEnd w:id="1323"/>
      <w:bookmarkEnd w:id="1324"/>
    </w:p>
    <w:bookmarkEnd w:id="1325"/>
    <w:bookmarkEnd w:id="1326"/>
    <w:bookmarkEnd w:id="1327"/>
    <w:bookmarkEnd w:id="1328"/>
    <w:bookmarkEnd w:id="1329"/>
    <w:bookmarkEnd w:id="1330"/>
    <w:bookmarkEnd w:id="1331"/>
    <w:p w14:paraId="1BABA745">
      <w:pPr>
        <w:pStyle w:val="7"/>
        <w:spacing w:before="0" w:beforeAutospacing="0" w:after="0" w:afterAutospacing="0" w:line="360" w:lineRule="auto"/>
        <w:ind w:firstLine="422" w:firstLineChars="200"/>
        <w:rPr>
          <w:sz w:val="21"/>
          <w:szCs w:val="21"/>
        </w:rPr>
      </w:pPr>
      <w:bookmarkStart w:id="1332" w:name="_Toc532377368"/>
      <w:bookmarkStart w:id="1333" w:name="_Toc532375632"/>
      <w:r>
        <w:rPr>
          <w:rFonts w:hint="eastAsia"/>
          <w:sz w:val="21"/>
          <w:szCs w:val="21"/>
        </w:rPr>
        <w:t>9</w:t>
      </w:r>
      <w:bookmarkStart w:id="1334" w:name="_Toc300934983"/>
      <w:bookmarkStart w:id="1335" w:name="_Toc312677496"/>
      <w:bookmarkStart w:id="1336" w:name="_Toc312678022"/>
      <w:bookmarkStart w:id="1337" w:name="_Toc297216193"/>
      <w:bookmarkStart w:id="1338" w:name="_Toc304295560"/>
      <w:bookmarkStart w:id="1339" w:name="_Toc303539140"/>
      <w:bookmarkStart w:id="1340" w:name="_Toc297123534"/>
      <w:r>
        <w:rPr>
          <w:rFonts w:hint="eastAsia"/>
          <w:sz w:val="21"/>
          <w:szCs w:val="21"/>
        </w:rPr>
        <w:t>.1 试验设备与试验人员</w:t>
      </w:r>
      <w:bookmarkEnd w:id="1332"/>
      <w:bookmarkEnd w:id="1333"/>
    </w:p>
    <w:bookmarkEnd w:id="1334"/>
    <w:bookmarkEnd w:id="1335"/>
    <w:bookmarkEnd w:id="1336"/>
    <w:bookmarkEnd w:id="1337"/>
    <w:bookmarkEnd w:id="1338"/>
    <w:bookmarkEnd w:id="1339"/>
    <w:bookmarkEnd w:id="1340"/>
    <w:p w14:paraId="0E095F32">
      <w:pPr>
        <w:spacing w:line="360" w:lineRule="auto"/>
        <w:ind w:firstLine="420" w:firstLineChars="200"/>
        <w:jc w:val="left"/>
        <w:rPr>
          <w:rFonts w:ascii="宋体" w:hAnsi="宋体"/>
          <w:szCs w:val="21"/>
        </w:rPr>
      </w:pPr>
      <w:r>
        <w:rPr>
          <w:rFonts w:hint="eastAsia" w:ascii="宋体" w:hAnsi="宋体"/>
          <w:szCs w:val="21"/>
        </w:rPr>
        <w:t>9</w:t>
      </w:r>
      <w:bookmarkStart w:id="1341" w:name="_Toc300934984"/>
      <w:bookmarkStart w:id="1342" w:name="_Toc303539141"/>
      <w:bookmarkStart w:id="1343" w:name="_Toc304295561"/>
      <w:bookmarkStart w:id="1344" w:name="_Toc312678023"/>
      <w:bookmarkStart w:id="1345" w:name="_Toc297216194"/>
      <w:bookmarkStart w:id="1346" w:name="_Toc297123535"/>
      <w:bookmarkStart w:id="1347" w:name="_Toc312677497"/>
      <w:bookmarkStart w:id="1348" w:name="_Toc318581174"/>
      <w:r>
        <w:rPr>
          <w:rFonts w:hint="eastAsia" w:ascii="宋体" w:hAnsi="宋体"/>
          <w:szCs w:val="21"/>
        </w:rPr>
        <w:t>.1.2 试验设备</w:t>
      </w:r>
    </w:p>
    <w:p w14:paraId="465B479D">
      <w:pPr>
        <w:spacing w:line="360" w:lineRule="auto"/>
        <w:ind w:firstLine="420" w:firstLineChars="200"/>
        <w:jc w:val="left"/>
        <w:rPr>
          <w:rFonts w:ascii="宋体" w:hAnsi="宋体"/>
          <w:szCs w:val="21"/>
        </w:rPr>
      </w:pPr>
      <w:r>
        <w:rPr>
          <w:rFonts w:hint="eastAsia" w:ascii="宋体" w:hAnsi="宋体"/>
          <w:szCs w:val="21"/>
        </w:rPr>
        <w:t>施工现场需要配置的试验场所：</w:t>
      </w:r>
      <w:bookmarkEnd w:id="1341"/>
      <w:bookmarkEnd w:id="1342"/>
      <w:bookmarkEnd w:id="1343"/>
      <w:bookmarkEnd w:id="1344"/>
      <w:bookmarkEnd w:id="1345"/>
      <w:bookmarkEnd w:id="1346"/>
      <w:bookmarkEnd w:id="1347"/>
      <w:bookmarkStart w:id="1349" w:name="_Toc303539142"/>
      <w:bookmarkStart w:id="1350" w:name="_Toc297123536"/>
      <w:bookmarkStart w:id="1351" w:name="_Toc304295562"/>
      <w:bookmarkStart w:id="1352" w:name="_Toc297216195"/>
      <w:bookmarkStart w:id="1353" w:name="_Toc312677498"/>
      <w:bookmarkStart w:id="1354" w:name="_Toc300934985"/>
      <w:bookmarkStart w:id="1355" w:name="_Toc312678024"/>
      <w:r>
        <w:rPr>
          <w:rFonts w:hint="eastAsia" w:ascii="宋体" w:hAnsi="宋体"/>
          <w:szCs w:val="21"/>
          <w:u w:val="single"/>
        </w:rPr>
        <w:t>满足工程施工的需要</w:t>
      </w:r>
      <w:r>
        <w:rPr>
          <w:rFonts w:hint="eastAsia" w:ascii="宋体" w:hAnsi="宋体"/>
          <w:szCs w:val="21"/>
        </w:rPr>
        <w:t>。</w:t>
      </w:r>
    </w:p>
    <w:p w14:paraId="7EE7A6FD">
      <w:pPr>
        <w:spacing w:line="360" w:lineRule="auto"/>
        <w:ind w:firstLine="420" w:firstLineChars="200"/>
        <w:jc w:val="left"/>
        <w:rPr>
          <w:rFonts w:ascii="宋体" w:hAnsi="宋体"/>
          <w:szCs w:val="21"/>
        </w:rPr>
      </w:pPr>
      <w:r>
        <w:rPr>
          <w:rFonts w:hint="eastAsia" w:ascii="宋体" w:hAnsi="宋体"/>
          <w:szCs w:val="21"/>
        </w:rPr>
        <w:t>施工现场需要配备的试验设备：</w:t>
      </w:r>
      <w:r>
        <w:rPr>
          <w:rFonts w:hint="eastAsia" w:ascii="宋体" w:hAnsi="宋体"/>
          <w:szCs w:val="21"/>
          <w:u w:val="single"/>
        </w:rPr>
        <w:t>满足工程施工的需要</w:t>
      </w:r>
      <w:r>
        <w:rPr>
          <w:rFonts w:hint="eastAsia" w:ascii="宋体" w:hAnsi="宋体"/>
          <w:szCs w:val="21"/>
        </w:rPr>
        <w:t>。</w:t>
      </w:r>
    </w:p>
    <w:p w14:paraId="2425F968">
      <w:pPr>
        <w:spacing w:line="360" w:lineRule="auto"/>
        <w:ind w:firstLine="420" w:firstLineChars="200"/>
        <w:jc w:val="left"/>
        <w:rPr>
          <w:rFonts w:ascii="宋体" w:hAnsi="宋体"/>
          <w:szCs w:val="21"/>
        </w:rPr>
      </w:pPr>
      <w:r>
        <w:rPr>
          <w:rFonts w:hint="eastAsia" w:ascii="宋体" w:hAnsi="宋体"/>
          <w:szCs w:val="21"/>
        </w:rPr>
        <w:t>施工现场需要具备的其他试验条件：</w:t>
      </w:r>
      <w:r>
        <w:rPr>
          <w:rFonts w:hint="eastAsia" w:ascii="宋体" w:hAnsi="宋体"/>
          <w:szCs w:val="21"/>
          <w:u w:val="single"/>
        </w:rPr>
        <w:t xml:space="preserve">        </w:t>
      </w:r>
      <w:r>
        <w:rPr>
          <w:rFonts w:hint="eastAsia" w:ascii="宋体" w:hAnsi="宋体"/>
          <w:szCs w:val="21"/>
        </w:rPr>
        <w:t>。</w:t>
      </w:r>
    </w:p>
    <w:p w14:paraId="0A7C01DF">
      <w:pPr>
        <w:pStyle w:val="7"/>
        <w:spacing w:before="0" w:beforeAutospacing="0" w:after="0" w:afterAutospacing="0" w:line="360" w:lineRule="auto"/>
        <w:ind w:firstLine="422" w:firstLineChars="200"/>
        <w:rPr>
          <w:sz w:val="21"/>
          <w:szCs w:val="21"/>
        </w:rPr>
      </w:pPr>
      <w:bookmarkStart w:id="1356" w:name="_Toc532375633"/>
      <w:bookmarkStart w:id="1357" w:name="_Toc532377369"/>
      <w:r>
        <w:rPr>
          <w:rFonts w:hint="eastAsia"/>
          <w:sz w:val="21"/>
          <w:szCs w:val="21"/>
        </w:rPr>
        <w:t>9.4 现场工艺试验</w:t>
      </w:r>
      <w:bookmarkEnd w:id="1356"/>
      <w:bookmarkEnd w:id="1357"/>
    </w:p>
    <w:p w14:paraId="09070815">
      <w:pPr>
        <w:spacing w:line="360" w:lineRule="auto"/>
        <w:ind w:firstLine="420" w:firstLineChars="200"/>
        <w:jc w:val="left"/>
        <w:rPr>
          <w:rFonts w:ascii="宋体" w:hAnsi="宋体"/>
          <w:szCs w:val="21"/>
        </w:rPr>
      </w:pPr>
      <w:r>
        <w:rPr>
          <w:rFonts w:hint="eastAsia" w:ascii="宋体" w:hAnsi="宋体"/>
          <w:szCs w:val="21"/>
        </w:rPr>
        <w:t>本款补充9.4.1～9.4.5项：</w:t>
      </w:r>
    </w:p>
    <w:bookmarkEnd w:id="1348"/>
    <w:bookmarkEnd w:id="1349"/>
    <w:bookmarkEnd w:id="1350"/>
    <w:bookmarkEnd w:id="1351"/>
    <w:bookmarkEnd w:id="1352"/>
    <w:bookmarkEnd w:id="1353"/>
    <w:bookmarkEnd w:id="1354"/>
    <w:bookmarkEnd w:id="1355"/>
    <w:p w14:paraId="2E12F4BB">
      <w:pPr>
        <w:spacing w:line="360" w:lineRule="auto"/>
        <w:ind w:firstLine="420" w:firstLineChars="200"/>
        <w:jc w:val="left"/>
        <w:rPr>
          <w:rFonts w:ascii="宋体" w:hAnsi="宋体"/>
          <w:szCs w:val="21"/>
        </w:rPr>
      </w:pPr>
      <w:r>
        <w:rPr>
          <w:rFonts w:hint="eastAsia" w:ascii="宋体" w:hAnsi="宋体"/>
          <w:szCs w:val="21"/>
        </w:rPr>
        <w:t>9.4.1一般检验试验：</w:t>
      </w:r>
    </w:p>
    <w:p w14:paraId="5375F27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根据《建设工程质量检测管理办法》（建设部令第141号）、关于实施《建设工程质量检测管理办法》有关问题的通知（建质〔2009〕25号）、《重庆市建设工程质量检测管理规定》（渝建发〔2009〕123号）、《关于加强我市建设工程质量检测委托管理的通知》（渝建〔2015〕420号）和有关施工规范、验收标准及施工图的规定或要求，对工程材料、构件、建筑安装物、半成品、成品进行的一般质量鉴定、检测和试验，由发包人委托的第三方检测试验机构实施，所发生的鉴定、检测和试验费用由发包人承担，不包含在合同价格中。</w:t>
      </w:r>
    </w:p>
    <w:p w14:paraId="44A61091">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实施前，由发包人、承包人和第三方检测试验机构签订三方合同，第三方检测试验机构分别向承包人和发包人出具相应的检测试验报告。根据渝建〔2015〕420号文和有关施工规范、验收标准及施工图的规定或要求，所做的上述检测试验所需的试件取样、制作、送检，试件制作需要提供的材料以及检测、试验的配合工作由承包人负责完成并承担由此产生的所有相关费用。</w:t>
      </w:r>
    </w:p>
    <w:p w14:paraId="188372A6">
      <w:pPr>
        <w:spacing w:line="360" w:lineRule="auto"/>
        <w:ind w:firstLine="420" w:firstLineChars="200"/>
        <w:jc w:val="left"/>
        <w:rPr>
          <w:rFonts w:ascii="宋体" w:hAnsi="宋体"/>
          <w:szCs w:val="21"/>
        </w:rPr>
      </w:pPr>
      <w:r>
        <w:rPr>
          <w:rFonts w:hint="eastAsia" w:ascii="宋体" w:hAnsi="宋体"/>
          <w:szCs w:val="21"/>
        </w:rPr>
        <w:t>9.4.2特殊检验试验：</w:t>
      </w:r>
    </w:p>
    <w:p w14:paraId="659F1180">
      <w:pPr>
        <w:spacing w:line="360" w:lineRule="auto"/>
        <w:ind w:firstLine="420" w:firstLineChars="200"/>
        <w:jc w:val="left"/>
        <w:rPr>
          <w:rFonts w:ascii="宋体" w:hAnsi="宋体"/>
          <w:szCs w:val="21"/>
        </w:rPr>
      </w:pPr>
      <w:r>
        <w:rPr>
          <w:rFonts w:hint="eastAsia" w:ascii="宋体" w:hAnsi="宋体"/>
          <w:szCs w:val="21"/>
        </w:rPr>
        <w:t>（1）除“施工措施的检测、试验”外，包括但不限于路基弯沉值试验、路面承载力试验、桥梁荷载试验、锚固试验、桩基检测、锚杆抗拔检验、锚索预应力检测、外墙面砖抗粘接试验、室内有害物质检测、门窗 （幕墙）三性检测、石材放射性检测、石膏板阻燃检测、挡土墙抗渗试验、保温层隔热检测等（根据项目实际情况增减）设计施工规范及其他法律法规规范规定的特殊检验试验项目，根据渝建〔2015〕420号文的规定，均由发包人委托相应的第三方检测试验机构进行检测，所发生的特殊检验试验费由发包人承担，不包含在合同价格中。</w:t>
      </w:r>
    </w:p>
    <w:p w14:paraId="51437CF5">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发包人委托的第三方检测试验机构检测试验的试件所需的材料、取样、送检及相关配合工作由承包人负责完成并承担由此产生的所有相关费用。</w:t>
      </w:r>
    </w:p>
    <w:p w14:paraId="748EE01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（2）施工措施的检测、试验：因施工措施需要而做的相关检测、试验由承包人负责实施，其费用由承包人承担。</w:t>
      </w:r>
    </w:p>
    <w:p w14:paraId="7ED33AB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9.4.3专项检测：</w:t>
      </w:r>
      <w:r>
        <w:rPr>
          <w:rFonts w:hint="eastAsia" w:ascii="宋体" w:hAnsi="宋体"/>
          <w:szCs w:val="21"/>
          <w:u w:val="single"/>
        </w:rPr>
        <w:t xml:space="preserve">       </w:t>
      </w:r>
      <w:r>
        <w:rPr>
          <w:rFonts w:hint="eastAsia" w:ascii="宋体" w:hAnsi="宋体"/>
          <w:szCs w:val="21"/>
        </w:rPr>
        <w:t>。</w:t>
      </w:r>
    </w:p>
    <w:p w14:paraId="4249F2B7">
      <w:pPr>
        <w:tabs>
          <w:tab w:val="left" w:pos="711"/>
          <w:tab w:val="left" w:pos="2580"/>
        </w:tabs>
        <w:spacing w:line="360" w:lineRule="auto"/>
        <w:ind w:firstLine="420" w:firstLineChars="200"/>
        <w:jc w:val="left"/>
        <w:textAlignment w:val="baseline"/>
        <w:rPr>
          <w:rFonts w:ascii="宋体" w:hAnsi="宋体"/>
          <w:szCs w:val="21"/>
        </w:rPr>
      </w:pPr>
      <w:r>
        <w:rPr>
          <w:rFonts w:hint="eastAsia" w:ascii="宋体" w:hAnsi="宋体"/>
          <w:szCs w:val="21"/>
        </w:rPr>
        <w:t>9.4.4若因承包人取样、制样、送检及相关配合不及时而导致工程的工期和费用增加，影响的工期不予延长，增加费用由承包人承担。</w:t>
      </w:r>
    </w:p>
    <w:p w14:paraId="7C8DC609">
      <w:pPr>
        <w:tabs>
          <w:tab w:val="left" w:pos="711"/>
          <w:tab w:val="left" w:pos="2580"/>
        </w:tabs>
        <w:spacing w:line="360" w:lineRule="auto"/>
        <w:ind w:firstLine="420" w:firstLineChars="200"/>
        <w:jc w:val="left"/>
        <w:textAlignment w:val="baseline"/>
        <w:rPr>
          <w:rFonts w:ascii="宋体" w:hAnsi="宋体"/>
          <w:szCs w:val="21"/>
          <w:u w:val="single"/>
        </w:rPr>
      </w:pPr>
      <w:r>
        <w:rPr>
          <w:rFonts w:hint="eastAsia" w:ascii="宋体" w:hAnsi="宋体"/>
          <w:szCs w:val="21"/>
        </w:rPr>
        <w:t>9.4.5检测试验不合格的项目，其缺陷处理和复测费用由承包人承担，工期不予延长。</w:t>
      </w:r>
    </w:p>
    <w:bookmarkEnd w:id="1194"/>
    <w:bookmarkEnd w:id="1195"/>
    <w:bookmarkEnd w:id="1196"/>
    <w:bookmarkEnd w:id="1197"/>
    <w:bookmarkEnd w:id="1198"/>
    <w:bookmarkEnd w:id="1199"/>
    <w:bookmarkEnd w:id="1200"/>
    <w:bookmarkEnd w:id="1201"/>
    <w:bookmarkEnd w:id="1202"/>
    <w:bookmarkEnd w:id="1203"/>
    <w:bookmarkEnd w:id="1204"/>
    <w:bookmarkEnd w:id="1205"/>
    <w:bookmarkEnd w:id="1206"/>
    <w:p w14:paraId="66B250F5">
      <w:pPr>
        <w:pStyle w:val="6"/>
        <w:keepNext/>
        <w:keepLines/>
        <w:spacing w:before="156" w:beforeLines="50" w:beforeAutospacing="0" w:after="156" w:afterLines="50" w:afterAutospacing="0" w:line="360" w:lineRule="auto"/>
        <w:jc w:val="both"/>
        <w:rPr>
          <w:bCs w:val="0"/>
          <w:kern w:val="2"/>
          <w:sz w:val="21"/>
          <w:szCs w:val="21"/>
        </w:rPr>
      </w:pPr>
      <w:bookmarkStart w:id="1358" w:name="_Toc532375634"/>
      <w:bookmarkStart w:id="1359" w:name="_Toc532377370"/>
      <w:bookmarkStart w:id="1360" w:name="_Toc267251488"/>
      <w:bookmarkStart w:id="1361" w:name="_Toc267251484"/>
      <w:bookmarkStart w:id="1362" w:name="_Toc267251489"/>
      <w:bookmarkStart w:id="1363" w:name="_Toc267251485"/>
      <w:bookmarkStart w:id="1364" w:name="_Toc267251482"/>
      <w:bookmarkStart w:id="1365" w:name="_Toc267251486"/>
      <w:bookmarkStart w:id="1366" w:name="_Hlk524298112"/>
      <w:bookmarkStart w:id="1367" w:name="_Toc267251490"/>
      <w:bookmarkStart w:id="1368" w:name="_Toc267251506"/>
      <w:bookmarkStart w:id="1369" w:name="_Toc267251511"/>
      <w:bookmarkStart w:id="1370" w:name="_Toc267251513"/>
      <w:bookmarkStart w:id="1371" w:name="_Toc267251503"/>
      <w:bookmarkStart w:id="1372" w:name="_Toc267251508"/>
      <w:bookmarkStart w:id="1373" w:name="_Toc267251499"/>
      <w:bookmarkStart w:id="1374" w:name="_Toc267251496"/>
      <w:bookmarkStart w:id="1375" w:name="_Toc267251515"/>
      <w:bookmarkStart w:id="1376" w:name="_Toc267251501"/>
      <w:bookmarkStart w:id="1377" w:name="_Toc267251504"/>
      <w:bookmarkStart w:id="1378" w:name="_Toc267251493"/>
      <w:bookmarkStart w:id="1379" w:name="_Toc267251510"/>
      <w:bookmarkStart w:id="1380" w:name="_Toc267251497"/>
      <w:bookmarkStart w:id="1381" w:name="_Toc267251509"/>
      <w:bookmarkStart w:id="1382" w:name="_Toc267251494"/>
      <w:bookmarkStart w:id="1383" w:name="_Toc267251492"/>
      <w:bookmarkStart w:id="1384" w:name="_Toc267251495"/>
      <w:bookmarkStart w:id="1385" w:name="_Toc267251491"/>
      <w:bookmarkStart w:id="1386" w:name="_Toc267251514"/>
      <w:bookmarkStart w:id="1387" w:name="_Toc267251498"/>
      <w:bookmarkStart w:id="1388" w:name="_Toc267251507"/>
      <w:bookmarkStart w:id="1389" w:name="_Toc267251502"/>
      <w:r>
        <w:rPr>
          <w:rFonts w:hint="eastAsia"/>
          <w:kern w:val="2"/>
          <w:sz w:val="21"/>
          <w:szCs w:val="21"/>
        </w:rPr>
        <w:t>1</w:t>
      </w:r>
      <w:bookmarkStart w:id="1390" w:name="_Toc297120493"/>
      <w:bookmarkStart w:id="1391" w:name="_Toc296944532"/>
      <w:bookmarkStart w:id="1392" w:name="_Toc303539146"/>
      <w:bookmarkStart w:id="1393" w:name="_Toc300934989"/>
      <w:bookmarkStart w:id="1394" w:name="_Toc297216199"/>
      <w:bookmarkStart w:id="1395" w:name="_Toc296346694"/>
      <w:bookmarkStart w:id="1396" w:name="_Toc296503193"/>
      <w:bookmarkStart w:id="1397" w:name="_Toc297048379"/>
      <w:bookmarkStart w:id="1398" w:name="_Toc296347192"/>
      <w:bookmarkStart w:id="1399" w:name="_Toc296891233"/>
      <w:bookmarkStart w:id="1400" w:name="_Toc297123540"/>
      <w:bookmarkStart w:id="1401" w:name="_Toc296891021"/>
      <w:bookmarkStart w:id="1402" w:name="_Toc292559903"/>
      <w:bookmarkStart w:id="1403" w:name="_Toc304295566"/>
      <w:bookmarkStart w:id="1404" w:name="_Toc292559398"/>
      <w:bookmarkStart w:id="1405" w:name="_Toc312677499"/>
      <w:bookmarkStart w:id="1406" w:name="_Toc312678025"/>
      <w:bookmarkStart w:id="1407" w:name="_Toc267251439"/>
      <w:bookmarkStart w:id="1408" w:name="_Toc267251437"/>
      <w:bookmarkStart w:id="1409" w:name="_Toc267251433"/>
      <w:bookmarkStart w:id="1410" w:name="_Toc267251435"/>
      <w:bookmarkStart w:id="1411" w:name="_Toc267251440"/>
      <w:bookmarkStart w:id="1412" w:name="_Toc267251441"/>
      <w:r>
        <w:rPr>
          <w:rFonts w:hint="eastAsia"/>
          <w:kern w:val="2"/>
          <w:sz w:val="21"/>
          <w:szCs w:val="21"/>
        </w:rPr>
        <w:t>0. 变更</w:t>
      </w:r>
      <w:bookmarkEnd w:id="1358"/>
      <w:bookmarkEnd w:id="135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p>
    <w:bookmarkEnd w:id="1405"/>
    <w:bookmarkEnd w:id="1406"/>
    <w:p w14:paraId="4CFDB0D9">
      <w:pPr>
        <w:pStyle w:val="7"/>
        <w:spacing w:before="0" w:beforeAutospacing="0" w:after="0" w:afterAutospacing="0" w:line="360" w:lineRule="auto"/>
        <w:ind w:firstLine="422" w:firstLineChars="200"/>
        <w:rPr>
          <w:sz w:val="21"/>
          <w:szCs w:val="21"/>
        </w:rPr>
      </w:pPr>
      <w:bookmarkStart w:id="1413" w:name="_Toc532375635"/>
      <w:bookmarkStart w:id="1414" w:name="_Toc532377371"/>
      <w:r>
        <w:rPr>
          <w:rFonts w:hint="eastAsia"/>
          <w:sz w:val="21"/>
          <w:szCs w:val="21"/>
        </w:rPr>
        <w:t>1</w:t>
      </w:r>
      <w:bookmarkStart w:id="1415" w:name="_Toc312678026"/>
      <w:bookmarkStart w:id="1416" w:name="_Toc300934990"/>
      <w:bookmarkStart w:id="1417" w:name="_Toc297216200"/>
      <w:bookmarkStart w:id="1418" w:name="_Toc296944533"/>
      <w:bookmarkStart w:id="1419" w:name="_Toc296346695"/>
      <w:bookmarkStart w:id="1420" w:name="_Toc304295567"/>
      <w:bookmarkStart w:id="1421" w:name="_Toc296503194"/>
      <w:bookmarkStart w:id="1422" w:name="_Toc296891022"/>
      <w:bookmarkStart w:id="1423" w:name="_Toc296891234"/>
      <w:bookmarkStart w:id="1424" w:name="_Toc292559904"/>
      <w:bookmarkStart w:id="1425" w:name="_Toc292559399"/>
      <w:bookmarkStart w:id="1426" w:name="_Toc303539147"/>
      <w:bookmarkStart w:id="1427" w:name="_Toc296347193"/>
      <w:bookmarkStart w:id="1428" w:name="_Toc297123541"/>
      <w:bookmarkStart w:id="1429" w:name="_Toc297048380"/>
      <w:bookmarkStart w:id="1430" w:name="_Toc312677500"/>
      <w:bookmarkStart w:id="1431" w:name="_Toc297120494"/>
      <w:r>
        <w:rPr>
          <w:rFonts w:hint="eastAsia"/>
          <w:sz w:val="21"/>
          <w:szCs w:val="21"/>
        </w:rPr>
        <w:t>0.1变更的范围</w:t>
      </w:r>
      <w:bookmarkEnd w:id="1413"/>
      <w:bookmarkEnd w:id="1414"/>
    </w:p>
    <w:p w14:paraId="3D729292">
      <w:pPr>
        <w:spacing w:line="360" w:lineRule="auto"/>
        <w:ind w:firstLine="420" w:firstLineChars="200"/>
        <w:jc w:val="left"/>
        <w:rPr>
          <w:rFonts w:ascii="宋体" w:hAnsi="宋体"/>
          <w:szCs w:val="21"/>
        </w:rPr>
      </w:pPr>
      <w:r>
        <w:rPr>
          <w:rFonts w:hint="eastAsia" w:ascii="宋体" w:hAnsi="宋体"/>
          <w:szCs w:val="21"/>
        </w:rPr>
        <w:t>关于变更范围的约定：</w:t>
      </w:r>
    </w:p>
    <w:p w14:paraId="0791A055">
      <w:pPr>
        <w:spacing w:line="360" w:lineRule="auto"/>
        <w:ind w:firstLine="420" w:firstLineChars="200"/>
        <w:jc w:val="left"/>
        <w:rPr>
          <w:rFonts w:ascii="宋体" w:hAnsi="宋体"/>
          <w:szCs w:val="21"/>
        </w:rPr>
      </w:pPr>
      <w:r>
        <w:rPr>
          <w:rFonts w:hint="eastAsia" w:ascii="宋体" w:hAnsi="宋体"/>
          <w:szCs w:val="21"/>
        </w:rPr>
        <w:t>（1）增加或减少合同中任何工作，或追加额外的工作；</w:t>
      </w:r>
    </w:p>
    <w:p w14:paraId="41E0D867">
      <w:pPr>
        <w:spacing w:line="360" w:lineRule="auto"/>
        <w:ind w:firstLine="420" w:firstLineChars="200"/>
        <w:jc w:val="left"/>
        <w:rPr>
          <w:rFonts w:ascii="宋体" w:hAnsi="宋体"/>
          <w:szCs w:val="21"/>
        </w:rPr>
      </w:pPr>
      <w:r>
        <w:rPr>
          <w:rFonts w:hint="eastAsia" w:ascii="宋体" w:hAnsi="宋体"/>
          <w:szCs w:val="21"/>
        </w:rPr>
        <w:t>（2）取消合同中任何工作；</w:t>
      </w:r>
    </w:p>
    <w:p w14:paraId="09AEA9F2">
      <w:pPr>
        <w:spacing w:line="360" w:lineRule="auto"/>
        <w:ind w:firstLine="420" w:firstLineChars="200"/>
        <w:jc w:val="left"/>
        <w:rPr>
          <w:rFonts w:ascii="宋体" w:hAnsi="宋体"/>
          <w:szCs w:val="21"/>
        </w:rPr>
      </w:pPr>
      <w:r>
        <w:rPr>
          <w:rFonts w:hint="eastAsia" w:ascii="宋体" w:hAnsi="宋体"/>
          <w:szCs w:val="21"/>
        </w:rPr>
        <w:t>（3）改变合同中任何工作的质量标准或其他特性；</w:t>
      </w:r>
    </w:p>
    <w:p w14:paraId="6B03B080">
      <w:pPr>
        <w:spacing w:line="360" w:lineRule="auto"/>
        <w:ind w:firstLine="420" w:firstLineChars="200"/>
        <w:jc w:val="left"/>
        <w:rPr>
          <w:rFonts w:ascii="宋体" w:hAnsi="宋体"/>
          <w:szCs w:val="21"/>
        </w:rPr>
      </w:pPr>
      <w:r>
        <w:rPr>
          <w:rFonts w:hint="eastAsia" w:ascii="宋体" w:hAnsi="宋体"/>
          <w:szCs w:val="21"/>
        </w:rPr>
        <w:t>（4）改变工程的基线、标高、位置和尺寸；</w:t>
      </w:r>
    </w:p>
    <w:p w14:paraId="21B2036B">
      <w:pPr>
        <w:spacing w:line="360" w:lineRule="auto"/>
        <w:ind w:firstLine="420" w:firstLineChars="200"/>
        <w:jc w:val="left"/>
        <w:rPr>
          <w:rFonts w:ascii="宋体" w:hAnsi="宋体"/>
          <w:szCs w:val="21"/>
        </w:rPr>
      </w:pPr>
      <w:r>
        <w:rPr>
          <w:rFonts w:hint="eastAsia" w:ascii="宋体" w:hAnsi="宋体"/>
          <w:szCs w:val="21"/>
        </w:rPr>
        <w:t>（5）适用于工程的标准和（或）规范变化导致需要对工程进行改变，且该改变导致工期和（或）费用变化的；</w:t>
      </w:r>
    </w:p>
    <w:p w14:paraId="2E225852">
      <w:pPr>
        <w:spacing w:line="360" w:lineRule="auto"/>
        <w:ind w:firstLine="420" w:firstLineChars="200"/>
        <w:jc w:val="left"/>
        <w:rPr>
          <w:rFonts w:ascii="宋体" w:hAnsi="宋体"/>
          <w:szCs w:val="21"/>
        </w:rPr>
      </w:pPr>
      <w:r>
        <w:rPr>
          <w:rFonts w:hint="eastAsia" w:ascii="宋体" w:hAnsi="宋体"/>
          <w:szCs w:val="21"/>
        </w:rPr>
        <w:t>（6）勘察设计变更；</w:t>
      </w:r>
    </w:p>
    <w:p w14:paraId="22837DA8">
      <w:pPr>
        <w:spacing w:line="360" w:lineRule="auto"/>
        <w:ind w:firstLine="420" w:firstLineChars="200"/>
        <w:jc w:val="left"/>
        <w:rPr>
          <w:rFonts w:ascii="宋体" w:hAnsi="宋体"/>
          <w:szCs w:val="21"/>
        </w:rPr>
      </w:pPr>
      <w:r>
        <w:rPr>
          <w:rFonts w:hint="eastAsia" w:ascii="宋体" w:hAnsi="宋体"/>
          <w:szCs w:val="21"/>
        </w:rPr>
        <w:t>（7）实施内容变更，包括因设计变更和非设计变更引起的实施地点、投资规模、结构型式、采购数量、服务内容等进行的调整，以及因此导致的合同价格、工期变更；</w:t>
      </w:r>
    </w:p>
    <w:p w14:paraId="644E6F55">
      <w:pPr>
        <w:spacing w:line="360" w:lineRule="auto"/>
        <w:ind w:firstLine="420" w:firstLineChars="200"/>
        <w:jc w:val="left"/>
        <w:rPr>
          <w:rFonts w:ascii="宋体" w:hAnsi="宋体"/>
          <w:szCs w:val="21"/>
        </w:rPr>
      </w:pPr>
      <w:r>
        <w:rPr>
          <w:rFonts w:hint="eastAsia" w:ascii="宋体" w:hAnsi="宋体"/>
          <w:szCs w:val="21"/>
        </w:rPr>
        <w:t>（8）项目管理人员变更；</w:t>
      </w:r>
    </w:p>
    <w:p w14:paraId="1A9FA364">
      <w:pPr>
        <w:spacing w:line="360" w:lineRule="auto"/>
        <w:ind w:firstLine="420" w:firstLineChars="200"/>
        <w:jc w:val="left"/>
        <w:rPr>
          <w:rFonts w:ascii="宋体" w:hAnsi="宋体"/>
          <w:szCs w:val="21"/>
        </w:rPr>
      </w:pPr>
      <w:r>
        <w:rPr>
          <w:rFonts w:hint="eastAsia" w:ascii="宋体" w:hAnsi="宋体"/>
          <w:szCs w:val="21"/>
        </w:rPr>
        <w:t>（9）因人工、原材料等价格变化导致的合同总价变更；</w:t>
      </w:r>
    </w:p>
    <w:p w14:paraId="73CA9608">
      <w:pPr>
        <w:spacing w:line="360" w:lineRule="auto"/>
        <w:ind w:firstLine="420" w:firstLineChars="200"/>
        <w:jc w:val="left"/>
        <w:rPr>
          <w:rFonts w:ascii="宋体" w:hAnsi="宋体"/>
          <w:szCs w:val="21"/>
        </w:rPr>
      </w:pPr>
      <w:r>
        <w:rPr>
          <w:rFonts w:hint="eastAsia" w:ascii="宋体" w:hAnsi="宋体"/>
          <w:szCs w:val="21"/>
        </w:rPr>
        <w:t>（10）非实施内容变化导致的工期变更；</w:t>
      </w:r>
    </w:p>
    <w:p w14:paraId="5D48BFB9">
      <w:pPr>
        <w:spacing w:line="360" w:lineRule="auto"/>
        <w:ind w:firstLine="420" w:firstLineChars="200"/>
        <w:jc w:val="left"/>
        <w:rPr>
          <w:rFonts w:ascii="宋体" w:hAnsi="宋体"/>
          <w:szCs w:val="21"/>
        </w:rPr>
      </w:pPr>
      <w:r>
        <w:rPr>
          <w:rFonts w:hint="eastAsia" w:ascii="宋体" w:hAnsi="宋体"/>
          <w:szCs w:val="21"/>
        </w:rPr>
        <w:t>（11）</w:t>
      </w:r>
      <w:r>
        <w:rPr>
          <w:rFonts w:hint="eastAsia" w:ascii="宋体" w:hAnsi="宋体"/>
          <w:szCs w:val="21"/>
          <w:u w:val="single"/>
        </w:rPr>
        <w:t xml:space="preserve">        </w:t>
      </w:r>
      <w:r>
        <w:rPr>
          <w:rFonts w:hint="eastAsia" w:ascii="宋体" w:hAnsi="宋体"/>
          <w:szCs w:val="21"/>
        </w:rPr>
        <w:t>。</w:t>
      </w:r>
    </w:p>
    <w:p w14:paraId="78273960">
      <w:pPr>
        <w:spacing w:line="360" w:lineRule="auto"/>
        <w:ind w:firstLine="420" w:firstLineChars="200"/>
        <w:jc w:val="left"/>
        <w:rPr>
          <w:rFonts w:ascii="宋体" w:hAnsi="宋体"/>
          <w:szCs w:val="21"/>
        </w:rPr>
      </w:pPr>
      <w:r>
        <w:rPr>
          <w:rFonts w:hint="eastAsia" w:ascii="宋体" w:hAnsi="宋体"/>
          <w:szCs w:val="21"/>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14:paraId="33E50D5E">
      <w:pPr>
        <w:spacing w:line="360" w:lineRule="auto"/>
        <w:ind w:firstLine="420" w:firstLineChars="200"/>
        <w:jc w:val="left"/>
        <w:rPr>
          <w:rFonts w:ascii="宋体" w:hAnsi="宋体"/>
          <w:szCs w:val="21"/>
          <w:u w:val="single"/>
        </w:rPr>
      </w:pPr>
      <w:r>
        <w:rPr>
          <w:rFonts w:hint="eastAsia" w:ascii="宋体" w:hAnsi="宋体"/>
          <w:szCs w:val="21"/>
        </w:rPr>
        <w:t>承包人对其提供的材料、工程设备、施工、无负荷试车、热负荷试车及图纸参数存在的缺陷，自费修正、调整和完善，不属于变更。</w:t>
      </w:r>
    </w:p>
    <w:p w14:paraId="10E5FD0F">
      <w:pPr>
        <w:pStyle w:val="7"/>
        <w:spacing w:before="0" w:beforeAutospacing="0" w:after="0" w:afterAutospacing="0" w:line="360" w:lineRule="auto"/>
        <w:ind w:firstLine="422" w:firstLineChars="200"/>
        <w:rPr>
          <w:sz w:val="21"/>
          <w:szCs w:val="21"/>
        </w:rPr>
      </w:pPr>
      <w:bookmarkStart w:id="1432" w:name="_Toc351203569"/>
      <w:bookmarkStart w:id="1433" w:name="_Toc532377372"/>
      <w:bookmarkStart w:id="1434" w:name="_Toc532375636"/>
      <w:r>
        <w:rPr>
          <w:rFonts w:hint="eastAsia"/>
          <w:sz w:val="21"/>
          <w:szCs w:val="21"/>
        </w:rPr>
        <w:t>1</w:t>
      </w:r>
      <w:bookmarkStart w:id="1435" w:name="_Toc337558789"/>
      <w:bookmarkStart w:id="1436" w:name="_Toc296346586"/>
      <w:bookmarkStart w:id="1437" w:name="_Toc296503085"/>
      <w:r>
        <w:rPr>
          <w:rFonts w:hint="eastAsia"/>
          <w:sz w:val="21"/>
          <w:szCs w:val="21"/>
        </w:rPr>
        <w:t>0.2变更权</w:t>
      </w:r>
      <w:bookmarkEnd w:id="1432"/>
      <w:bookmarkEnd w:id="1433"/>
      <w:bookmarkEnd w:id="1434"/>
    </w:p>
    <w:bookmarkEnd w:id="1435"/>
    <w:bookmarkEnd w:id="1436"/>
    <w:bookmarkEnd w:id="1437"/>
    <w:p w14:paraId="7C8630DD">
      <w:pPr>
        <w:spacing w:line="360" w:lineRule="auto"/>
        <w:ind w:firstLine="420" w:firstLineChars="200"/>
        <w:jc w:val="left"/>
        <w:rPr>
          <w:rFonts w:ascii="宋体" w:hAnsi="宋体"/>
          <w:szCs w:val="21"/>
        </w:rPr>
      </w:pPr>
      <w:r>
        <w:rPr>
          <w:rFonts w:hint="eastAsia" w:ascii="宋体" w:hAnsi="宋体"/>
          <w:szCs w:val="21"/>
        </w:rPr>
        <w:t>10.2.1发包人和监理人提出变更</w:t>
      </w:r>
    </w:p>
    <w:p w14:paraId="0C232A29">
      <w:pPr>
        <w:spacing w:line="360" w:lineRule="auto"/>
        <w:ind w:firstLine="420" w:firstLineChars="200"/>
        <w:jc w:val="left"/>
        <w:rPr>
          <w:rFonts w:ascii="宋体" w:hAnsi="宋体"/>
          <w:szCs w:val="21"/>
        </w:rPr>
      </w:pPr>
      <w:r>
        <w:rPr>
          <w:rFonts w:hint="eastAsia" w:ascii="宋体" w:hAnsi="宋体"/>
          <w:szCs w:val="21"/>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14:paraId="1A918404">
      <w:pPr>
        <w:spacing w:line="360" w:lineRule="auto"/>
        <w:ind w:firstLine="420" w:firstLineChars="200"/>
        <w:jc w:val="left"/>
        <w:rPr>
          <w:rFonts w:ascii="宋体" w:hAnsi="宋体"/>
          <w:szCs w:val="21"/>
          <w:u w:val="single"/>
        </w:rPr>
      </w:pPr>
      <w:r>
        <w:rPr>
          <w:rFonts w:hint="eastAsia" w:ascii="宋体" w:hAnsi="宋体"/>
          <w:szCs w:val="21"/>
        </w:rPr>
        <w:t>涉及设计变更的，应由设计人提供变更后的图纸和说明，交由发包人同意后由监理人以书面形式发出。如变更超过原设计标准或批准的建设规模时，由发包人及时办理规划、设计变更等审批手续。</w:t>
      </w:r>
    </w:p>
    <w:p w14:paraId="182CB8A3">
      <w:pPr>
        <w:spacing w:line="360" w:lineRule="auto"/>
        <w:ind w:firstLine="420" w:firstLineChars="200"/>
        <w:jc w:val="left"/>
        <w:rPr>
          <w:rFonts w:ascii="宋体" w:hAnsi="宋体"/>
          <w:szCs w:val="21"/>
        </w:rPr>
      </w:pPr>
      <w:r>
        <w:rPr>
          <w:rFonts w:hint="eastAsia" w:ascii="宋体" w:hAnsi="宋体"/>
          <w:szCs w:val="21"/>
        </w:rPr>
        <w:t>若出现重大设计变更，变更后的内容超出承包人资质或能力范围的，发包人将另行依法采购选择承包单位，无需征得承包人同意。</w:t>
      </w:r>
    </w:p>
    <w:p w14:paraId="35D21089">
      <w:pPr>
        <w:spacing w:line="360" w:lineRule="auto"/>
        <w:ind w:firstLine="420" w:firstLineChars="200"/>
        <w:jc w:val="left"/>
        <w:rPr>
          <w:rFonts w:ascii="宋体" w:hAnsi="宋体"/>
          <w:szCs w:val="21"/>
        </w:rPr>
      </w:pPr>
      <w:r>
        <w:rPr>
          <w:rFonts w:hint="eastAsia" w:ascii="宋体" w:hAnsi="宋体"/>
          <w:szCs w:val="21"/>
        </w:rPr>
        <w:t>10.2.2 承包人提出变更建议</w:t>
      </w:r>
    </w:p>
    <w:p w14:paraId="296C241D">
      <w:pPr>
        <w:spacing w:line="360" w:lineRule="auto"/>
        <w:ind w:firstLine="420" w:firstLineChars="200"/>
        <w:jc w:val="left"/>
        <w:rPr>
          <w:rFonts w:ascii="宋体" w:hAnsi="宋体"/>
          <w:szCs w:val="21"/>
        </w:rPr>
      </w:pPr>
      <w:r>
        <w:rPr>
          <w:rFonts w:hint="eastAsia" w:ascii="宋体" w:hAnsi="宋体"/>
          <w:szCs w:val="21"/>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w:t>
      </w:r>
      <w:r>
        <w:rPr>
          <w:rFonts w:hint="eastAsia" w:ascii="宋体" w:hAnsi="宋体"/>
          <w:szCs w:val="21"/>
          <w:u w:val="single"/>
        </w:rPr>
        <w:t>缩短工期，降低发包人的工程、施工、维护、营运的费用，提高竣工工程的效率或价值，给发包人带来的长远利益和其他利益。发包人接到此类建议后，可以选择：不采纳/采纳/补充进一步资料的书面通知</w:t>
      </w:r>
      <w:r>
        <w:rPr>
          <w:rFonts w:hint="eastAsia" w:ascii="宋体" w:hAnsi="宋体"/>
          <w:szCs w:val="21"/>
        </w:rPr>
        <w:t>。</w:t>
      </w:r>
    </w:p>
    <w:p w14:paraId="1F24C636">
      <w:pPr>
        <w:autoSpaceDE w:val="0"/>
        <w:autoSpaceDN w:val="0"/>
        <w:spacing w:line="360" w:lineRule="auto"/>
        <w:ind w:firstLine="420" w:firstLineChars="200"/>
        <w:jc w:val="left"/>
        <w:rPr>
          <w:rFonts w:ascii="宋体" w:hAnsi="宋体"/>
          <w:szCs w:val="21"/>
          <w:u w:val="single"/>
        </w:rPr>
      </w:pPr>
      <w:r>
        <w:rPr>
          <w:rFonts w:hint="eastAsia" w:ascii="宋体" w:hAnsi="宋体"/>
          <w:szCs w:val="21"/>
        </w:rPr>
        <w:t>如果发包人对承包人已实施的施工项目在发出重大设计变更之前要求承包人提出一份建议，那么，承包人应尽快提出：</w:t>
      </w:r>
    </w:p>
    <w:p w14:paraId="7D7724C0">
      <w:pPr>
        <w:autoSpaceDE w:val="0"/>
        <w:autoSpaceDN w:val="0"/>
        <w:spacing w:line="360" w:lineRule="auto"/>
        <w:ind w:firstLine="420" w:firstLineChars="200"/>
        <w:jc w:val="left"/>
        <w:rPr>
          <w:rFonts w:ascii="宋体" w:hAnsi="宋体"/>
          <w:szCs w:val="21"/>
        </w:rPr>
      </w:pPr>
      <w:r>
        <w:rPr>
          <w:rFonts w:hint="eastAsia" w:ascii="宋体" w:hAnsi="宋体"/>
          <w:szCs w:val="21"/>
          <w:u w:val="single"/>
        </w:rPr>
        <w:t>（1）对所提方案和（或）待做工作及其实施计划的说明</w:t>
      </w:r>
      <w:r>
        <w:rPr>
          <w:rFonts w:hint="eastAsia" w:ascii="宋体" w:hAnsi="宋体"/>
          <w:szCs w:val="21"/>
        </w:rPr>
        <w:t>；</w:t>
      </w:r>
    </w:p>
    <w:p w14:paraId="640284C3">
      <w:pPr>
        <w:autoSpaceDE w:val="0"/>
        <w:autoSpaceDN w:val="0"/>
        <w:spacing w:line="360" w:lineRule="auto"/>
        <w:ind w:firstLine="420" w:firstLineChars="200"/>
        <w:jc w:val="left"/>
        <w:rPr>
          <w:rFonts w:ascii="宋体" w:hAnsi="宋体"/>
          <w:szCs w:val="21"/>
        </w:rPr>
      </w:pPr>
      <w:r>
        <w:rPr>
          <w:rFonts w:hint="eastAsia" w:ascii="宋体" w:hAnsi="宋体"/>
          <w:szCs w:val="21"/>
          <w:u w:val="single"/>
        </w:rPr>
        <w:t>（2）承包人按照对工程进度计划进行必要修改的建议</w:t>
      </w:r>
      <w:r>
        <w:rPr>
          <w:rFonts w:hint="eastAsia" w:ascii="宋体" w:hAnsi="宋体"/>
          <w:szCs w:val="21"/>
        </w:rPr>
        <w:t>；</w:t>
      </w:r>
    </w:p>
    <w:p w14:paraId="52B55300">
      <w:pPr>
        <w:autoSpaceDE w:val="0"/>
        <w:autoSpaceDN w:val="0"/>
        <w:spacing w:line="360" w:lineRule="auto"/>
        <w:ind w:firstLine="420" w:firstLineChars="200"/>
        <w:jc w:val="left"/>
        <w:rPr>
          <w:rFonts w:ascii="宋体" w:hAnsi="宋体"/>
          <w:szCs w:val="21"/>
        </w:rPr>
      </w:pPr>
      <w:r>
        <w:rPr>
          <w:rFonts w:hint="eastAsia" w:ascii="宋体" w:hAnsi="宋体"/>
          <w:szCs w:val="21"/>
          <w:u w:val="single"/>
        </w:rPr>
        <w:t>（3）承包人发生较大返工损失增加费用的建议</w:t>
      </w:r>
      <w:r>
        <w:rPr>
          <w:rFonts w:hint="eastAsia" w:ascii="宋体" w:hAnsi="宋体"/>
          <w:szCs w:val="21"/>
        </w:rPr>
        <w:t>。</w:t>
      </w:r>
    </w:p>
    <w:p w14:paraId="5A51049A">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发包人在收到上述建议书后，应尽快给予批准、否决或提出意见</w:t>
      </w:r>
      <w:r>
        <w:rPr>
          <w:rFonts w:hint="eastAsia" w:ascii="宋体" w:hAnsi="宋体"/>
          <w:szCs w:val="21"/>
        </w:rPr>
        <w:t>。</w:t>
      </w:r>
    </w:p>
    <w:p w14:paraId="2B56EEDC">
      <w:pPr>
        <w:pStyle w:val="7"/>
        <w:spacing w:before="0" w:beforeAutospacing="0" w:after="0" w:afterAutospacing="0" w:line="360" w:lineRule="auto"/>
        <w:ind w:firstLine="422" w:firstLineChars="200"/>
        <w:rPr>
          <w:sz w:val="21"/>
          <w:szCs w:val="21"/>
        </w:rPr>
      </w:pPr>
      <w:bookmarkStart w:id="1438" w:name="_Toc532375637"/>
      <w:bookmarkStart w:id="1439" w:name="_Toc532377373"/>
      <w:bookmarkStart w:id="1440" w:name="_Toc351203570"/>
      <w:bookmarkStart w:id="1441" w:name="_Hlk528928195"/>
      <w:r>
        <w:rPr>
          <w:rFonts w:hint="eastAsia"/>
          <w:sz w:val="21"/>
          <w:szCs w:val="21"/>
        </w:rPr>
        <w:t>1</w:t>
      </w:r>
      <w:bookmarkStart w:id="1442" w:name="_Toc296503086"/>
      <w:bookmarkStart w:id="1443" w:name="_Toc296346587"/>
      <w:bookmarkStart w:id="1444" w:name="_Toc337558790"/>
      <w:r>
        <w:rPr>
          <w:rFonts w:hint="eastAsia"/>
          <w:sz w:val="21"/>
          <w:szCs w:val="21"/>
        </w:rPr>
        <w:t>0.3变更程序</w:t>
      </w:r>
      <w:bookmarkEnd w:id="1438"/>
      <w:bookmarkEnd w:id="1439"/>
    </w:p>
    <w:bookmarkEnd w:id="1442"/>
    <w:bookmarkEnd w:id="1443"/>
    <w:bookmarkEnd w:id="1444"/>
    <w:p w14:paraId="0CFB6476">
      <w:pPr>
        <w:autoSpaceDE w:val="0"/>
        <w:autoSpaceDN w:val="0"/>
        <w:spacing w:line="360" w:lineRule="auto"/>
        <w:ind w:firstLine="420" w:firstLineChars="200"/>
        <w:jc w:val="left"/>
        <w:rPr>
          <w:rFonts w:ascii="宋体" w:hAnsi="宋体"/>
          <w:szCs w:val="21"/>
        </w:rPr>
      </w:pPr>
      <w:bookmarkStart w:id="1445" w:name="_Hlk524353972"/>
      <w:r>
        <w:rPr>
          <w:rFonts w:hint="eastAsia" w:ascii="宋体" w:hAnsi="宋体"/>
          <w:szCs w:val="21"/>
        </w:rPr>
        <w:t>10.3.3 变更执行</w:t>
      </w:r>
    </w:p>
    <w:p w14:paraId="22E3599E">
      <w:pPr>
        <w:autoSpaceDE w:val="0"/>
        <w:autoSpaceDN w:val="0"/>
        <w:spacing w:line="360" w:lineRule="auto"/>
        <w:ind w:firstLine="420" w:firstLineChars="200"/>
        <w:jc w:val="left"/>
        <w:rPr>
          <w:rFonts w:ascii="宋体" w:hAnsi="宋体"/>
          <w:szCs w:val="21"/>
        </w:rPr>
      </w:pPr>
      <w:r>
        <w:rPr>
          <w:rFonts w:hint="eastAsia" w:ascii="宋体" w:hAnsi="宋体"/>
          <w:szCs w:val="21"/>
        </w:rPr>
        <w:t>一般设计变更：承包人收到监理人下达的变更指示后，应按照监理人下达的变更指示执行，并书面说明实施该变更指示对合同价格和工期的影响，按照第10.4.1项〔变更估价原则〕约定执行。</w:t>
      </w:r>
    </w:p>
    <w:p w14:paraId="20048EBE">
      <w:pPr>
        <w:autoSpaceDE w:val="0"/>
        <w:autoSpaceDN w:val="0"/>
        <w:spacing w:line="360" w:lineRule="auto"/>
        <w:ind w:firstLine="420" w:firstLineChars="200"/>
        <w:jc w:val="left"/>
        <w:rPr>
          <w:rFonts w:ascii="宋体" w:hAnsi="宋体"/>
          <w:szCs w:val="21"/>
        </w:rPr>
      </w:pPr>
      <w:r>
        <w:rPr>
          <w:rFonts w:hint="eastAsia" w:ascii="宋体" w:hAnsi="宋体"/>
          <w:szCs w:val="21"/>
        </w:rPr>
        <w:t>重大设计变更：需经设计人、监理人和发包人三方签字认可并报相关行业部门审查同意后实施。</w:t>
      </w:r>
    </w:p>
    <w:p w14:paraId="27865875">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10.3.3 项增加以下内容：</w:t>
      </w:r>
    </w:p>
    <w:p w14:paraId="3800A5BD">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p>
    <w:p w14:paraId="22F8B860">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项目的勘察设计、实施内容等作较大变更的，应当按照规定的程序报原审批部门审批；变更导致总投资超概的，应当报原投资概算核定部门核定。</w:t>
      </w:r>
    </w:p>
    <w:p w14:paraId="42AB6B03">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项目管理人员变更的，应当经发包人领导班子集体决策同意，并将变更信息推送给行业主管部门。变更后的项目管理人员应当符合采购文件和行业主管部门的相关规定。</w:t>
      </w:r>
    </w:p>
    <w:p w14:paraId="078BFF4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因人工、原材料市场价格发生大幅度变化导致的合同总价变更，由发包人与承包人按照合同进行变更，并将变更信息推送给行业主管部门。</w:t>
      </w:r>
    </w:p>
    <w:p w14:paraId="7D033757">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项目实施内容无变更，因不可抗力导致的工期变更，由发包人领导班子集体决策同意，并将变更信息推送给行业主管部门；因项目实施内容变更导致的工期变更，与项目实施内容变更一并办理。</w:t>
      </w:r>
    </w:p>
    <w:p w14:paraId="0D0E62A9">
      <w:pPr>
        <w:autoSpaceDE w:val="0"/>
        <w:autoSpaceDN w:val="0"/>
        <w:spacing w:line="360" w:lineRule="auto"/>
        <w:ind w:firstLine="420" w:firstLineChars="200"/>
        <w:jc w:val="left"/>
        <w:rPr>
          <w:rFonts w:ascii="宋体" w:hAnsi="宋体"/>
          <w:szCs w:val="21"/>
          <w:u w:val="single"/>
        </w:rPr>
      </w:pPr>
      <w:r>
        <w:rPr>
          <w:rFonts w:hint="eastAsia" w:ascii="宋体" w:hAnsi="宋体"/>
          <w:szCs w:val="21"/>
          <w:u w:val="single"/>
        </w:rPr>
        <w:t>项目合同变更后，增加的实施内容达到依法必须采购的规模标准的，增加的部分应当依法通过采购选择承包单位。</w:t>
      </w:r>
    </w:p>
    <w:bookmarkEnd w:id="1440"/>
    <w:bookmarkEnd w:id="1441"/>
    <w:bookmarkEnd w:id="1445"/>
    <w:p w14:paraId="7F08E816">
      <w:pPr>
        <w:pStyle w:val="7"/>
        <w:spacing w:before="0" w:beforeAutospacing="0" w:after="0" w:afterAutospacing="0" w:line="360" w:lineRule="auto"/>
        <w:ind w:firstLine="422" w:firstLineChars="200"/>
        <w:rPr>
          <w:sz w:val="21"/>
          <w:szCs w:val="21"/>
        </w:rPr>
      </w:pPr>
      <w:bookmarkStart w:id="1446" w:name="_Toc532375638"/>
      <w:bookmarkStart w:id="1447" w:name="_Toc532377374"/>
      <w:r>
        <w:rPr>
          <w:rFonts w:hint="eastAsia"/>
          <w:sz w:val="21"/>
          <w:szCs w:val="21"/>
        </w:rPr>
        <w:t>10.4 变更估价</w:t>
      </w:r>
      <w:bookmarkEnd w:id="1446"/>
      <w:bookmarkEnd w:id="1447"/>
    </w:p>
    <w:p w14:paraId="7DCF5F27">
      <w:pPr>
        <w:spacing w:line="360" w:lineRule="auto"/>
        <w:ind w:firstLine="420" w:firstLineChars="200"/>
        <w:jc w:val="left"/>
        <w:rPr>
          <w:rFonts w:ascii="宋体" w:hAnsi="宋体"/>
          <w:szCs w:val="21"/>
        </w:rPr>
      </w:pPr>
      <w:bookmarkStart w:id="1448" w:name="_Hlk524296629"/>
      <w:r>
        <w:rPr>
          <w:rFonts w:hint="eastAsia" w:ascii="宋体" w:hAnsi="宋体"/>
          <w:szCs w:val="21"/>
        </w:rPr>
        <w:t>10.4.1 变更估价原则</w:t>
      </w:r>
    </w:p>
    <w:p w14:paraId="018F058F">
      <w:pPr>
        <w:pStyle w:val="2"/>
        <w:spacing w:after="0" w:line="360" w:lineRule="auto"/>
        <w:ind w:firstLine="420" w:firstLineChars="200"/>
        <w:jc w:val="left"/>
        <w:rPr>
          <w:rFonts w:ascii="宋体" w:hAnsi="宋体"/>
          <w:szCs w:val="21"/>
          <w:u w:val="single"/>
        </w:rPr>
      </w:pPr>
      <w:r>
        <w:rPr>
          <w:rFonts w:hint="eastAsia" w:ascii="宋体" w:hAnsi="宋体"/>
          <w:szCs w:val="21"/>
        </w:rPr>
        <w:t>当发生工程变更时，工程量按</w:t>
      </w:r>
      <w:r>
        <w:rPr>
          <w:rFonts w:hint="eastAsia" w:ascii="宋体" w:hAnsi="宋体"/>
          <w:szCs w:val="21"/>
          <w:u w:val="single"/>
        </w:rPr>
        <w:t xml:space="preserve">        </w:t>
      </w:r>
      <w:r>
        <w:rPr>
          <w:rFonts w:hint="eastAsia" w:ascii="宋体" w:hAnsi="宋体"/>
          <w:szCs w:val="21"/>
        </w:rPr>
        <w:t>规定的计算规则及已标价工程量清单规定的工程量计算规则计量，按以下办法计价：</w:t>
      </w:r>
      <w:bookmarkStart w:id="1449" w:name="_Hlk524770102"/>
    </w:p>
    <w:bookmarkEnd w:id="1449"/>
    <w:p w14:paraId="3576D2EA">
      <w:pPr>
        <w:spacing w:line="360" w:lineRule="auto"/>
        <w:ind w:firstLine="420" w:firstLineChars="200"/>
        <w:jc w:val="left"/>
        <w:rPr>
          <w:rFonts w:ascii="宋体" w:hAnsi="宋体"/>
          <w:szCs w:val="21"/>
        </w:rPr>
      </w:pPr>
      <w:r>
        <w:rPr>
          <w:rFonts w:hint="eastAsia" w:ascii="宋体" w:hAnsi="宋体"/>
          <w:szCs w:val="21"/>
        </w:rPr>
        <w:t>10.4.1.1已标价工程量清单中有相同项目的，按照相同项目单价计算；</w:t>
      </w:r>
    </w:p>
    <w:p w14:paraId="3AD4E6C9">
      <w:pPr>
        <w:spacing w:line="360" w:lineRule="auto"/>
        <w:ind w:firstLine="420" w:firstLineChars="200"/>
        <w:jc w:val="left"/>
        <w:rPr>
          <w:rFonts w:ascii="宋体" w:hAnsi="宋体"/>
          <w:szCs w:val="21"/>
        </w:rPr>
      </w:pPr>
      <w:r>
        <w:rPr>
          <w:rFonts w:hint="eastAsia" w:ascii="宋体" w:hAnsi="宋体"/>
          <w:szCs w:val="21"/>
        </w:rPr>
        <w:t>10.4.1.2已标价工程量清单中有类似项目的，参考类似项目单价计算；</w:t>
      </w:r>
    </w:p>
    <w:p w14:paraId="6904095A">
      <w:pPr>
        <w:spacing w:line="360" w:lineRule="auto"/>
        <w:ind w:firstLine="420" w:firstLineChars="200"/>
        <w:jc w:val="left"/>
        <w:rPr>
          <w:rFonts w:ascii="宋体" w:hAnsi="宋体"/>
          <w:szCs w:val="21"/>
        </w:rPr>
      </w:pPr>
      <w:r>
        <w:rPr>
          <w:rFonts w:hint="eastAsia" w:ascii="宋体" w:hAnsi="宋体"/>
          <w:szCs w:val="21"/>
        </w:rPr>
        <w:t>10.4.1.3已标价工程量清单中无相同项目亦无类似项目的，按照以下原则执行：</w:t>
      </w:r>
    </w:p>
    <w:p w14:paraId="1BB135CA">
      <w:pPr>
        <w:spacing w:line="360" w:lineRule="auto"/>
        <w:ind w:firstLine="420" w:firstLineChars="200"/>
        <w:jc w:val="left"/>
        <w:rPr>
          <w:rFonts w:ascii="宋体" w:hAnsi="宋体"/>
          <w:szCs w:val="21"/>
        </w:rPr>
      </w:pPr>
      <w:r>
        <w:rPr>
          <w:rFonts w:hint="eastAsia" w:ascii="宋体" w:hAnsi="宋体"/>
          <w:szCs w:val="21"/>
          <w:u w:val="single"/>
        </w:rPr>
        <w:t>按《重庆市房屋建筑与装饰工程计价定额》（CQJZZSDE-2018）、《重庆市仿古建筑工程计价定额》（CQFGDE-2018）、《重庆市通用安装工程计价定额》（CQAZDE-2018） 、《重庆市市政工程计价定额》（CQSZDE-2018）、《重庆市园林绿化工程计价定额》（CQYLLHDE-2018）、《重庆市构筑物工程计价定额》（CQGZWDE-2018）、《重庆市城市轨道交通工程计价定额》（CQGDDE-2018）、《重庆市爆破工程计价定额》（CQBPDE-2018）、《重庆市房屋修缮工程计价定额》（CQXSDE-2018）、《重庆市绿色建筑工程计价定额》（CQLSJZDE-2018）、《重庆市建设工程施工机械台班定额》（CQJXDE-2018）、《重庆市建设工程施工仪器仪表台班定额》（CQYQYBDE-2018）、《重庆市建设工程混凝土及砂浆配合比表》（CQPHBB-2018）、《重庆市建设工程费用定额》（CQFYDE-2018）及相关配套文件进行组价并按承包人报价浮动率下浮（认质核价的设备和材料不参与浮动），经监理人、跟审单位、发包人审定后执行</w:t>
      </w:r>
      <w:r>
        <w:rPr>
          <w:rFonts w:hint="eastAsia" w:ascii="宋体" w:hAnsi="宋体"/>
          <w:szCs w:val="21"/>
        </w:rPr>
        <w:t>。</w:t>
      </w:r>
    </w:p>
    <w:p w14:paraId="488964CF">
      <w:pPr>
        <w:spacing w:line="360" w:lineRule="auto"/>
        <w:ind w:firstLine="420" w:firstLineChars="200"/>
        <w:jc w:val="left"/>
        <w:rPr>
          <w:rFonts w:ascii="宋体" w:hAnsi="宋体"/>
          <w:szCs w:val="21"/>
        </w:rPr>
      </w:pPr>
      <w:r>
        <w:rPr>
          <w:rFonts w:hint="eastAsia" w:ascii="宋体" w:hAnsi="宋体"/>
          <w:szCs w:val="21"/>
        </w:rPr>
        <w:t>承包人报价浮动率按下列公式计算：承包人报价浮动率=（1-中标价/最高限价）×100%。</w:t>
      </w:r>
    </w:p>
    <w:p w14:paraId="4688A228">
      <w:pPr>
        <w:spacing w:line="360" w:lineRule="auto"/>
        <w:ind w:firstLine="420" w:firstLineChars="200"/>
        <w:jc w:val="left"/>
        <w:rPr>
          <w:rFonts w:ascii="宋体" w:hAnsi="宋体"/>
          <w:szCs w:val="21"/>
        </w:rPr>
      </w:pPr>
      <w:r>
        <w:rPr>
          <w:rFonts w:hint="eastAsia" w:ascii="宋体" w:hAnsi="宋体"/>
          <w:szCs w:val="21"/>
        </w:rPr>
        <w:t>（1）人工单价：按开标当期《重庆工程造价信息》发布的项目所在地的人工单价执行。</w:t>
      </w:r>
    </w:p>
    <w:p w14:paraId="1CAF835B">
      <w:pPr>
        <w:spacing w:line="360" w:lineRule="auto"/>
        <w:ind w:firstLine="420" w:firstLineChars="200"/>
        <w:jc w:val="left"/>
        <w:rPr>
          <w:rFonts w:ascii="宋体" w:hAnsi="宋体"/>
          <w:szCs w:val="21"/>
        </w:rPr>
      </w:pPr>
      <w:bookmarkStart w:id="1450" w:name="_Hlk529023896"/>
      <w:r>
        <w:rPr>
          <w:rFonts w:hint="eastAsia" w:ascii="宋体" w:hAnsi="宋体"/>
          <w:szCs w:val="21"/>
        </w:rPr>
        <w:t>（2）材料单价：</w:t>
      </w:r>
    </w:p>
    <w:p w14:paraId="5201AECB">
      <w:pPr>
        <w:spacing w:line="360" w:lineRule="auto"/>
        <w:ind w:firstLine="420" w:firstLineChars="200"/>
        <w:jc w:val="left"/>
        <w:rPr>
          <w:rFonts w:ascii="宋体" w:hAnsi="宋体"/>
          <w:szCs w:val="21"/>
        </w:rPr>
      </w:pPr>
      <w:r>
        <w:rPr>
          <w:rFonts w:hint="eastAsia" w:ascii="宋体" w:hAnsi="宋体"/>
          <w:szCs w:val="21"/>
        </w:rPr>
        <w:t>①按</w:t>
      </w:r>
      <w:bookmarkStart w:id="1451" w:name="_Hlk529023354"/>
      <w:r>
        <w:rPr>
          <w:rFonts w:hint="eastAsia" w:ascii="宋体" w:hAnsi="宋体"/>
          <w:szCs w:val="21"/>
        </w:rPr>
        <w:t>开标当期《重庆工程造价信息》发布的项目所在地的信息价</w:t>
      </w:r>
      <w:bookmarkEnd w:id="1451"/>
      <w:r>
        <w:rPr>
          <w:rFonts w:hint="eastAsia" w:ascii="宋体" w:hAnsi="宋体"/>
          <w:szCs w:val="21"/>
        </w:rPr>
        <w:t>执行；</w:t>
      </w:r>
    </w:p>
    <w:p w14:paraId="50B9C5D5">
      <w:pPr>
        <w:spacing w:line="360" w:lineRule="auto"/>
        <w:ind w:firstLine="420" w:firstLineChars="200"/>
        <w:jc w:val="left"/>
        <w:rPr>
          <w:rFonts w:ascii="宋体" w:hAnsi="宋体"/>
          <w:szCs w:val="21"/>
        </w:rPr>
      </w:pPr>
      <w:r>
        <w:rPr>
          <w:rFonts w:hint="eastAsia" w:ascii="宋体" w:hAnsi="宋体"/>
          <w:szCs w:val="21"/>
        </w:rPr>
        <w:t>②开标当期《重庆工程造价信息》中没有的，承包人投标报价中有的，按承包人投标报价中相同材料单价的最低值执行；</w:t>
      </w:r>
    </w:p>
    <w:p w14:paraId="36D35CD2">
      <w:pPr>
        <w:spacing w:line="360" w:lineRule="auto"/>
        <w:ind w:firstLine="420" w:firstLineChars="200"/>
        <w:jc w:val="left"/>
        <w:rPr>
          <w:rFonts w:ascii="宋体" w:hAnsi="宋体"/>
          <w:szCs w:val="21"/>
        </w:rPr>
      </w:pPr>
      <w:r>
        <w:rPr>
          <w:rFonts w:hint="eastAsia" w:ascii="宋体" w:hAnsi="宋体"/>
          <w:szCs w:val="21"/>
        </w:rPr>
        <w:t>③开标当期《重庆工程造价信息》和承包人投标报价没有的，由承包人申报、监理人会同跟审单位、发包人根据市场行情认质核价确定。</w:t>
      </w:r>
    </w:p>
    <w:bookmarkEnd w:id="1450"/>
    <w:p w14:paraId="383C9EF2">
      <w:pPr>
        <w:spacing w:line="360" w:lineRule="auto"/>
        <w:ind w:firstLine="420" w:firstLineChars="200"/>
        <w:jc w:val="left"/>
        <w:rPr>
          <w:rFonts w:ascii="宋体" w:hAnsi="宋体"/>
          <w:szCs w:val="21"/>
        </w:rPr>
      </w:pPr>
      <w:r>
        <w:rPr>
          <w:rFonts w:hint="eastAsia" w:ascii="宋体" w:hAnsi="宋体"/>
          <w:szCs w:val="21"/>
        </w:rPr>
        <w:t>（3）企业管理费和利润：按承包人投标报价中相同工程分类的费用标准执行（投标报价中费用标准高于《重庆市建设工程费用定额》（CQFYDE-2018）费用标准的，按《重庆市建设工程费用定额》（CQFYDE-2018）费用标准执行）。</w:t>
      </w:r>
    </w:p>
    <w:p w14:paraId="0F376763">
      <w:pPr>
        <w:spacing w:line="360" w:lineRule="auto"/>
        <w:ind w:firstLine="420" w:firstLineChars="200"/>
        <w:jc w:val="left"/>
        <w:rPr>
          <w:rFonts w:ascii="宋体" w:hAnsi="宋体"/>
          <w:szCs w:val="21"/>
        </w:rPr>
      </w:pPr>
      <w:r>
        <w:rPr>
          <w:rFonts w:hint="eastAsia" w:ascii="宋体" w:hAnsi="宋体"/>
          <w:szCs w:val="21"/>
        </w:rPr>
        <w:t>（4）规费：按《重庆市建设工程费用定额》（CQFYDE-2018）费用标准进行计算。</w:t>
      </w:r>
    </w:p>
    <w:p w14:paraId="1EB3D752">
      <w:pPr>
        <w:spacing w:line="360" w:lineRule="auto"/>
        <w:ind w:firstLine="420" w:firstLineChars="200"/>
        <w:jc w:val="left"/>
        <w:rPr>
          <w:rFonts w:ascii="宋体" w:hAnsi="宋体"/>
          <w:szCs w:val="21"/>
        </w:rPr>
      </w:pPr>
      <w:r>
        <w:rPr>
          <w:rFonts w:hint="eastAsia" w:ascii="宋体" w:hAnsi="宋体"/>
          <w:szCs w:val="21"/>
        </w:rPr>
        <w:t>（5）税金：包含增值税、城市维护建设税、教育费附加、地方教育附加以及环境保护税。其中增值税按《重庆市建设工程费用定额》（CQFYDE-2018）规定及配套文件执行。</w:t>
      </w:r>
    </w:p>
    <w:p w14:paraId="02CE3EF4">
      <w:pPr>
        <w:spacing w:line="360" w:lineRule="auto"/>
        <w:ind w:firstLine="420" w:firstLineChars="200"/>
        <w:jc w:val="left"/>
        <w:rPr>
          <w:rFonts w:ascii="宋体" w:hAnsi="宋体"/>
          <w:szCs w:val="21"/>
          <w:u w:val="single"/>
        </w:rPr>
      </w:pPr>
      <w:r>
        <w:rPr>
          <w:rFonts w:hint="eastAsia" w:ascii="宋体" w:hAnsi="宋体"/>
          <w:szCs w:val="21"/>
        </w:rPr>
        <w:t>10.4.1.4已标价工程量清单中无相同项目亦无类似项目，也无定额可套用的，由承包人会同监理人、跟审单位、发包人按相关原则、编制方法编制补充定额（人工、材料、机械基价执行2018年计价定额的基价，2018年计价定额没有的基价，按市场价计），按照第10.4.1.3目约定执行；或参照重庆市场相同工作的市场价格上报监理人，最终价格按承包人、监理人、跟审单位、发包人共同询价确认的价格执行。</w:t>
      </w:r>
    </w:p>
    <w:p w14:paraId="77800511">
      <w:pPr>
        <w:spacing w:line="360" w:lineRule="auto"/>
        <w:ind w:firstLine="420" w:firstLineChars="200"/>
        <w:jc w:val="left"/>
        <w:rPr>
          <w:rFonts w:ascii="宋体" w:hAnsi="宋体"/>
          <w:szCs w:val="21"/>
        </w:rPr>
      </w:pPr>
      <w:r>
        <w:rPr>
          <w:rFonts w:hint="eastAsia" w:ascii="宋体" w:hAnsi="宋体"/>
          <w:szCs w:val="21"/>
        </w:rPr>
        <w:t>本款补充10.4.3项：</w:t>
      </w:r>
    </w:p>
    <w:p w14:paraId="3174FFE7">
      <w:pPr>
        <w:spacing w:line="360" w:lineRule="auto"/>
        <w:ind w:firstLine="420" w:firstLineChars="200"/>
        <w:jc w:val="left"/>
        <w:rPr>
          <w:rFonts w:ascii="宋体" w:hAnsi="宋体"/>
          <w:szCs w:val="21"/>
        </w:rPr>
      </w:pPr>
      <w:r>
        <w:rPr>
          <w:rFonts w:hint="eastAsia" w:ascii="宋体" w:hAnsi="宋体"/>
          <w:szCs w:val="21"/>
        </w:rPr>
        <w:t>10.4.3工程变更引起施工方案改变并使措施项目发生变化时，承包人提出调整措施项目费的，应事前将拟实施的方案提交监理人审核报发包人确认，并应详细说明与原方案措施项目相比的变化情况。拟实施的方案经发承包双方确认后执行，并应按照下列规定调整措施项目费：</w:t>
      </w:r>
    </w:p>
    <w:p w14:paraId="6332AAE8">
      <w:pPr>
        <w:spacing w:line="360" w:lineRule="auto"/>
        <w:ind w:firstLine="420" w:firstLineChars="200"/>
        <w:jc w:val="left"/>
        <w:rPr>
          <w:rFonts w:ascii="宋体" w:hAnsi="宋体"/>
          <w:szCs w:val="21"/>
        </w:rPr>
      </w:pPr>
      <w:r>
        <w:rPr>
          <w:rFonts w:hint="eastAsia" w:ascii="宋体" w:hAnsi="宋体"/>
          <w:szCs w:val="21"/>
        </w:rPr>
        <w:t>（1）</w:t>
      </w:r>
      <w:r>
        <w:rPr>
          <w:rFonts w:hint="eastAsia" w:ascii="宋体" w:hAnsi="宋体"/>
          <w:szCs w:val="21"/>
          <w:u w:val="single"/>
        </w:rPr>
        <w:t>安全文明施工费应根据《重庆城乡建设委员会关于印发&lt;重庆市建设工程安全文明施工费计取及使用管理规定&gt;的通知》（渝建发〔2014〕25号）规定，安全文明施工费由安全施工费、文明施工费、环境保护费及临时设施费组成；</w:t>
      </w:r>
    </w:p>
    <w:p w14:paraId="2FCB80FA">
      <w:pPr>
        <w:spacing w:line="360" w:lineRule="auto"/>
        <w:ind w:firstLine="420" w:firstLineChars="200"/>
        <w:jc w:val="left"/>
        <w:rPr>
          <w:rFonts w:ascii="宋体" w:hAnsi="宋体"/>
          <w:szCs w:val="21"/>
        </w:rPr>
      </w:pPr>
      <w:r>
        <w:rPr>
          <w:rFonts w:hint="eastAsia" w:ascii="宋体" w:hAnsi="宋体"/>
          <w:szCs w:val="21"/>
        </w:rPr>
        <w:t>（2）</w:t>
      </w:r>
      <w:r>
        <w:rPr>
          <w:rFonts w:hint="eastAsia" w:ascii="宋体" w:hAnsi="宋体"/>
          <w:szCs w:val="21"/>
          <w:u w:val="single"/>
        </w:rPr>
        <w:t>按照单价计算的措施项目费，应按照实际发生变化的措施项目，按照第10.4.1项〔变更估价原则〕约定执行</w:t>
      </w:r>
      <w:r>
        <w:rPr>
          <w:rFonts w:hint="eastAsia" w:ascii="宋体" w:hAnsi="宋体"/>
          <w:szCs w:val="21"/>
        </w:rPr>
        <w:t>；</w:t>
      </w:r>
    </w:p>
    <w:p w14:paraId="3D929884">
      <w:pPr>
        <w:spacing w:line="360" w:lineRule="auto"/>
        <w:ind w:firstLine="420" w:firstLineChars="200"/>
        <w:jc w:val="left"/>
        <w:rPr>
          <w:rFonts w:ascii="宋体" w:hAnsi="宋体"/>
          <w:szCs w:val="21"/>
        </w:rPr>
      </w:pPr>
      <w:r>
        <w:rPr>
          <w:rFonts w:hint="eastAsia" w:ascii="宋体" w:hAnsi="宋体"/>
          <w:szCs w:val="21"/>
        </w:rPr>
        <w:t>（3）</w:t>
      </w:r>
      <w:r>
        <w:rPr>
          <w:rFonts w:hint="eastAsia" w:ascii="宋体" w:hAnsi="宋体"/>
          <w:szCs w:val="21"/>
          <w:u w:val="single"/>
        </w:rPr>
        <w:t>按总价（或系数）计算的措施项目费，应按照实际发生变化的措施项目费按承包人报价浮动率下浮后的金额计算</w:t>
      </w:r>
      <w:r>
        <w:rPr>
          <w:rFonts w:hint="eastAsia" w:ascii="宋体" w:hAnsi="宋体"/>
          <w:szCs w:val="21"/>
        </w:rPr>
        <w:t>；</w:t>
      </w:r>
    </w:p>
    <w:p w14:paraId="50089DBA">
      <w:pPr>
        <w:spacing w:line="360" w:lineRule="auto"/>
        <w:ind w:firstLine="420" w:firstLineChars="200"/>
        <w:jc w:val="left"/>
        <w:rPr>
          <w:rFonts w:ascii="宋体" w:hAnsi="宋体"/>
          <w:szCs w:val="21"/>
          <w:u w:val="single"/>
        </w:rPr>
      </w:pPr>
      <w:r>
        <w:rPr>
          <w:rFonts w:hint="eastAsia" w:ascii="宋体" w:hAnsi="宋体"/>
          <w:szCs w:val="21"/>
        </w:rPr>
        <w:t>（4）</w:t>
      </w:r>
      <w:r>
        <w:rPr>
          <w:rFonts w:hint="eastAsia" w:ascii="宋体" w:hAnsi="宋体"/>
          <w:szCs w:val="21"/>
          <w:u w:val="single"/>
        </w:rPr>
        <w:t>如果承包人未事前将拟实施的方案提交给发包人确认，则应视为工程变更不引起措施项目费的调整或承包人放弃调整措施项目费的权利</w:t>
      </w:r>
      <w:r>
        <w:rPr>
          <w:rFonts w:hint="eastAsia" w:ascii="宋体" w:hAnsi="宋体"/>
          <w:szCs w:val="21"/>
        </w:rPr>
        <w:t>。</w:t>
      </w:r>
    </w:p>
    <w:bookmarkEnd w:id="1448"/>
    <w:p w14:paraId="55BF1893">
      <w:pPr>
        <w:pStyle w:val="7"/>
        <w:spacing w:before="0" w:beforeAutospacing="0" w:after="0" w:afterAutospacing="0" w:line="360" w:lineRule="auto"/>
        <w:ind w:firstLine="422" w:firstLineChars="200"/>
        <w:rPr>
          <w:sz w:val="21"/>
          <w:szCs w:val="21"/>
        </w:rPr>
      </w:pPr>
      <w:bookmarkStart w:id="1452" w:name="_Toc532377375"/>
      <w:bookmarkStart w:id="1453" w:name="_Toc532375639"/>
      <w:r>
        <w:rPr>
          <w:rFonts w:hint="eastAsia"/>
          <w:sz w:val="21"/>
          <w:szCs w:val="21"/>
        </w:rPr>
        <w:t>1</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Start w:id="1454" w:name="_Toc296944536"/>
      <w:bookmarkStart w:id="1455" w:name="_Toc297120497"/>
      <w:bookmarkStart w:id="1456" w:name="_Toc296346698"/>
      <w:bookmarkStart w:id="1457" w:name="_Toc296347196"/>
      <w:bookmarkStart w:id="1458" w:name="_Toc292559402"/>
      <w:bookmarkStart w:id="1459" w:name="_Toc297123544"/>
      <w:bookmarkStart w:id="1460" w:name="_Toc300934993"/>
      <w:bookmarkStart w:id="1461" w:name="_Toc297216203"/>
      <w:bookmarkStart w:id="1462" w:name="_Toc303539150"/>
      <w:bookmarkStart w:id="1463" w:name="_Toc297048383"/>
      <w:bookmarkStart w:id="1464" w:name="_Toc296891025"/>
      <w:bookmarkStart w:id="1465" w:name="_Toc296891237"/>
      <w:bookmarkStart w:id="1466" w:name="_Toc296503197"/>
      <w:bookmarkStart w:id="1467" w:name="_Toc292559907"/>
      <w:bookmarkStart w:id="1468" w:name="_Toc312678029"/>
      <w:bookmarkStart w:id="1469" w:name="_Toc304295570"/>
      <w:bookmarkStart w:id="1470" w:name="_Toc312677503"/>
      <w:r>
        <w:rPr>
          <w:rFonts w:hint="eastAsia"/>
          <w:sz w:val="21"/>
          <w:szCs w:val="21"/>
        </w:rPr>
        <w:t>0.5承</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Start w:id="1471" w:name="_Toc297216204"/>
      <w:bookmarkStart w:id="1472" w:name="_Toc296503203"/>
      <w:bookmarkStart w:id="1473" w:name="_Toc300934994"/>
      <w:bookmarkStart w:id="1474" w:name="_Toc296891243"/>
      <w:bookmarkStart w:id="1475" w:name="_Toc296944542"/>
      <w:bookmarkStart w:id="1476" w:name="_Toc303539151"/>
      <w:bookmarkStart w:id="1477" w:name="_Toc296346704"/>
      <w:bookmarkStart w:id="1478" w:name="_Toc297120503"/>
      <w:bookmarkStart w:id="1479" w:name="_Toc292559408"/>
      <w:bookmarkStart w:id="1480" w:name="_Toc297048389"/>
      <w:bookmarkStart w:id="1481" w:name="_Toc296347202"/>
      <w:bookmarkStart w:id="1482" w:name="_Toc292559913"/>
      <w:bookmarkStart w:id="1483" w:name="_Toc297123545"/>
      <w:bookmarkStart w:id="1484" w:name="_Toc296891031"/>
      <w:r>
        <w:rPr>
          <w:rFonts w:hint="eastAsia"/>
          <w:sz w:val="21"/>
          <w:szCs w:val="21"/>
        </w:rPr>
        <w:t>包人的合理化建议</w:t>
      </w:r>
      <w:bookmarkEnd w:id="1452"/>
      <w:bookmarkEnd w:id="1453"/>
    </w:p>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14:paraId="0537A6EB">
      <w:pPr>
        <w:spacing w:line="360" w:lineRule="auto"/>
        <w:ind w:firstLine="420" w:firstLineChars="200"/>
        <w:jc w:val="left"/>
        <w:rPr>
          <w:rFonts w:ascii="宋体" w:hAnsi="宋体"/>
          <w:szCs w:val="21"/>
        </w:rPr>
      </w:pPr>
      <w:r>
        <w:rPr>
          <w:rFonts w:hint="eastAsia" w:ascii="宋体" w:hAnsi="宋体"/>
          <w:szCs w:val="21"/>
        </w:rPr>
        <w:t>承包人提出合理化建议的，应向监理人提交合理化建议说明，说明建议的内容和理由，以及实施该建议对合同价格和（或）工期和（或）工程经济效益的影响。</w:t>
      </w:r>
    </w:p>
    <w:p w14:paraId="0823F17C">
      <w:pPr>
        <w:spacing w:line="360" w:lineRule="auto"/>
        <w:ind w:firstLine="420" w:firstLineChars="200"/>
        <w:jc w:val="left"/>
        <w:rPr>
          <w:rFonts w:ascii="宋体" w:hAnsi="宋体"/>
          <w:szCs w:val="21"/>
        </w:rPr>
      </w:pPr>
      <w:r>
        <w:rPr>
          <w:rFonts w:hint="eastAsia" w:ascii="宋体" w:hAnsi="宋体"/>
          <w:szCs w:val="21"/>
        </w:rPr>
        <w:t>监理人审查承包人合理化建议的期限：</w:t>
      </w:r>
      <w:r>
        <w:rPr>
          <w:rFonts w:hint="eastAsia" w:ascii="宋体" w:hAnsi="宋体"/>
          <w:szCs w:val="21"/>
          <w:u w:val="single"/>
        </w:rPr>
        <w:t>不超过14天</w:t>
      </w:r>
      <w:r>
        <w:rPr>
          <w:rFonts w:hint="eastAsia" w:ascii="宋体" w:hAnsi="宋体"/>
          <w:szCs w:val="21"/>
        </w:rPr>
        <w:t>。</w:t>
      </w:r>
    </w:p>
    <w:p w14:paraId="791E4A5D">
      <w:pPr>
        <w:spacing w:line="360" w:lineRule="auto"/>
        <w:ind w:firstLine="420" w:firstLineChars="200"/>
        <w:jc w:val="left"/>
        <w:rPr>
          <w:rFonts w:ascii="宋体" w:hAnsi="宋体"/>
          <w:szCs w:val="21"/>
        </w:rPr>
      </w:pPr>
      <w:r>
        <w:rPr>
          <w:rFonts w:hint="eastAsia" w:ascii="宋体" w:hAnsi="宋体"/>
          <w:szCs w:val="21"/>
        </w:rPr>
        <w:t>发包人审批承包人合理化建议的期限：</w:t>
      </w:r>
      <w:r>
        <w:rPr>
          <w:rFonts w:hint="eastAsia" w:ascii="宋体" w:hAnsi="宋体"/>
          <w:szCs w:val="21"/>
          <w:u w:val="single"/>
        </w:rPr>
        <w:t>不超过14天</w:t>
      </w:r>
      <w:r>
        <w:rPr>
          <w:rFonts w:hint="eastAsia" w:ascii="宋体" w:hAnsi="宋体"/>
          <w:szCs w:val="21"/>
        </w:rPr>
        <w:t>。</w:t>
      </w:r>
    </w:p>
    <w:p w14:paraId="47D4FAA5">
      <w:pPr>
        <w:spacing w:line="360" w:lineRule="auto"/>
        <w:ind w:firstLine="420" w:firstLineChars="200"/>
        <w:jc w:val="left"/>
        <w:rPr>
          <w:rFonts w:ascii="宋体" w:hAnsi="宋体"/>
          <w:szCs w:val="21"/>
          <w:u w:val="single"/>
        </w:rPr>
      </w:pPr>
      <w:r>
        <w:rPr>
          <w:rFonts w:hint="eastAsia" w:ascii="宋体" w:hAnsi="宋体"/>
          <w:szCs w:val="21"/>
        </w:rPr>
        <w:t>承</w:t>
      </w:r>
      <w:bookmarkStart w:id="1485" w:name="_Toc318581175"/>
      <w:bookmarkStart w:id="1486" w:name="_Toc292559409"/>
      <w:bookmarkStart w:id="1487" w:name="_Toc303539152"/>
      <w:bookmarkStart w:id="1488" w:name="_Toc292559914"/>
      <w:bookmarkStart w:id="1489" w:name="_Toc312677504"/>
      <w:bookmarkStart w:id="1490" w:name="_Toc296346705"/>
      <w:bookmarkStart w:id="1491" w:name="_Toc297120504"/>
      <w:bookmarkStart w:id="1492" w:name="_Toc296891244"/>
      <w:bookmarkStart w:id="1493" w:name="_Toc297048390"/>
      <w:bookmarkStart w:id="1494" w:name="_Toc297216205"/>
      <w:bookmarkStart w:id="1495" w:name="_Toc296347203"/>
      <w:bookmarkStart w:id="1496" w:name="_Toc296944543"/>
      <w:bookmarkStart w:id="1497" w:name="_Toc296891032"/>
      <w:bookmarkStart w:id="1498" w:name="_Toc304295571"/>
      <w:bookmarkStart w:id="1499" w:name="_Toc296503204"/>
      <w:bookmarkStart w:id="1500" w:name="_Toc312678030"/>
      <w:bookmarkStart w:id="1501" w:name="_Toc300934995"/>
      <w:bookmarkStart w:id="1502" w:name="_Toc297123546"/>
      <w:r>
        <w:rPr>
          <w:rFonts w:hint="eastAsia" w:ascii="宋体" w:hAnsi="宋体"/>
          <w:szCs w:val="21"/>
        </w:rPr>
        <w:t>包人提出的合理化建议降低了合同价格或缩短了工期或者提高了工程经济效益的奖励的方法和金额为：无。</w:t>
      </w:r>
    </w:p>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14:paraId="367D8874">
      <w:pPr>
        <w:pStyle w:val="7"/>
        <w:spacing w:before="0" w:beforeAutospacing="0" w:after="0" w:afterAutospacing="0" w:line="360" w:lineRule="auto"/>
        <w:ind w:firstLine="422" w:firstLineChars="200"/>
        <w:rPr>
          <w:sz w:val="21"/>
          <w:szCs w:val="21"/>
        </w:rPr>
      </w:pPr>
      <w:bookmarkStart w:id="1503" w:name="_Toc532375640"/>
      <w:bookmarkStart w:id="1504" w:name="_Toc532377376"/>
      <w:r>
        <w:rPr>
          <w:rFonts w:hint="eastAsia"/>
          <w:sz w:val="21"/>
          <w:szCs w:val="21"/>
        </w:rPr>
        <w:t>1</w:t>
      </w:r>
      <w:bookmarkStart w:id="1505" w:name="_Toc312678033"/>
      <w:bookmarkStart w:id="1506" w:name="_Toc296346700"/>
      <w:bookmarkStart w:id="1507" w:name="_Toc297216207"/>
      <w:bookmarkStart w:id="1508" w:name="_Toc296891027"/>
      <w:bookmarkStart w:id="1509" w:name="_Toc296347198"/>
      <w:bookmarkStart w:id="1510" w:name="_Toc296891239"/>
      <w:bookmarkStart w:id="1511" w:name="_Toc312677507"/>
      <w:bookmarkStart w:id="1512" w:name="_Toc292559909"/>
      <w:bookmarkStart w:id="1513" w:name="_Toc304295574"/>
      <w:bookmarkStart w:id="1514" w:name="_Toc297048385"/>
      <w:bookmarkStart w:id="1515" w:name="_Toc296503199"/>
      <w:bookmarkStart w:id="1516" w:name="_Toc300934997"/>
      <w:bookmarkStart w:id="1517" w:name="_Toc296944538"/>
      <w:bookmarkStart w:id="1518" w:name="_Toc297120499"/>
      <w:bookmarkStart w:id="1519" w:name="_Toc297123548"/>
      <w:bookmarkStart w:id="1520" w:name="_Toc292559404"/>
      <w:bookmarkStart w:id="1521" w:name="_Toc303539154"/>
      <w:r>
        <w:rPr>
          <w:rFonts w:hint="eastAsia"/>
          <w:sz w:val="21"/>
          <w:szCs w:val="21"/>
        </w:rPr>
        <w:t>0.7 暂估价</w:t>
      </w:r>
      <w:bookmarkEnd w:id="1503"/>
      <w:bookmarkEnd w:id="1504"/>
    </w:p>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14:paraId="618347F4">
      <w:pPr>
        <w:spacing w:line="360" w:lineRule="auto"/>
        <w:ind w:firstLine="420" w:firstLineChars="200"/>
        <w:jc w:val="left"/>
        <w:rPr>
          <w:rFonts w:ascii="宋体" w:hAnsi="宋体"/>
          <w:szCs w:val="21"/>
        </w:rPr>
      </w:pPr>
      <w:r>
        <w:rPr>
          <w:rFonts w:hint="eastAsia" w:ascii="宋体" w:hAnsi="宋体"/>
          <w:szCs w:val="21"/>
        </w:rPr>
        <w:t>专业工程暂估价：</w:t>
      </w:r>
      <w:r>
        <w:rPr>
          <w:rFonts w:hint="eastAsia" w:ascii="宋体" w:hAnsi="宋体"/>
          <w:szCs w:val="21"/>
          <w:u w:val="single"/>
        </w:rPr>
        <w:t xml:space="preserve">        </w:t>
      </w:r>
      <w:r>
        <w:rPr>
          <w:rFonts w:hint="eastAsia" w:ascii="宋体" w:hAnsi="宋体"/>
          <w:szCs w:val="21"/>
        </w:rPr>
        <w:t>万元。</w:t>
      </w:r>
    </w:p>
    <w:p w14:paraId="2C23640A">
      <w:pPr>
        <w:spacing w:line="360" w:lineRule="auto"/>
        <w:ind w:firstLine="420" w:firstLineChars="200"/>
        <w:jc w:val="left"/>
        <w:rPr>
          <w:rFonts w:ascii="宋体" w:hAnsi="宋体"/>
          <w:szCs w:val="21"/>
        </w:rPr>
      </w:pPr>
      <w:r>
        <w:rPr>
          <w:rFonts w:hint="eastAsia" w:ascii="宋体" w:hAnsi="宋体"/>
          <w:szCs w:val="21"/>
        </w:rPr>
        <w:t>单项合同估算价在国家相关法律法规规定必须采购规模以下的，符合可以不采购相关规定的，由承包人采取交钥匙工程模式实施，发包人配合。承包人（需在允许资质范围内）或承包人委托的有资质的专业分包单位实施。费用估价按照第10.4.1项〔变更估价原则〕执行，承包人申报，经监理人、跟审单位、发包人共同审定。审定后根据承包人签订的相关合同（需经监理人、跟审单位、发包人共同确认）约定，由承包人申报，随进度款按与相关单位签订的合同约定一并支付。</w:t>
      </w:r>
    </w:p>
    <w:p w14:paraId="3FC0D4EA">
      <w:pPr>
        <w:spacing w:line="360" w:lineRule="auto"/>
        <w:ind w:firstLine="420" w:firstLineChars="200"/>
        <w:jc w:val="left"/>
        <w:rPr>
          <w:rFonts w:ascii="宋体" w:hAnsi="宋体"/>
          <w:szCs w:val="21"/>
          <w:u w:val="single"/>
        </w:rPr>
      </w:pPr>
      <w:r>
        <w:rPr>
          <w:rFonts w:hint="eastAsia" w:ascii="宋体" w:hAnsi="宋体"/>
          <w:szCs w:val="21"/>
        </w:rPr>
        <w:t>单项合同暂估价在国家相关法律法规规定必须采购规模以上的，需依法必须采购的，由承包人、发包人共同采购确定。</w:t>
      </w:r>
    </w:p>
    <w:p w14:paraId="4897A9F0">
      <w:pPr>
        <w:pStyle w:val="7"/>
        <w:spacing w:before="0" w:beforeAutospacing="0" w:after="0" w:afterAutospacing="0" w:line="360" w:lineRule="auto"/>
        <w:ind w:firstLine="422" w:firstLineChars="200"/>
        <w:rPr>
          <w:sz w:val="21"/>
          <w:szCs w:val="21"/>
        </w:rPr>
      </w:pPr>
      <w:bookmarkStart w:id="1522" w:name="_Toc532377377"/>
      <w:bookmarkStart w:id="1523" w:name="_Toc532375641"/>
      <w:r>
        <w:rPr>
          <w:rFonts w:hint="eastAsia"/>
          <w:sz w:val="21"/>
          <w:szCs w:val="21"/>
        </w:rPr>
        <w:t>10.8 暂列金额</w:t>
      </w:r>
      <w:bookmarkEnd w:id="1522"/>
      <w:bookmarkEnd w:id="1523"/>
    </w:p>
    <w:p w14:paraId="2060B84C">
      <w:pPr>
        <w:autoSpaceDE w:val="0"/>
        <w:autoSpaceDN w:val="0"/>
        <w:spacing w:line="360" w:lineRule="auto"/>
        <w:ind w:firstLine="420" w:firstLineChars="200"/>
        <w:jc w:val="left"/>
        <w:rPr>
          <w:rFonts w:ascii="宋体" w:hAnsi="宋体"/>
          <w:szCs w:val="21"/>
        </w:rPr>
      </w:pPr>
      <w:r>
        <w:rPr>
          <w:rFonts w:hint="eastAsia" w:ascii="宋体" w:hAnsi="宋体"/>
          <w:szCs w:val="21"/>
        </w:rPr>
        <w:t>合同当事人关于暂列金额使用的约定：</w:t>
      </w:r>
      <w:r>
        <w:rPr>
          <w:rFonts w:hint="eastAsia" w:ascii="宋体" w:hAnsi="宋体"/>
          <w:szCs w:val="21"/>
          <w:u w:val="single"/>
        </w:rPr>
        <w:t xml:space="preserve">        </w:t>
      </w:r>
      <w:r>
        <w:rPr>
          <w:rFonts w:hint="eastAsia" w:ascii="宋体" w:hAnsi="宋体"/>
          <w:szCs w:val="21"/>
        </w:rPr>
        <w:t>。</w:t>
      </w:r>
    </w:p>
    <w:p w14:paraId="1B62C774">
      <w:pPr>
        <w:pStyle w:val="6"/>
        <w:keepNext/>
        <w:keepLines/>
        <w:spacing w:before="156" w:beforeLines="50" w:beforeAutospacing="0" w:after="156" w:afterLines="50" w:afterAutospacing="0" w:line="360" w:lineRule="auto"/>
        <w:jc w:val="both"/>
        <w:rPr>
          <w:bCs w:val="0"/>
          <w:kern w:val="2"/>
          <w:sz w:val="21"/>
          <w:szCs w:val="21"/>
        </w:rPr>
      </w:pPr>
      <w:bookmarkStart w:id="1524" w:name="_Toc532377378"/>
      <w:bookmarkStart w:id="1525" w:name="_Toc532375642"/>
      <w:bookmarkStart w:id="1526" w:name="_Toc351203643"/>
      <w:r>
        <w:rPr>
          <w:rFonts w:hint="eastAsia"/>
          <w:kern w:val="2"/>
          <w:sz w:val="21"/>
          <w:szCs w:val="21"/>
        </w:rPr>
        <w:t>11. 价格调整</w:t>
      </w:r>
      <w:bookmarkEnd w:id="1524"/>
      <w:bookmarkEnd w:id="1525"/>
      <w:bookmarkEnd w:id="1526"/>
    </w:p>
    <w:p w14:paraId="7E442A0D">
      <w:pPr>
        <w:pStyle w:val="7"/>
        <w:spacing w:before="0" w:beforeAutospacing="0" w:after="0" w:afterAutospacing="0" w:line="360" w:lineRule="auto"/>
        <w:ind w:firstLine="422" w:firstLineChars="200"/>
        <w:rPr>
          <w:sz w:val="21"/>
          <w:szCs w:val="21"/>
        </w:rPr>
      </w:pPr>
      <w:bookmarkStart w:id="1527" w:name="_Toc532377379"/>
      <w:bookmarkStart w:id="1528" w:name="_Toc532375643"/>
      <w:bookmarkStart w:id="1529" w:name="_Toc312678039"/>
      <w:bookmarkStart w:id="1530" w:name="_Toc292559911"/>
      <w:bookmarkStart w:id="1531" w:name="_Toc296347200"/>
      <w:bookmarkStart w:id="1532" w:name="_Toc300935000"/>
      <w:bookmarkStart w:id="1533" w:name="_Toc292559406"/>
      <w:bookmarkStart w:id="1534" w:name="_Toc296891029"/>
      <w:bookmarkStart w:id="1535" w:name="_Toc297123550"/>
      <w:bookmarkStart w:id="1536" w:name="_Toc303539157"/>
      <w:bookmarkStart w:id="1537" w:name="_Toc296503201"/>
      <w:bookmarkStart w:id="1538" w:name="_Toc297216209"/>
      <w:bookmarkStart w:id="1539" w:name="_Toc304295577"/>
      <w:bookmarkStart w:id="1540" w:name="_Toc297048387"/>
      <w:bookmarkStart w:id="1541" w:name="_Toc296891241"/>
      <w:bookmarkStart w:id="1542" w:name="_Toc297120501"/>
      <w:bookmarkStart w:id="1543" w:name="_Toc296944540"/>
      <w:bookmarkStart w:id="1544" w:name="_Toc296346702"/>
      <w:r>
        <w:rPr>
          <w:rFonts w:hint="eastAsia"/>
          <w:sz w:val="21"/>
          <w:szCs w:val="21"/>
        </w:rPr>
        <w:t>11.1 市场价格波动引起的调整</w:t>
      </w:r>
      <w:bookmarkEnd w:id="1527"/>
      <w:bookmarkEnd w:id="1528"/>
    </w:p>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p w14:paraId="142DAB9D">
      <w:pPr>
        <w:spacing w:line="360" w:lineRule="auto"/>
        <w:ind w:firstLine="420" w:firstLineChars="200"/>
        <w:jc w:val="left"/>
        <w:rPr>
          <w:rFonts w:ascii="宋体" w:hAnsi="宋体"/>
          <w:szCs w:val="21"/>
          <w:u w:val="single"/>
        </w:rPr>
      </w:pPr>
      <w:bookmarkStart w:id="1545" w:name="_Toc466913963"/>
      <w:bookmarkStart w:id="1546" w:name="_Toc467689641"/>
      <w:bookmarkStart w:id="1547" w:name="_Toc466913513"/>
      <w:bookmarkStart w:id="1548" w:name="_Toc466911545"/>
      <w:r>
        <w:rPr>
          <w:rFonts w:hint="eastAsia" w:ascii="宋体" w:hAnsi="宋体"/>
          <w:szCs w:val="21"/>
        </w:rPr>
        <w:t>市场价格波动是否调整合同价格的约定：</w:t>
      </w:r>
      <w:bookmarkEnd w:id="1407"/>
      <w:bookmarkEnd w:id="1408"/>
      <w:bookmarkEnd w:id="1409"/>
      <w:bookmarkEnd w:id="1410"/>
      <w:bookmarkEnd w:id="1411"/>
      <w:bookmarkEnd w:id="1412"/>
      <w:bookmarkEnd w:id="1545"/>
      <w:bookmarkEnd w:id="1546"/>
      <w:bookmarkEnd w:id="1547"/>
      <w:bookmarkEnd w:id="1548"/>
      <w:bookmarkStart w:id="1549" w:name="_Toc296346706"/>
      <w:bookmarkStart w:id="1550" w:name="_Toc292559410"/>
      <w:bookmarkStart w:id="1551" w:name="_Toc297048391"/>
      <w:bookmarkStart w:id="1552" w:name="_Toc296891033"/>
      <w:bookmarkStart w:id="1553" w:name="_Toc296944544"/>
      <w:bookmarkStart w:id="1554" w:name="_Toc296347204"/>
      <w:bookmarkStart w:id="1555" w:name="_Toc296891245"/>
      <w:bookmarkStart w:id="1556" w:name="_Toc292559915"/>
      <w:bookmarkStart w:id="1557" w:name="_Toc296503205"/>
      <w:bookmarkStart w:id="1558" w:name="_Toc297120505"/>
      <w:bookmarkStart w:id="1559" w:name="_Toc351203644"/>
      <w:bookmarkStart w:id="1560" w:name="_Toc304295579"/>
      <w:bookmarkStart w:id="1561" w:name="_Toc297123552"/>
      <w:bookmarkStart w:id="1562" w:name="_Toc312678040"/>
      <w:bookmarkStart w:id="1563" w:name="_Toc300935002"/>
      <w:bookmarkStart w:id="1564" w:name="_Toc303539159"/>
      <w:bookmarkStart w:id="1565" w:name="_Toc297216211"/>
      <w:r>
        <w:rPr>
          <w:rFonts w:hint="eastAsia" w:ascii="宋体" w:hAnsi="宋体" w:cs="宋体"/>
          <w:kern w:val="0"/>
          <w:szCs w:val="21"/>
          <w:u w:val="single"/>
        </w:rPr>
        <w:t>本项目</w:t>
      </w:r>
      <w:r>
        <w:rPr>
          <w:rFonts w:hint="eastAsia" w:ascii="宋体" w:hAnsi="宋体" w:cs="宋体"/>
          <w:szCs w:val="21"/>
          <w:u w:val="single"/>
        </w:rPr>
        <w:t>材料价格均不作调整</w:t>
      </w:r>
      <w:r>
        <w:rPr>
          <w:rFonts w:hint="eastAsia" w:ascii="宋体" w:hAnsi="宋体" w:cs="宋体"/>
          <w:szCs w:val="21"/>
        </w:rPr>
        <w:t>。</w:t>
      </w:r>
    </w:p>
    <w:p w14:paraId="1FCAAE44">
      <w:pPr>
        <w:pStyle w:val="6"/>
        <w:keepNext/>
        <w:keepLines/>
        <w:spacing w:before="156" w:beforeLines="50" w:beforeAutospacing="0" w:after="156" w:afterLines="50" w:afterAutospacing="0" w:line="360" w:lineRule="auto"/>
        <w:jc w:val="both"/>
        <w:rPr>
          <w:bCs w:val="0"/>
          <w:kern w:val="2"/>
          <w:sz w:val="21"/>
          <w:szCs w:val="21"/>
        </w:rPr>
      </w:pPr>
      <w:bookmarkStart w:id="1566" w:name="_Toc532375646"/>
      <w:bookmarkStart w:id="1567" w:name="_Toc532377382"/>
      <w:r>
        <w:rPr>
          <w:rFonts w:hint="eastAsia"/>
          <w:kern w:val="2"/>
          <w:sz w:val="21"/>
          <w:szCs w:val="21"/>
        </w:rPr>
        <w:t xml:space="preserve">12. </w:t>
      </w:r>
      <w:bookmarkEnd w:id="1549"/>
      <w:bookmarkEnd w:id="1550"/>
      <w:bookmarkEnd w:id="1551"/>
      <w:bookmarkEnd w:id="1552"/>
      <w:bookmarkEnd w:id="1553"/>
      <w:bookmarkEnd w:id="1554"/>
      <w:bookmarkEnd w:id="1555"/>
      <w:bookmarkEnd w:id="1556"/>
      <w:bookmarkEnd w:id="1557"/>
      <w:bookmarkEnd w:id="1558"/>
      <w:r>
        <w:rPr>
          <w:rFonts w:hint="eastAsia"/>
          <w:kern w:val="2"/>
          <w:sz w:val="21"/>
          <w:szCs w:val="21"/>
        </w:rPr>
        <w:t>合同价格、计量与支付</w:t>
      </w:r>
      <w:bookmarkEnd w:id="1559"/>
      <w:bookmarkEnd w:id="1566"/>
      <w:bookmarkEnd w:id="1567"/>
    </w:p>
    <w:bookmarkEnd w:id="1560"/>
    <w:bookmarkEnd w:id="1561"/>
    <w:bookmarkEnd w:id="1562"/>
    <w:bookmarkEnd w:id="1563"/>
    <w:bookmarkEnd w:id="1564"/>
    <w:bookmarkEnd w:id="1565"/>
    <w:p w14:paraId="501D2AA0">
      <w:pPr>
        <w:pStyle w:val="7"/>
        <w:spacing w:before="0" w:beforeAutospacing="0" w:after="0" w:afterAutospacing="0" w:line="360" w:lineRule="auto"/>
        <w:ind w:firstLine="422" w:firstLineChars="200"/>
        <w:rPr>
          <w:sz w:val="21"/>
          <w:szCs w:val="21"/>
        </w:rPr>
      </w:pPr>
      <w:bookmarkStart w:id="1568" w:name="_Toc267251461"/>
      <w:bookmarkStart w:id="1569" w:name="_Toc292559916"/>
      <w:bookmarkStart w:id="1570" w:name="_Toc292559411"/>
      <w:bookmarkStart w:id="1571" w:name="_Toc296347205"/>
      <w:bookmarkStart w:id="1572" w:name="_Toc296944545"/>
      <w:bookmarkStart w:id="1573" w:name="_Toc296346707"/>
      <w:bookmarkStart w:id="1574" w:name="_Toc297048392"/>
      <w:bookmarkStart w:id="1575" w:name="_Toc297120506"/>
      <w:bookmarkStart w:id="1576" w:name="_Toc296891034"/>
      <w:bookmarkStart w:id="1577" w:name="_Toc296891246"/>
      <w:bookmarkStart w:id="1578" w:name="_Toc296503206"/>
      <w:bookmarkStart w:id="1579" w:name="_Toc532377383"/>
      <w:bookmarkStart w:id="1580" w:name="_Toc532375647"/>
      <w:bookmarkStart w:id="1581" w:name="_Toc303539160"/>
      <w:bookmarkStart w:id="1582" w:name="_Toc304295580"/>
      <w:bookmarkStart w:id="1583" w:name="_Toc312678041"/>
      <w:bookmarkStart w:id="1584" w:name="_Toc297216212"/>
      <w:bookmarkStart w:id="1585" w:name="_Toc297123553"/>
      <w:bookmarkStart w:id="1586" w:name="_Toc300935003"/>
      <w:r>
        <w:rPr>
          <w:rFonts w:hint="eastAsia"/>
          <w:sz w:val="21"/>
          <w:szCs w:val="21"/>
        </w:rPr>
        <w:t>12.1 合</w:t>
      </w:r>
      <w:bookmarkEnd w:id="1568"/>
      <w:bookmarkEnd w:id="1569"/>
      <w:bookmarkEnd w:id="1570"/>
      <w:r>
        <w:rPr>
          <w:rFonts w:hint="eastAsia"/>
          <w:sz w:val="21"/>
          <w:szCs w:val="21"/>
        </w:rPr>
        <w:t>同价</w:t>
      </w:r>
      <w:bookmarkEnd w:id="1571"/>
      <w:bookmarkEnd w:id="1572"/>
      <w:bookmarkEnd w:id="1573"/>
      <w:bookmarkEnd w:id="1574"/>
      <w:bookmarkEnd w:id="1575"/>
      <w:bookmarkEnd w:id="1576"/>
      <w:bookmarkEnd w:id="1577"/>
      <w:bookmarkEnd w:id="1578"/>
      <w:r>
        <w:rPr>
          <w:rFonts w:hint="eastAsia"/>
          <w:sz w:val="21"/>
          <w:szCs w:val="21"/>
        </w:rPr>
        <w:t>格形式</w:t>
      </w:r>
      <w:bookmarkEnd w:id="1579"/>
      <w:bookmarkEnd w:id="1580"/>
    </w:p>
    <w:bookmarkEnd w:id="1581"/>
    <w:bookmarkEnd w:id="1582"/>
    <w:bookmarkEnd w:id="1583"/>
    <w:bookmarkEnd w:id="1584"/>
    <w:bookmarkEnd w:id="1585"/>
    <w:bookmarkEnd w:id="1586"/>
    <w:p w14:paraId="66F98238">
      <w:pPr>
        <w:spacing w:line="360" w:lineRule="auto"/>
        <w:ind w:firstLine="420" w:firstLineChars="200"/>
        <w:jc w:val="left"/>
        <w:rPr>
          <w:rFonts w:ascii="宋体" w:hAnsi="宋体"/>
          <w:szCs w:val="21"/>
        </w:rPr>
      </w:pPr>
      <w:r>
        <w:rPr>
          <w:rFonts w:hint="eastAsia" w:ascii="宋体" w:hAnsi="宋体"/>
          <w:szCs w:val="21"/>
        </w:rPr>
        <w:t>1、单价合同。</w:t>
      </w:r>
    </w:p>
    <w:p w14:paraId="4AE9C62E">
      <w:pPr>
        <w:spacing w:line="360" w:lineRule="auto"/>
        <w:ind w:firstLine="420" w:firstLineChars="200"/>
        <w:jc w:val="left"/>
        <w:rPr>
          <w:rFonts w:ascii="宋体" w:hAnsi="宋体"/>
          <w:szCs w:val="21"/>
          <w:u w:val="single"/>
        </w:rPr>
      </w:pPr>
      <w:r>
        <w:rPr>
          <w:rFonts w:hint="eastAsia" w:ascii="宋体" w:hAnsi="宋体"/>
          <w:szCs w:val="21"/>
        </w:rPr>
        <w:t>综合单价包含的风险范围：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包括但不限于为实施和完成合同工程所需的人工费、材料费、施工机具使用费、企业管理费、利润、风险费、施工技术措施项目费、施工组织措施项目费及缺陷修复等费用，以及</w:t>
      </w:r>
      <w:bookmarkStart w:id="1587" w:name="_Hlk528508096"/>
      <w:r>
        <w:rPr>
          <w:rFonts w:hint="eastAsia" w:ascii="宋体" w:hAnsi="宋体"/>
          <w:szCs w:val="21"/>
          <w:u w:val="single"/>
        </w:rPr>
        <w:t>第11.1款〔市场价格波动引起的调整〕约定范围内的市场价格波动风险、政策性文件规定的各项应有费用、</w:t>
      </w:r>
      <w:bookmarkEnd w:id="1587"/>
      <w:r>
        <w:rPr>
          <w:rFonts w:hint="eastAsia" w:ascii="宋体" w:hAnsi="宋体"/>
          <w:szCs w:val="21"/>
          <w:u w:val="single"/>
        </w:rPr>
        <w:t>采购文件和合同明示或暗示的应由承包人承担的所有责任、义务和风险等所需的费用</w:t>
      </w:r>
      <w:r>
        <w:rPr>
          <w:rFonts w:hint="eastAsia" w:ascii="宋体" w:hAnsi="宋体"/>
          <w:szCs w:val="21"/>
        </w:rPr>
        <w:t>。</w:t>
      </w:r>
    </w:p>
    <w:p w14:paraId="1749CE45">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5A489568">
      <w:pPr>
        <w:spacing w:line="360" w:lineRule="auto"/>
        <w:ind w:firstLine="420" w:firstLineChars="200"/>
        <w:jc w:val="left"/>
        <w:rPr>
          <w:rFonts w:ascii="宋体" w:hAnsi="宋体"/>
          <w:szCs w:val="21"/>
          <w:u w:val="single"/>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2C0C7291">
      <w:pPr>
        <w:spacing w:line="360" w:lineRule="auto"/>
        <w:ind w:firstLine="420" w:firstLineChars="200"/>
        <w:jc w:val="left"/>
        <w:rPr>
          <w:rFonts w:ascii="宋体" w:hAnsi="宋体"/>
          <w:szCs w:val="21"/>
        </w:rPr>
      </w:pPr>
      <w:r>
        <w:rPr>
          <w:rFonts w:hint="eastAsia" w:ascii="宋体" w:hAnsi="宋体"/>
          <w:szCs w:val="21"/>
        </w:rPr>
        <w:t>2、总价合同。</w:t>
      </w:r>
    </w:p>
    <w:p w14:paraId="79C4E34F">
      <w:pPr>
        <w:spacing w:line="360" w:lineRule="auto"/>
        <w:ind w:firstLine="420" w:firstLineChars="200"/>
        <w:jc w:val="left"/>
        <w:rPr>
          <w:rFonts w:ascii="宋体" w:hAnsi="宋体"/>
          <w:szCs w:val="21"/>
          <w:u w:val="single"/>
        </w:rPr>
      </w:pPr>
      <w:r>
        <w:rPr>
          <w:rFonts w:hint="eastAsia" w:ascii="宋体" w:hAnsi="宋体"/>
          <w:szCs w:val="21"/>
        </w:rPr>
        <w:t>总价包含的风险范围：</w:t>
      </w:r>
      <w:r>
        <w:rPr>
          <w:rFonts w:hint="eastAsia" w:ascii="宋体" w:hAnsi="宋体"/>
          <w:szCs w:val="21"/>
          <w:u w:val="single"/>
        </w:rPr>
        <w:t>包括但不限于为实施和完成合同工程所需的人工费、材料费、施工机具使用费、企业管理费、利润、风险费、施工技术措施项目费、施工组织措施项目费、总承包服务费、规费和税金及缺陷修复等费用，以及第11.1款〔市场价格波动引起的调整〕约定范围内的市场价格波动风险、政策性文件规定的各项应有费用、采购文件和合同明示或暗示的应由承包人承担的所有责任、义务和风险等所需的费用</w:t>
      </w:r>
      <w:r>
        <w:rPr>
          <w:rFonts w:hint="eastAsia" w:ascii="宋体" w:hAnsi="宋体"/>
          <w:szCs w:val="21"/>
        </w:rPr>
        <w:t>。</w:t>
      </w:r>
    </w:p>
    <w:p w14:paraId="1262D42C">
      <w:pPr>
        <w:spacing w:line="360" w:lineRule="auto"/>
        <w:ind w:firstLine="420" w:firstLineChars="200"/>
        <w:jc w:val="left"/>
        <w:rPr>
          <w:rFonts w:ascii="宋体" w:hAnsi="宋体"/>
          <w:szCs w:val="21"/>
          <w:u w:val="single"/>
        </w:rPr>
      </w:pPr>
      <w:r>
        <w:rPr>
          <w:rFonts w:hint="eastAsia" w:ascii="宋体" w:hAnsi="宋体"/>
          <w:szCs w:val="21"/>
        </w:rPr>
        <w:t>风险费用的计算方法：</w:t>
      </w:r>
      <w:r>
        <w:rPr>
          <w:rFonts w:hint="eastAsia" w:ascii="宋体" w:hAnsi="宋体"/>
          <w:szCs w:val="21"/>
          <w:u w:val="single"/>
        </w:rPr>
        <w:t>由承包人自行考虑并计入签约合同价格中，包干使用</w:t>
      </w:r>
      <w:r>
        <w:rPr>
          <w:rFonts w:hint="eastAsia" w:ascii="宋体" w:hAnsi="宋体"/>
          <w:szCs w:val="21"/>
        </w:rPr>
        <w:t>。</w:t>
      </w:r>
    </w:p>
    <w:p w14:paraId="75106E6E">
      <w:pPr>
        <w:spacing w:line="360" w:lineRule="auto"/>
        <w:ind w:firstLine="420" w:firstLineChars="200"/>
        <w:jc w:val="left"/>
        <w:rPr>
          <w:rFonts w:ascii="宋体" w:hAnsi="宋体"/>
          <w:szCs w:val="21"/>
        </w:rPr>
      </w:pPr>
      <w:r>
        <w:rPr>
          <w:rFonts w:hint="eastAsia" w:ascii="宋体" w:hAnsi="宋体"/>
          <w:szCs w:val="21"/>
        </w:rPr>
        <w:t>风险范围以外合同价格的调整方法：</w:t>
      </w:r>
      <w:r>
        <w:rPr>
          <w:rFonts w:hint="eastAsia" w:ascii="宋体" w:hAnsi="宋体"/>
          <w:szCs w:val="21"/>
          <w:u w:val="single"/>
        </w:rPr>
        <w:t>按照合同相关条款约定执行</w:t>
      </w:r>
      <w:r>
        <w:rPr>
          <w:rFonts w:hint="eastAsia" w:ascii="宋体" w:hAnsi="宋体"/>
          <w:szCs w:val="21"/>
        </w:rPr>
        <w:t>。</w:t>
      </w:r>
    </w:p>
    <w:p w14:paraId="794FAD53">
      <w:pPr>
        <w:spacing w:line="360" w:lineRule="auto"/>
        <w:ind w:firstLine="420" w:firstLineChars="200"/>
        <w:jc w:val="left"/>
        <w:rPr>
          <w:rFonts w:ascii="宋体" w:hAnsi="宋体"/>
          <w:szCs w:val="21"/>
        </w:rPr>
      </w:pPr>
      <w:r>
        <w:rPr>
          <w:rFonts w:hint="eastAsia" w:ascii="宋体" w:hAnsi="宋体"/>
          <w:szCs w:val="21"/>
        </w:rPr>
        <w:t>3、其他价格方式：</w:t>
      </w:r>
      <w:r>
        <w:rPr>
          <w:rFonts w:hint="eastAsia" w:ascii="宋体" w:hAnsi="宋体"/>
          <w:szCs w:val="21"/>
          <w:u w:val="single"/>
        </w:rPr>
        <w:t>不采用</w:t>
      </w:r>
      <w:r>
        <w:rPr>
          <w:rFonts w:hint="eastAsia" w:ascii="宋体" w:hAnsi="宋体"/>
          <w:szCs w:val="21"/>
        </w:rPr>
        <w:t>。</w:t>
      </w:r>
    </w:p>
    <w:p w14:paraId="2485B45C">
      <w:pPr>
        <w:pStyle w:val="7"/>
        <w:spacing w:before="0" w:beforeAutospacing="0" w:after="0" w:afterAutospacing="0" w:line="360" w:lineRule="auto"/>
        <w:ind w:firstLine="422" w:firstLineChars="200"/>
        <w:rPr>
          <w:sz w:val="21"/>
          <w:szCs w:val="21"/>
        </w:rPr>
      </w:pPr>
      <w:bookmarkStart w:id="1588" w:name="_Toc532375648"/>
      <w:bookmarkStart w:id="1589" w:name="_Toc532377384"/>
      <w:bookmarkStart w:id="1590" w:name="_Toc297123554"/>
      <w:bookmarkStart w:id="1591" w:name="_Toc304295581"/>
      <w:bookmarkStart w:id="1592" w:name="_Toc297216213"/>
      <w:bookmarkStart w:id="1593" w:name="_Toc300935004"/>
      <w:bookmarkStart w:id="1594" w:name="_Toc312678042"/>
      <w:bookmarkStart w:id="1595" w:name="_Toc303539161"/>
      <w:bookmarkStart w:id="1596" w:name="_Toc292559917"/>
      <w:bookmarkStart w:id="1597" w:name="_Toc296503207"/>
      <w:bookmarkStart w:id="1598" w:name="_Toc296891247"/>
      <w:bookmarkStart w:id="1599" w:name="_Toc297048393"/>
      <w:bookmarkStart w:id="1600" w:name="_Toc296346708"/>
      <w:bookmarkStart w:id="1601" w:name="_Toc297120507"/>
      <w:bookmarkStart w:id="1602" w:name="_Toc296944546"/>
      <w:bookmarkStart w:id="1603" w:name="_Toc296891035"/>
      <w:bookmarkStart w:id="1604" w:name="_Toc292559412"/>
      <w:bookmarkStart w:id="1605" w:name="_Toc296347206"/>
      <w:r>
        <w:rPr>
          <w:rFonts w:hint="eastAsia"/>
          <w:sz w:val="21"/>
          <w:szCs w:val="21"/>
        </w:rPr>
        <w:t>12.2 预付款</w:t>
      </w:r>
      <w:bookmarkEnd w:id="1588"/>
      <w:bookmarkEnd w:id="1589"/>
    </w:p>
    <w:bookmarkEnd w:id="1590"/>
    <w:bookmarkEnd w:id="1591"/>
    <w:bookmarkEnd w:id="1592"/>
    <w:bookmarkEnd w:id="1593"/>
    <w:bookmarkEnd w:id="1594"/>
    <w:bookmarkEnd w:id="1595"/>
    <w:p w14:paraId="563E042A">
      <w:pPr>
        <w:spacing w:line="360" w:lineRule="auto"/>
        <w:ind w:firstLine="420" w:firstLineChars="200"/>
        <w:jc w:val="left"/>
        <w:rPr>
          <w:rFonts w:ascii="宋体" w:hAnsi="宋体"/>
          <w:szCs w:val="21"/>
        </w:rPr>
      </w:pPr>
      <w:r>
        <w:rPr>
          <w:rFonts w:hint="eastAsia" w:ascii="宋体" w:hAnsi="宋体"/>
          <w:szCs w:val="21"/>
        </w:rPr>
        <w:t>12.2.1 预付款的支付：无。</w:t>
      </w:r>
    </w:p>
    <w:bookmarkEnd w:id="1596"/>
    <w:bookmarkEnd w:id="1597"/>
    <w:bookmarkEnd w:id="1598"/>
    <w:bookmarkEnd w:id="1599"/>
    <w:bookmarkEnd w:id="1600"/>
    <w:bookmarkEnd w:id="1601"/>
    <w:bookmarkEnd w:id="1602"/>
    <w:bookmarkEnd w:id="1603"/>
    <w:bookmarkEnd w:id="1604"/>
    <w:bookmarkEnd w:id="1605"/>
    <w:p w14:paraId="63B3BF56">
      <w:pPr>
        <w:pStyle w:val="7"/>
        <w:spacing w:before="0" w:beforeAutospacing="0" w:after="0" w:afterAutospacing="0" w:line="360" w:lineRule="auto"/>
        <w:ind w:firstLine="422" w:firstLineChars="200"/>
        <w:rPr>
          <w:sz w:val="21"/>
          <w:szCs w:val="21"/>
        </w:rPr>
      </w:pPr>
      <w:bookmarkStart w:id="1606" w:name="_Toc532377385"/>
      <w:bookmarkStart w:id="1607" w:name="_Toc532375649"/>
      <w:r>
        <w:rPr>
          <w:rFonts w:hint="eastAsia"/>
          <w:sz w:val="21"/>
          <w:szCs w:val="21"/>
        </w:rPr>
        <w:t>12.3 计量</w:t>
      </w:r>
      <w:bookmarkEnd w:id="1606"/>
      <w:bookmarkEnd w:id="1607"/>
    </w:p>
    <w:p w14:paraId="0602BC75">
      <w:pPr>
        <w:spacing w:line="360" w:lineRule="auto"/>
        <w:ind w:firstLine="420" w:firstLineChars="200"/>
        <w:jc w:val="left"/>
        <w:rPr>
          <w:rFonts w:ascii="宋体" w:hAnsi="宋体"/>
          <w:szCs w:val="21"/>
        </w:rPr>
      </w:pPr>
      <w:bookmarkStart w:id="1608" w:name="_Hlk528928260"/>
      <w:r>
        <w:rPr>
          <w:rFonts w:hint="eastAsia" w:ascii="宋体" w:hAnsi="宋体"/>
          <w:szCs w:val="21"/>
        </w:rPr>
        <w:t>12.3.1 计量原则</w:t>
      </w:r>
    </w:p>
    <w:p w14:paraId="64B936E1">
      <w:pPr>
        <w:tabs>
          <w:tab w:val="left" w:pos="1134"/>
        </w:tabs>
        <w:spacing w:line="360" w:lineRule="auto"/>
        <w:ind w:firstLine="420" w:firstLineChars="200"/>
        <w:jc w:val="left"/>
        <w:rPr>
          <w:rFonts w:ascii="宋体" w:hAnsi="宋体"/>
          <w:szCs w:val="21"/>
        </w:rPr>
      </w:pPr>
      <w:r>
        <w:rPr>
          <w:rFonts w:hint="eastAsia" w:ascii="宋体" w:hAnsi="宋体"/>
          <w:szCs w:val="21"/>
        </w:rPr>
        <w:t>工程量按《房屋建筑与装饰工程工程量计算规范》（GB50854-2013）、《仿古建筑工程工程量计算规范》（GB50855-2013）、《通用安装工程工程量计算规范》（GB50856-2013）、《市政工程工程量计算规范》（GB50857-2013）、《园林绿化工程工程量计算规范》（GB50858-2013）、《矿山工程工程量计算规范》（GB50859-2013）、《构筑物工程工程量计算规范》（GB50860-2013）、《城市轨道交通工程工程量计算规范》（GB50861-2013）和《爆破工程工程量计算规范》（GB50862-2013）《重庆市建设工程工程量清单计价规则》（CQJJGZ-2013）、《重庆市建设工程工程量计算规则》（CQJLGZ-2013）等规定的计算规则及已标价工程量清单规定的工程量计算规则计量。</w:t>
      </w:r>
    </w:p>
    <w:bookmarkEnd w:id="1608"/>
    <w:p w14:paraId="37AB376C">
      <w:pPr>
        <w:spacing w:line="360" w:lineRule="auto"/>
        <w:ind w:firstLine="420" w:firstLineChars="200"/>
        <w:jc w:val="left"/>
        <w:rPr>
          <w:rFonts w:ascii="宋体" w:hAnsi="宋体"/>
          <w:szCs w:val="21"/>
        </w:rPr>
      </w:pPr>
      <w:r>
        <w:rPr>
          <w:rFonts w:hint="eastAsia" w:ascii="宋体" w:hAnsi="宋体"/>
          <w:szCs w:val="21"/>
        </w:rPr>
        <w:t>12.3.2 计量周期</w:t>
      </w:r>
    </w:p>
    <w:p w14:paraId="74D4095B">
      <w:pPr>
        <w:spacing w:line="360" w:lineRule="auto"/>
        <w:ind w:firstLine="420" w:firstLineChars="200"/>
        <w:jc w:val="left"/>
        <w:rPr>
          <w:rFonts w:ascii="宋体" w:hAnsi="宋体"/>
          <w:szCs w:val="21"/>
        </w:rPr>
      </w:pPr>
      <w:r>
        <w:rPr>
          <w:rFonts w:hint="eastAsia" w:ascii="宋体" w:hAnsi="宋体"/>
          <w:szCs w:val="21"/>
        </w:rPr>
        <w:t>关于计量周期的约定：</w:t>
      </w:r>
      <w:r>
        <w:rPr>
          <w:rFonts w:hint="eastAsia" w:ascii="宋体" w:hAnsi="宋体"/>
          <w:szCs w:val="21"/>
          <w:u w:val="single"/>
        </w:rPr>
        <w:t>按月计量根据具体项目实际情况可以按月、按进度、按节点等形式计量，按进度、按节点计量的参考按月计量原则执行）</w:t>
      </w:r>
      <w:r>
        <w:rPr>
          <w:rFonts w:hint="eastAsia" w:ascii="宋体" w:hAnsi="宋体"/>
          <w:szCs w:val="21"/>
        </w:rPr>
        <w:t>。</w:t>
      </w:r>
    </w:p>
    <w:p w14:paraId="5D3C4E5D">
      <w:pPr>
        <w:spacing w:line="360" w:lineRule="auto"/>
        <w:ind w:firstLine="420" w:firstLineChars="200"/>
        <w:jc w:val="left"/>
        <w:rPr>
          <w:rFonts w:ascii="宋体" w:hAnsi="宋体"/>
          <w:szCs w:val="21"/>
        </w:rPr>
      </w:pPr>
      <w:r>
        <w:rPr>
          <w:rFonts w:hint="eastAsia" w:ascii="宋体" w:hAnsi="宋体"/>
          <w:szCs w:val="21"/>
        </w:rPr>
        <w:t>12.3.3 单价合同的计量</w:t>
      </w:r>
    </w:p>
    <w:p w14:paraId="6AEEC7E4">
      <w:pPr>
        <w:spacing w:line="360" w:lineRule="auto"/>
        <w:ind w:firstLine="420" w:firstLineChars="200"/>
        <w:jc w:val="left"/>
        <w:rPr>
          <w:rFonts w:ascii="宋体" w:hAnsi="宋体"/>
          <w:szCs w:val="21"/>
        </w:rPr>
      </w:pPr>
      <w:r>
        <w:rPr>
          <w:rFonts w:hint="eastAsia" w:ascii="宋体" w:hAnsi="宋体"/>
          <w:szCs w:val="21"/>
        </w:rPr>
        <w:t>关于单价合同计量的约定：</w:t>
      </w:r>
    </w:p>
    <w:p w14:paraId="262A6DF3">
      <w:pPr>
        <w:spacing w:line="360" w:lineRule="auto"/>
        <w:ind w:firstLine="420" w:firstLineChars="200"/>
        <w:jc w:val="left"/>
        <w:rPr>
          <w:rFonts w:ascii="宋体" w:hAnsi="宋体"/>
          <w:szCs w:val="21"/>
          <w:u w:val="single"/>
        </w:rPr>
      </w:pPr>
      <w:bookmarkStart w:id="1609" w:name="_Hlk528926162"/>
      <w:r>
        <w:rPr>
          <w:rFonts w:hint="eastAsia" w:ascii="宋体" w:hAnsi="宋体"/>
          <w:szCs w:val="21"/>
          <w:u w:val="single"/>
        </w:rPr>
        <w:t>（1）承包人应于当月  日前向监理人报送上月已完成的工程量，并附进度付款申请单、已完成工程量报表和其他有关资料</w:t>
      </w:r>
      <w:r>
        <w:rPr>
          <w:rFonts w:hint="eastAsia" w:ascii="宋体" w:hAnsi="宋体"/>
          <w:szCs w:val="21"/>
        </w:rPr>
        <w:t>。</w:t>
      </w:r>
    </w:p>
    <w:bookmarkEnd w:id="1609"/>
    <w:p w14:paraId="51D5BDA7">
      <w:pPr>
        <w:spacing w:line="360" w:lineRule="auto"/>
        <w:ind w:firstLine="420" w:firstLineChars="200"/>
        <w:jc w:val="left"/>
        <w:rPr>
          <w:rFonts w:ascii="宋体" w:hAnsi="宋体"/>
          <w:szCs w:val="21"/>
          <w:u w:val="single"/>
        </w:rPr>
      </w:pPr>
      <w:r>
        <w:rPr>
          <w:rFonts w:hint="eastAsia" w:ascii="宋体" w:hAnsi="宋体"/>
          <w:szCs w:val="21"/>
          <w:u w:val="single"/>
        </w:rPr>
        <w:t>（2）承包人未在已标价的工程量清单中填入单价和（或）总价的子目，视为该子目的费用已包含合同工程的其他子目的单价或总价中，不再另行计量支付</w:t>
      </w:r>
      <w:r>
        <w:rPr>
          <w:rFonts w:hint="eastAsia" w:ascii="宋体" w:hAnsi="宋体"/>
          <w:szCs w:val="21"/>
        </w:rPr>
        <w:t>。</w:t>
      </w:r>
    </w:p>
    <w:p w14:paraId="2E0241F8">
      <w:pPr>
        <w:spacing w:line="360" w:lineRule="auto"/>
        <w:ind w:firstLine="420" w:firstLineChars="200"/>
        <w:jc w:val="left"/>
        <w:rPr>
          <w:rFonts w:ascii="宋体" w:hAnsi="宋体"/>
          <w:szCs w:val="21"/>
          <w:u w:val="single"/>
        </w:rPr>
      </w:pPr>
      <w:r>
        <w:rPr>
          <w:rFonts w:hint="eastAsia" w:ascii="宋体" w:hAnsi="宋体"/>
          <w:szCs w:val="21"/>
          <w:u w:val="single"/>
        </w:rPr>
        <w:t>（3）监理人应在收到承包人提交的工程量报表后7天内完成对承包人提交的工程量报表的审核并报送发包人；发包人收到监理人报送资料后7天内完成审批，以确定当月实际完成的工程量。监理人、跟审单位、发包人任一方对工程量有异议的，均有权要求承包人进行共同复核或抽样复测。承包人应协助监理人、跟审单位进行复核或抽样复测，并按监理人要求提供补充计量资料。承包人未按监理人要求参加复核或抽样复测的，监理人复核或修正的工程量视为承包人实际完成的工程量</w:t>
      </w:r>
      <w:r>
        <w:rPr>
          <w:rFonts w:hint="eastAsia" w:ascii="宋体" w:hAnsi="宋体"/>
          <w:szCs w:val="21"/>
        </w:rPr>
        <w:t>。</w:t>
      </w:r>
    </w:p>
    <w:p w14:paraId="411F0740">
      <w:pPr>
        <w:spacing w:line="360" w:lineRule="auto"/>
        <w:ind w:firstLine="420" w:firstLineChars="200"/>
        <w:jc w:val="left"/>
        <w:rPr>
          <w:rFonts w:ascii="宋体" w:hAnsi="宋体"/>
          <w:szCs w:val="21"/>
          <w:u w:val="single"/>
        </w:rPr>
      </w:pPr>
      <w:r>
        <w:rPr>
          <w:rFonts w:hint="eastAsia" w:ascii="宋体" w:hAnsi="宋体"/>
          <w:szCs w:val="21"/>
          <w:u w:val="single"/>
        </w:rPr>
        <w:t>（4）工程量的计量仅作为进度付款和工程施工进度控制的依据，不应认为是承包人履行合同义务完成工程的实际和准确的工程量，实际和准确工程量按竣工图和第12.3.1项〔计量原则〕约定确认的工程量为准</w:t>
      </w:r>
      <w:r>
        <w:rPr>
          <w:rFonts w:hint="eastAsia" w:ascii="宋体" w:hAnsi="宋体"/>
          <w:szCs w:val="21"/>
        </w:rPr>
        <w:t>。</w:t>
      </w:r>
    </w:p>
    <w:p w14:paraId="088FA484">
      <w:pPr>
        <w:spacing w:line="360" w:lineRule="auto"/>
        <w:ind w:firstLine="420" w:firstLineChars="200"/>
        <w:jc w:val="left"/>
        <w:rPr>
          <w:rFonts w:ascii="宋体" w:hAnsi="宋体"/>
          <w:szCs w:val="21"/>
        </w:rPr>
      </w:pPr>
      <w:r>
        <w:rPr>
          <w:rFonts w:hint="eastAsia" w:ascii="宋体" w:hAnsi="宋体"/>
          <w:szCs w:val="21"/>
        </w:rPr>
        <w:t>12.3.4 总价合同的计量</w:t>
      </w:r>
    </w:p>
    <w:p w14:paraId="76A59B41">
      <w:pPr>
        <w:spacing w:line="360" w:lineRule="auto"/>
        <w:ind w:firstLine="420" w:firstLineChars="200"/>
        <w:jc w:val="left"/>
        <w:rPr>
          <w:rFonts w:ascii="宋体" w:hAnsi="宋体"/>
          <w:szCs w:val="21"/>
        </w:rPr>
      </w:pPr>
      <w:r>
        <w:rPr>
          <w:rFonts w:hint="eastAsia" w:ascii="宋体" w:hAnsi="宋体"/>
          <w:szCs w:val="21"/>
        </w:rPr>
        <w:t>关于总价合同计量的约定：</w:t>
      </w:r>
      <w:r>
        <w:rPr>
          <w:rFonts w:hint="eastAsia" w:ascii="宋体" w:hAnsi="宋体"/>
          <w:szCs w:val="21"/>
          <w:u w:val="single"/>
        </w:rPr>
        <w:t>按形象进度比例支付</w:t>
      </w:r>
      <w:r>
        <w:rPr>
          <w:rFonts w:hint="eastAsia" w:ascii="宋体" w:hAnsi="宋体"/>
          <w:szCs w:val="21"/>
        </w:rPr>
        <w:t>。</w:t>
      </w:r>
    </w:p>
    <w:p w14:paraId="715871F2">
      <w:pPr>
        <w:spacing w:line="360" w:lineRule="auto"/>
        <w:ind w:firstLine="420" w:firstLineChars="200"/>
        <w:jc w:val="left"/>
        <w:rPr>
          <w:rFonts w:ascii="宋体" w:hAnsi="宋体"/>
          <w:szCs w:val="21"/>
        </w:rPr>
      </w:pPr>
      <w:r>
        <w:rPr>
          <w:rFonts w:hint="eastAsia" w:ascii="宋体" w:hAnsi="宋体"/>
          <w:szCs w:val="21"/>
        </w:rPr>
        <w:t>12.3.5总价合同采用支付分解表计量支付的，是否适用第12.3.4项〔总价合同的计量〕约定进行计量：</w:t>
      </w:r>
      <w:r>
        <w:rPr>
          <w:rFonts w:hint="eastAsia" w:ascii="宋体" w:hAnsi="宋体"/>
          <w:szCs w:val="21"/>
          <w:u w:val="single"/>
        </w:rPr>
        <w:t>适用</w:t>
      </w:r>
      <w:r>
        <w:rPr>
          <w:rFonts w:hint="eastAsia" w:ascii="宋体" w:hAnsi="宋体"/>
          <w:szCs w:val="21"/>
        </w:rPr>
        <w:t>。</w:t>
      </w:r>
    </w:p>
    <w:p w14:paraId="09FD6193">
      <w:pPr>
        <w:spacing w:line="360" w:lineRule="auto"/>
        <w:ind w:firstLine="420" w:firstLineChars="200"/>
        <w:jc w:val="left"/>
        <w:rPr>
          <w:rFonts w:ascii="宋体" w:hAnsi="宋体"/>
          <w:szCs w:val="21"/>
        </w:rPr>
      </w:pPr>
      <w:r>
        <w:rPr>
          <w:rFonts w:hint="eastAsia" w:ascii="宋体" w:hAnsi="宋体"/>
          <w:szCs w:val="21"/>
        </w:rPr>
        <w:t>12.3.6 其他价格形式合同的计量</w:t>
      </w:r>
    </w:p>
    <w:p w14:paraId="19ED980D">
      <w:pPr>
        <w:spacing w:line="360" w:lineRule="auto"/>
        <w:ind w:firstLine="420" w:firstLineChars="200"/>
        <w:jc w:val="left"/>
        <w:rPr>
          <w:rFonts w:ascii="宋体" w:hAnsi="宋体"/>
          <w:szCs w:val="21"/>
        </w:rPr>
      </w:pPr>
      <w:r>
        <w:rPr>
          <w:rFonts w:hint="eastAsia" w:ascii="宋体" w:hAnsi="宋体"/>
          <w:szCs w:val="21"/>
        </w:rPr>
        <w:t>其他价格形式的计量方式和程序：</w:t>
      </w:r>
      <w:r>
        <w:rPr>
          <w:rFonts w:hint="eastAsia" w:ascii="宋体" w:hAnsi="宋体"/>
          <w:szCs w:val="21"/>
          <w:u w:val="single"/>
        </w:rPr>
        <w:t>不采用</w:t>
      </w:r>
      <w:r>
        <w:rPr>
          <w:rFonts w:hint="eastAsia" w:ascii="宋体" w:hAnsi="宋体"/>
          <w:szCs w:val="21"/>
        </w:rPr>
        <w:t>。</w:t>
      </w:r>
    </w:p>
    <w:p w14:paraId="7F32328E">
      <w:pPr>
        <w:pStyle w:val="7"/>
        <w:spacing w:before="0" w:beforeAutospacing="0" w:after="0" w:afterAutospacing="0" w:line="360" w:lineRule="auto"/>
        <w:ind w:firstLine="422" w:firstLineChars="200"/>
        <w:rPr>
          <w:sz w:val="21"/>
          <w:szCs w:val="21"/>
        </w:rPr>
      </w:pPr>
      <w:bookmarkStart w:id="1610" w:name="_Toc532375650"/>
      <w:bookmarkStart w:id="1611" w:name="_Toc532377386"/>
      <w:bookmarkStart w:id="1612" w:name="_Hlk528928289"/>
      <w:r>
        <w:rPr>
          <w:rFonts w:hint="eastAsia"/>
          <w:sz w:val="21"/>
          <w:szCs w:val="21"/>
        </w:rPr>
        <w:t>12.4 工程进度款支付</w:t>
      </w:r>
      <w:bookmarkEnd w:id="1610"/>
      <w:bookmarkEnd w:id="1611"/>
    </w:p>
    <w:bookmarkEnd w:id="1612"/>
    <w:p w14:paraId="01AC9169">
      <w:pPr>
        <w:spacing w:line="360" w:lineRule="auto"/>
        <w:ind w:firstLine="420" w:firstLineChars="200"/>
        <w:jc w:val="left"/>
        <w:rPr>
          <w:rFonts w:ascii="宋体" w:hAnsi="宋体"/>
          <w:szCs w:val="21"/>
        </w:rPr>
      </w:pPr>
      <w:r>
        <w:rPr>
          <w:rFonts w:hint="eastAsia" w:ascii="宋体" w:hAnsi="宋体"/>
          <w:szCs w:val="21"/>
        </w:rPr>
        <w:t>12.4.1 付款周期</w:t>
      </w:r>
    </w:p>
    <w:p w14:paraId="6DB34260">
      <w:pPr>
        <w:spacing w:line="360" w:lineRule="auto"/>
        <w:ind w:firstLine="420" w:firstLineChars="200"/>
        <w:jc w:val="left"/>
        <w:rPr>
          <w:rFonts w:ascii="宋体" w:hAnsi="宋体"/>
          <w:szCs w:val="21"/>
        </w:rPr>
      </w:pPr>
      <w:r>
        <w:rPr>
          <w:rFonts w:hint="eastAsia" w:ascii="宋体" w:hAnsi="宋体"/>
          <w:szCs w:val="21"/>
        </w:rPr>
        <w:t>关于付款周期的约定：</w:t>
      </w:r>
      <w:r>
        <w:rPr>
          <w:rFonts w:hint="eastAsia" w:ascii="宋体" w:hAnsi="宋体"/>
          <w:szCs w:val="21"/>
          <w:u w:val="single"/>
        </w:rPr>
        <w:t>按月计量支付进度款（按进度、按节点计量支付进度款的参考按月计量支付进度款原则执行）</w:t>
      </w:r>
      <w:r>
        <w:rPr>
          <w:rFonts w:hint="eastAsia" w:ascii="宋体" w:hAnsi="宋体"/>
          <w:szCs w:val="21"/>
        </w:rPr>
        <w:t>。</w:t>
      </w:r>
    </w:p>
    <w:p w14:paraId="79F65DD1">
      <w:pPr>
        <w:spacing w:line="360" w:lineRule="auto"/>
        <w:ind w:firstLine="420" w:firstLineChars="200"/>
        <w:jc w:val="left"/>
        <w:rPr>
          <w:rFonts w:ascii="宋体" w:hAnsi="宋体"/>
          <w:szCs w:val="21"/>
        </w:rPr>
      </w:pPr>
      <w:r>
        <w:rPr>
          <w:rFonts w:hint="eastAsia" w:ascii="宋体" w:hAnsi="宋体"/>
          <w:szCs w:val="21"/>
        </w:rPr>
        <w:t>12.4.2 进度付款申请单的编制</w:t>
      </w:r>
    </w:p>
    <w:p w14:paraId="424A8E6A">
      <w:pPr>
        <w:spacing w:line="360" w:lineRule="auto"/>
        <w:ind w:firstLine="420" w:firstLineChars="200"/>
        <w:jc w:val="left"/>
        <w:rPr>
          <w:rFonts w:ascii="宋体" w:hAnsi="宋体"/>
          <w:szCs w:val="21"/>
        </w:rPr>
      </w:pPr>
      <w:r>
        <w:rPr>
          <w:rFonts w:hint="eastAsia" w:ascii="宋体" w:hAnsi="宋体"/>
          <w:szCs w:val="21"/>
        </w:rPr>
        <w:t>进度付款申请单应包括下列内容：</w:t>
      </w:r>
    </w:p>
    <w:p w14:paraId="38C20EB2">
      <w:pPr>
        <w:spacing w:line="360" w:lineRule="auto"/>
        <w:ind w:firstLine="420" w:firstLineChars="200"/>
        <w:jc w:val="left"/>
        <w:rPr>
          <w:rFonts w:ascii="宋体" w:hAnsi="宋体"/>
          <w:szCs w:val="21"/>
        </w:rPr>
      </w:pPr>
      <w:r>
        <w:rPr>
          <w:rFonts w:hint="eastAsia" w:ascii="宋体" w:hAnsi="宋体"/>
          <w:szCs w:val="21"/>
          <w:u w:val="single"/>
        </w:rPr>
        <w:t>（1）截至本次付款周期已完成工作对应的金额</w:t>
      </w:r>
      <w:r>
        <w:rPr>
          <w:rFonts w:hint="eastAsia" w:ascii="宋体" w:hAnsi="宋体"/>
          <w:szCs w:val="21"/>
        </w:rPr>
        <w:t>；</w:t>
      </w:r>
    </w:p>
    <w:p w14:paraId="421E4931">
      <w:pPr>
        <w:spacing w:line="360" w:lineRule="auto"/>
        <w:ind w:firstLine="420" w:firstLineChars="200"/>
        <w:jc w:val="left"/>
        <w:rPr>
          <w:rFonts w:ascii="宋体" w:hAnsi="宋体"/>
          <w:szCs w:val="21"/>
        </w:rPr>
      </w:pPr>
      <w:r>
        <w:rPr>
          <w:rFonts w:hint="eastAsia" w:ascii="宋体" w:hAnsi="宋体"/>
          <w:szCs w:val="21"/>
          <w:u w:val="single"/>
        </w:rPr>
        <w:t>（2）根据第10条〔变更〕应增加和扣减的已审定变更金额</w:t>
      </w:r>
      <w:r>
        <w:rPr>
          <w:rFonts w:hint="eastAsia" w:ascii="宋体" w:hAnsi="宋体"/>
          <w:szCs w:val="21"/>
        </w:rPr>
        <w:t>；</w:t>
      </w:r>
    </w:p>
    <w:p w14:paraId="7513D18F">
      <w:pPr>
        <w:spacing w:line="360" w:lineRule="auto"/>
        <w:ind w:firstLine="420" w:firstLineChars="200"/>
        <w:jc w:val="left"/>
        <w:rPr>
          <w:rFonts w:ascii="宋体" w:hAnsi="宋体"/>
          <w:szCs w:val="21"/>
        </w:rPr>
      </w:pPr>
      <w:r>
        <w:rPr>
          <w:rFonts w:hint="eastAsia" w:ascii="宋体" w:hAnsi="宋体"/>
          <w:szCs w:val="21"/>
          <w:u w:val="single"/>
        </w:rPr>
        <w:t>（3）根据第12.2款〔预付款〕约定应支付的预付款和扣减的返还预付款</w:t>
      </w:r>
      <w:r>
        <w:rPr>
          <w:rFonts w:hint="eastAsia" w:ascii="宋体" w:hAnsi="宋体"/>
          <w:szCs w:val="21"/>
        </w:rPr>
        <w:t>；</w:t>
      </w:r>
    </w:p>
    <w:p w14:paraId="07F637AE">
      <w:pPr>
        <w:spacing w:line="360" w:lineRule="auto"/>
        <w:ind w:firstLine="420" w:firstLineChars="200"/>
        <w:jc w:val="left"/>
        <w:rPr>
          <w:rFonts w:ascii="宋体" w:hAnsi="宋体"/>
          <w:szCs w:val="21"/>
        </w:rPr>
      </w:pPr>
      <w:r>
        <w:rPr>
          <w:rFonts w:hint="eastAsia" w:ascii="宋体" w:hAnsi="宋体"/>
          <w:szCs w:val="21"/>
          <w:u w:val="single"/>
        </w:rPr>
        <w:t>（4）根据第15.3款〔质量保证金〕约定应扣减的质量保证金</w:t>
      </w:r>
      <w:r>
        <w:rPr>
          <w:rFonts w:hint="eastAsia" w:ascii="宋体" w:hAnsi="宋体"/>
          <w:szCs w:val="21"/>
        </w:rPr>
        <w:t>；</w:t>
      </w:r>
    </w:p>
    <w:p w14:paraId="7DEDF5AF">
      <w:pPr>
        <w:spacing w:line="360" w:lineRule="auto"/>
        <w:ind w:firstLine="420" w:firstLineChars="200"/>
        <w:jc w:val="left"/>
        <w:rPr>
          <w:rFonts w:ascii="宋体" w:hAnsi="宋体"/>
          <w:szCs w:val="21"/>
        </w:rPr>
      </w:pPr>
      <w:r>
        <w:rPr>
          <w:rFonts w:hint="eastAsia" w:ascii="宋体" w:hAnsi="宋体"/>
          <w:szCs w:val="21"/>
          <w:u w:val="single"/>
        </w:rPr>
        <w:t>（5）根据第19条〔索赔〕应增加和扣减的已审定索赔金额</w:t>
      </w:r>
      <w:r>
        <w:rPr>
          <w:rFonts w:hint="eastAsia" w:ascii="宋体" w:hAnsi="宋体"/>
          <w:szCs w:val="21"/>
        </w:rPr>
        <w:t>；</w:t>
      </w:r>
    </w:p>
    <w:p w14:paraId="5834A21D">
      <w:pPr>
        <w:spacing w:line="360" w:lineRule="auto"/>
        <w:ind w:firstLine="420" w:firstLineChars="200"/>
        <w:jc w:val="left"/>
        <w:rPr>
          <w:rFonts w:ascii="宋体" w:hAnsi="宋体"/>
          <w:szCs w:val="21"/>
        </w:rPr>
      </w:pPr>
      <w:r>
        <w:rPr>
          <w:rFonts w:hint="eastAsia" w:ascii="宋体" w:hAnsi="宋体"/>
          <w:szCs w:val="21"/>
          <w:u w:val="single"/>
        </w:rPr>
        <w:t>（6）根据第11条〔价格调整〕应增加和扣减的价格调整金额</w:t>
      </w:r>
      <w:r>
        <w:rPr>
          <w:rFonts w:hint="eastAsia" w:ascii="宋体" w:hAnsi="宋体"/>
          <w:szCs w:val="21"/>
        </w:rPr>
        <w:t>；</w:t>
      </w:r>
    </w:p>
    <w:p w14:paraId="3C7EC0A2">
      <w:pPr>
        <w:spacing w:line="360" w:lineRule="auto"/>
        <w:ind w:firstLine="420" w:firstLineChars="200"/>
        <w:jc w:val="left"/>
        <w:rPr>
          <w:rFonts w:ascii="宋体" w:hAnsi="宋体"/>
          <w:szCs w:val="21"/>
        </w:rPr>
      </w:pPr>
      <w:r>
        <w:rPr>
          <w:rFonts w:hint="eastAsia" w:ascii="宋体" w:hAnsi="宋体"/>
          <w:szCs w:val="21"/>
          <w:u w:val="single"/>
        </w:rPr>
        <w:t>（7）对已签发的进度款支付证书中出现错误的修正，应在本次进度付款中支付或扣除的金额</w:t>
      </w:r>
      <w:r>
        <w:rPr>
          <w:rFonts w:hint="eastAsia" w:ascii="宋体" w:hAnsi="宋体"/>
          <w:szCs w:val="21"/>
        </w:rPr>
        <w:t>；</w:t>
      </w:r>
    </w:p>
    <w:p w14:paraId="24D53C41">
      <w:pPr>
        <w:spacing w:line="360" w:lineRule="auto"/>
        <w:ind w:firstLine="420" w:firstLineChars="200"/>
        <w:jc w:val="left"/>
        <w:rPr>
          <w:rFonts w:ascii="宋体" w:hAnsi="宋体"/>
          <w:szCs w:val="21"/>
        </w:rPr>
      </w:pPr>
      <w:r>
        <w:rPr>
          <w:rFonts w:hint="eastAsia" w:ascii="宋体" w:hAnsi="宋体"/>
          <w:szCs w:val="21"/>
          <w:u w:val="single"/>
        </w:rPr>
        <w:t>（8）根据合同约定承包人应向发包人支付的违约金</w:t>
      </w:r>
      <w:r>
        <w:rPr>
          <w:rFonts w:hint="eastAsia" w:ascii="宋体" w:hAnsi="宋体"/>
          <w:szCs w:val="21"/>
        </w:rPr>
        <w:t>；</w:t>
      </w:r>
    </w:p>
    <w:p w14:paraId="1D05E1AB">
      <w:pPr>
        <w:spacing w:line="360" w:lineRule="auto"/>
        <w:ind w:firstLine="420" w:firstLineChars="200"/>
        <w:jc w:val="left"/>
        <w:rPr>
          <w:rFonts w:ascii="宋体" w:hAnsi="宋体"/>
          <w:szCs w:val="21"/>
        </w:rPr>
      </w:pPr>
      <w:r>
        <w:rPr>
          <w:rFonts w:hint="eastAsia" w:ascii="宋体" w:hAnsi="宋体"/>
          <w:szCs w:val="21"/>
          <w:u w:val="single"/>
        </w:rPr>
        <w:t>（9）根据合同约定发包人应向承包人支付的违约金和（或）奖励</w:t>
      </w:r>
      <w:r>
        <w:rPr>
          <w:rFonts w:hint="eastAsia" w:ascii="宋体" w:hAnsi="宋体"/>
          <w:szCs w:val="21"/>
        </w:rPr>
        <w:t>；</w:t>
      </w:r>
    </w:p>
    <w:p w14:paraId="0ADE24BF">
      <w:pPr>
        <w:spacing w:line="360" w:lineRule="auto"/>
        <w:ind w:firstLine="420" w:firstLineChars="200"/>
        <w:jc w:val="left"/>
        <w:rPr>
          <w:rFonts w:ascii="宋体" w:hAnsi="宋体"/>
          <w:szCs w:val="21"/>
        </w:rPr>
      </w:pPr>
      <w:r>
        <w:rPr>
          <w:rFonts w:hint="eastAsia" w:ascii="宋体" w:hAnsi="宋体"/>
          <w:szCs w:val="21"/>
          <w:u w:val="single"/>
        </w:rPr>
        <w:t>（10）根据合同约定应增加和扣减的其他金额</w:t>
      </w:r>
      <w:r>
        <w:rPr>
          <w:rFonts w:hint="eastAsia" w:ascii="宋体" w:hAnsi="宋体"/>
          <w:szCs w:val="21"/>
        </w:rPr>
        <w:t>；</w:t>
      </w:r>
    </w:p>
    <w:p w14:paraId="0E3886D2">
      <w:pPr>
        <w:spacing w:line="360" w:lineRule="auto"/>
        <w:ind w:firstLine="420" w:firstLineChars="200"/>
        <w:jc w:val="left"/>
        <w:rPr>
          <w:rFonts w:ascii="宋体" w:hAnsi="宋体"/>
          <w:szCs w:val="21"/>
          <w:u w:val="single"/>
        </w:rPr>
      </w:pPr>
      <w:r>
        <w:rPr>
          <w:rFonts w:hint="eastAsia" w:ascii="宋体" w:hAnsi="宋体"/>
          <w:szCs w:val="21"/>
          <w:u w:val="single"/>
        </w:rPr>
        <w:t>（11）当月应支付的人工费（工资款）金额</w:t>
      </w:r>
      <w:r>
        <w:rPr>
          <w:rFonts w:hint="eastAsia" w:ascii="宋体" w:hAnsi="宋体"/>
          <w:szCs w:val="21"/>
        </w:rPr>
        <w:t>。</w:t>
      </w:r>
    </w:p>
    <w:p w14:paraId="748B3291">
      <w:pPr>
        <w:spacing w:line="360" w:lineRule="auto"/>
        <w:ind w:firstLine="420" w:firstLineChars="200"/>
        <w:jc w:val="left"/>
        <w:rPr>
          <w:rFonts w:ascii="宋体" w:hAnsi="宋体"/>
          <w:szCs w:val="21"/>
        </w:rPr>
      </w:pPr>
      <w:r>
        <w:rPr>
          <w:rFonts w:hint="eastAsia" w:ascii="宋体" w:hAnsi="宋体"/>
          <w:szCs w:val="21"/>
        </w:rPr>
        <w:t>12.4.3 进度付款申请单的提交</w:t>
      </w:r>
    </w:p>
    <w:p w14:paraId="1245448F">
      <w:pPr>
        <w:spacing w:line="360" w:lineRule="auto"/>
        <w:ind w:firstLine="420" w:firstLineChars="200"/>
        <w:jc w:val="left"/>
        <w:rPr>
          <w:rFonts w:ascii="宋体" w:hAnsi="宋体"/>
          <w:szCs w:val="21"/>
          <w:u w:val="single"/>
        </w:rPr>
      </w:pPr>
      <w:r>
        <w:rPr>
          <w:rFonts w:hint="eastAsia" w:ascii="宋体" w:hAnsi="宋体"/>
          <w:szCs w:val="21"/>
        </w:rPr>
        <w:t>（1）单价合同进度付款申请单提交的约定：</w:t>
      </w:r>
      <w:r>
        <w:rPr>
          <w:rFonts w:hint="eastAsia" w:ascii="宋体" w:hAnsi="宋体"/>
          <w:szCs w:val="21"/>
          <w:u w:val="single"/>
        </w:rPr>
        <w:t>按照第12.3.3项〔单价合同的计量〕约定的时间按月向监理人提交，并附上已完成工程量报表、经审核的农民工工资发放的情况说明及有关资料。单价合同中的总价子目按工程形象进度分月计量后汇总列入当期进度付款申请单</w:t>
      </w:r>
      <w:r>
        <w:rPr>
          <w:rFonts w:hint="eastAsia" w:ascii="宋体" w:hAnsi="宋体"/>
          <w:szCs w:val="21"/>
        </w:rPr>
        <w:t>。</w:t>
      </w:r>
    </w:p>
    <w:p w14:paraId="27486965">
      <w:pPr>
        <w:spacing w:line="360" w:lineRule="auto"/>
        <w:ind w:firstLine="420" w:firstLineChars="200"/>
        <w:jc w:val="left"/>
        <w:rPr>
          <w:rFonts w:ascii="宋体" w:hAnsi="宋体"/>
          <w:szCs w:val="21"/>
          <w:u w:val="single"/>
        </w:rPr>
      </w:pPr>
      <w:r>
        <w:rPr>
          <w:rFonts w:hint="eastAsia" w:ascii="宋体" w:hAnsi="宋体"/>
          <w:szCs w:val="21"/>
        </w:rPr>
        <w:t>（2）总价合同进度付款申请单提交的约定：</w:t>
      </w:r>
      <w:r>
        <w:rPr>
          <w:rFonts w:hint="eastAsia" w:ascii="宋体" w:hAnsi="宋体"/>
          <w:szCs w:val="21"/>
          <w:u w:val="single"/>
        </w:rPr>
        <w:t>按照合同约定的形象进度的计量约定的时间向监理人提交，并附上已完成工程量报表、经审核的农民工工资发放的情况说明及有关资料</w:t>
      </w:r>
      <w:r>
        <w:rPr>
          <w:rFonts w:hint="eastAsia" w:ascii="宋体" w:hAnsi="宋体"/>
          <w:szCs w:val="21"/>
        </w:rPr>
        <w:t>。</w:t>
      </w:r>
    </w:p>
    <w:p w14:paraId="30D22703">
      <w:pPr>
        <w:spacing w:line="360" w:lineRule="auto"/>
        <w:ind w:firstLine="420" w:firstLineChars="200"/>
        <w:jc w:val="left"/>
        <w:rPr>
          <w:rFonts w:ascii="宋体" w:hAnsi="宋体"/>
          <w:szCs w:val="21"/>
          <w:u w:val="single"/>
        </w:rPr>
      </w:pPr>
      <w:r>
        <w:rPr>
          <w:rFonts w:hint="eastAsia" w:ascii="宋体" w:hAnsi="宋体"/>
          <w:szCs w:val="21"/>
        </w:rPr>
        <w:t>（3）其他价格形式合同进度付款申请单提交的约定：</w:t>
      </w:r>
      <w:r>
        <w:rPr>
          <w:rFonts w:hint="eastAsia" w:ascii="宋体" w:hAnsi="宋体"/>
          <w:szCs w:val="21"/>
          <w:u w:val="single"/>
        </w:rPr>
        <w:t>不采用</w:t>
      </w:r>
      <w:r>
        <w:rPr>
          <w:rFonts w:hint="eastAsia" w:ascii="宋体" w:hAnsi="宋体"/>
          <w:szCs w:val="21"/>
        </w:rPr>
        <w:t>。</w:t>
      </w:r>
    </w:p>
    <w:p w14:paraId="26F49CD3">
      <w:pPr>
        <w:spacing w:line="360" w:lineRule="auto"/>
        <w:ind w:firstLine="420" w:firstLineChars="200"/>
        <w:jc w:val="left"/>
        <w:rPr>
          <w:rFonts w:ascii="宋体" w:hAnsi="宋体"/>
          <w:szCs w:val="21"/>
        </w:rPr>
      </w:pPr>
      <w:r>
        <w:rPr>
          <w:rFonts w:hint="eastAsia" w:ascii="宋体" w:hAnsi="宋体"/>
          <w:szCs w:val="21"/>
        </w:rPr>
        <w:t>12.4.4 进度款审核和支付</w:t>
      </w:r>
    </w:p>
    <w:p w14:paraId="134293F9">
      <w:pPr>
        <w:spacing w:line="360" w:lineRule="auto"/>
        <w:ind w:firstLine="420" w:firstLineChars="200"/>
        <w:jc w:val="left"/>
        <w:rPr>
          <w:rFonts w:ascii="宋体" w:hAnsi="宋体"/>
          <w:szCs w:val="21"/>
          <w:u w:val="single"/>
        </w:rPr>
      </w:pPr>
      <w:r>
        <w:rPr>
          <w:rFonts w:hint="eastAsia" w:ascii="宋体" w:hAnsi="宋体"/>
          <w:szCs w:val="21"/>
        </w:rPr>
        <w:t>（1）监理人审查并报送发包人的期限：</w:t>
      </w:r>
      <w:r>
        <w:rPr>
          <w:rFonts w:hint="eastAsia" w:ascii="宋体" w:hAnsi="宋体"/>
          <w:szCs w:val="21"/>
          <w:u w:val="single"/>
        </w:rPr>
        <w:t>收到完整资料后7天内</w:t>
      </w:r>
      <w:r>
        <w:rPr>
          <w:rFonts w:hint="eastAsia" w:ascii="宋体" w:hAnsi="宋体"/>
          <w:szCs w:val="21"/>
        </w:rPr>
        <w:t>。</w:t>
      </w:r>
    </w:p>
    <w:p w14:paraId="795F3BC8">
      <w:pPr>
        <w:spacing w:line="360" w:lineRule="auto"/>
        <w:ind w:firstLine="420" w:firstLineChars="200"/>
        <w:jc w:val="left"/>
        <w:rPr>
          <w:rFonts w:ascii="宋体" w:hAnsi="宋体"/>
          <w:szCs w:val="21"/>
          <w:u w:val="single"/>
        </w:rPr>
      </w:pPr>
      <w:r>
        <w:rPr>
          <w:rFonts w:hint="eastAsia" w:ascii="宋体" w:hAnsi="宋体"/>
          <w:szCs w:val="21"/>
        </w:rPr>
        <w:t>发包人完成审批并签发进度款支付证书的期限：</w:t>
      </w:r>
      <w:r>
        <w:rPr>
          <w:rFonts w:hint="eastAsia" w:ascii="宋体" w:hAnsi="宋体"/>
          <w:szCs w:val="21"/>
          <w:u w:val="single"/>
        </w:rPr>
        <w:t>发包人收到监理人报送资料后7天内完成审批并签发进度款支付证书</w:t>
      </w:r>
      <w:r>
        <w:rPr>
          <w:rFonts w:hint="eastAsia" w:ascii="宋体" w:hAnsi="宋体"/>
          <w:szCs w:val="21"/>
        </w:rPr>
        <w:t>。</w:t>
      </w:r>
    </w:p>
    <w:p w14:paraId="610211EE">
      <w:pPr>
        <w:spacing w:line="360" w:lineRule="auto"/>
        <w:ind w:firstLine="420" w:firstLineChars="200"/>
        <w:jc w:val="left"/>
        <w:rPr>
          <w:rFonts w:ascii="宋体" w:hAnsi="宋体"/>
          <w:szCs w:val="21"/>
          <w:u w:val="single"/>
        </w:rPr>
      </w:pPr>
      <w:r>
        <w:rPr>
          <w:rFonts w:hint="eastAsia" w:ascii="宋体" w:hAnsi="宋体"/>
          <w:szCs w:val="21"/>
          <w:u w:val="single"/>
        </w:rPr>
        <w:t>监理人、跟审单位和发包人中任一方对承包人的进度付款申请单有异议的，均有权要求承包人修正和提供补充资料，承包人应提交修正后的进度付款申请单。监理人应在收到承包人修正后的进度付款申请单及相关资料后7天内完成审查并报送发包人，发包人收到监理人报送资料后7天内完成审批并向承包人签发无异议部分的临时进度款支付证书。存在争议的部分，按照合同约定的争议解决的约定处理。</w:t>
      </w:r>
    </w:p>
    <w:p w14:paraId="2355B8E1">
      <w:pPr>
        <w:spacing w:line="360" w:lineRule="auto"/>
        <w:ind w:firstLine="420" w:firstLineChars="200"/>
        <w:jc w:val="left"/>
        <w:rPr>
          <w:rFonts w:ascii="宋体" w:hAnsi="宋体"/>
          <w:szCs w:val="21"/>
          <w:u w:val="single"/>
        </w:rPr>
      </w:pPr>
      <w:r>
        <w:rPr>
          <w:rFonts w:hint="eastAsia" w:ascii="宋体" w:hAnsi="宋体"/>
          <w:szCs w:val="21"/>
          <w:u w:val="single"/>
        </w:rPr>
        <w:t>发包人签发进度款支付证书或临时进度款支付证书，不表明发包人已同意、批准或接受了承包人完成的相应部分的工作。</w:t>
      </w:r>
    </w:p>
    <w:p w14:paraId="72017C31">
      <w:pPr>
        <w:spacing w:line="360" w:lineRule="auto"/>
        <w:ind w:firstLine="420" w:firstLineChars="200"/>
        <w:jc w:val="left"/>
        <w:rPr>
          <w:rFonts w:ascii="宋体" w:hAnsi="宋体"/>
          <w:szCs w:val="21"/>
        </w:rPr>
      </w:pPr>
      <w:r>
        <w:rPr>
          <w:rFonts w:hint="eastAsia" w:ascii="宋体" w:hAnsi="宋体"/>
          <w:szCs w:val="21"/>
        </w:rPr>
        <w:t>（2）进度款支付：</w:t>
      </w:r>
    </w:p>
    <w:p w14:paraId="74539FC2">
      <w:pPr>
        <w:spacing w:line="360" w:lineRule="auto"/>
        <w:ind w:firstLine="420" w:firstLineChars="200"/>
        <w:jc w:val="left"/>
        <w:rPr>
          <w:rFonts w:ascii="宋体" w:hAnsi="宋体"/>
          <w:szCs w:val="21"/>
          <w:u w:val="single"/>
        </w:rPr>
      </w:pPr>
      <w:r>
        <w:rPr>
          <w:rFonts w:hint="eastAsia" w:ascii="宋体" w:hAnsi="宋体"/>
          <w:szCs w:val="21"/>
        </w:rPr>
        <w:t>①安全文明施工费：</w:t>
      </w:r>
      <w:r>
        <w:rPr>
          <w:rFonts w:hint="eastAsia" w:ascii="宋体" w:hAnsi="宋体"/>
          <w:szCs w:val="21"/>
          <w:u w:val="single"/>
        </w:rPr>
        <w:t>合同签订后，发包人在开工前按签约合同价中安全文明施工费的50％支付承包人，用于现场安全文明施工建设，余下安全文明施工费按施工进度支付</w:t>
      </w:r>
      <w:r>
        <w:rPr>
          <w:rFonts w:hint="eastAsia" w:ascii="宋体" w:hAnsi="宋体"/>
          <w:szCs w:val="21"/>
        </w:rPr>
        <w:t>。</w:t>
      </w:r>
    </w:p>
    <w:p w14:paraId="5B28C2BD">
      <w:pPr>
        <w:spacing w:line="360" w:lineRule="auto"/>
        <w:ind w:firstLine="420" w:firstLineChars="200"/>
        <w:jc w:val="left"/>
        <w:rPr>
          <w:rFonts w:ascii="宋体" w:hAnsi="宋体"/>
          <w:szCs w:val="21"/>
          <w:u w:val="single"/>
        </w:rPr>
      </w:pPr>
      <w:r>
        <w:rPr>
          <w:rFonts w:hint="eastAsia" w:ascii="宋体" w:hAnsi="宋体"/>
          <w:szCs w:val="21"/>
        </w:rPr>
        <w:t>②</w:t>
      </w:r>
      <w:r>
        <w:rPr>
          <w:rFonts w:hint="eastAsia" w:ascii="宋体" w:hAnsi="宋体"/>
          <w:kern w:val="0"/>
          <w:szCs w:val="21"/>
          <w:u w:val="single"/>
        </w:rPr>
        <w:t>每月按照实际完成工程量的</w:t>
      </w:r>
      <w:r>
        <w:rPr>
          <w:rFonts w:ascii="宋体" w:hAnsi="宋体"/>
          <w:kern w:val="0"/>
          <w:szCs w:val="21"/>
          <w:u w:val="single"/>
        </w:rPr>
        <w:t>8</w:t>
      </w:r>
      <w:r>
        <w:rPr>
          <w:rFonts w:hint="eastAsia" w:ascii="宋体" w:hAnsi="宋体"/>
          <w:kern w:val="0"/>
          <w:szCs w:val="21"/>
          <w:u w:val="single"/>
        </w:rPr>
        <w:t>0%进行支付，待工程竣工验收后支付至审定金额的97%；剩余3%作为质保金，待工程两年缺陷责任期期满后付清剩余质保金（不计利息）</w:t>
      </w:r>
      <w:r>
        <w:rPr>
          <w:rFonts w:hint="eastAsia" w:ascii="宋体" w:hAnsi="宋体"/>
          <w:szCs w:val="21"/>
          <w:u w:val="single"/>
        </w:rPr>
        <w:t>。</w:t>
      </w:r>
    </w:p>
    <w:p w14:paraId="30F4FAF1">
      <w:pPr>
        <w:pStyle w:val="7"/>
        <w:spacing w:before="0" w:beforeAutospacing="0" w:after="0" w:afterAutospacing="0" w:line="360" w:lineRule="auto"/>
        <w:ind w:firstLine="422" w:firstLineChars="200"/>
        <w:rPr>
          <w:sz w:val="21"/>
          <w:szCs w:val="21"/>
        </w:rPr>
      </w:pPr>
      <w:bookmarkStart w:id="1613" w:name="_Toc351203585"/>
      <w:bookmarkStart w:id="1614" w:name="_Toc532377387"/>
      <w:r>
        <w:rPr>
          <w:rFonts w:hint="eastAsia"/>
          <w:sz w:val="21"/>
          <w:szCs w:val="21"/>
        </w:rPr>
        <w:t>12.5支付账户</w:t>
      </w:r>
      <w:bookmarkEnd w:id="1613"/>
      <w:bookmarkEnd w:id="1614"/>
    </w:p>
    <w:p w14:paraId="242A8D01">
      <w:pPr>
        <w:spacing w:line="360" w:lineRule="auto"/>
        <w:ind w:firstLine="420" w:firstLineChars="200"/>
        <w:jc w:val="left"/>
        <w:rPr>
          <w:rFonts w:ascii="宋体" w:hAnsi="宋体"/>
          <w:szCs w:val="21"/>
        </w:rPr>
      </w:pPr>
      <w:r>
        <w:rPr>
          <w:rFonts w:hint="eastAsia" w:ascii="宋体" w:hAnsi="宋体"/>
          <w:szCs w:val="21"/>
        </w:rPr>
        <w:t>发包人应将合同价款支付至如下承包人指定的开户银行及银行账户：</w:t>
      </w:r>
    </w:p>
    <w:p w14:paraId="755A7110">
      <w:pPr>
        <w:spacing w:line="360" w:lineRule="auto"/>
        <w:ind w:firstLine="420" w:firstLineChars="200"/>
        <w:jc w:val="left"/>
        <w:rPr>
          <w:rFonts w:ascii="宋体" w:hAnsi="宋体"/>
          <w:kern w:val="0"/>
          <w:szCs w:val="21"/>
          <w:u w:val="single"/>
        </w:rPr>
      </w:pPr>
      <w:r>
        <w:rPr>
          <w:rFonts w:hint="eastAsia" w:ascii="宋体" w:hAnsi="宋体"/>
          <w:kern w:val="0"/>
          <w:szCs w:val="21"/>
        </w:rPr>
        <w:t>收款单位名称：</w:t>
      </w:r>
      <w:r>
        <w:rPr>
          <w:rFonts w:ascii="宋体" w:hAnsi="宋体"/>
          <w:kern w:val="0"/>
          <w:szCs w:val="21"/>
          <w:u w:val="single"/>
        </w:rPr>
        <w:t xml:space="preserve">                              </w:t>
      </w:r>
      <w:r>
        <w:rPr>
          <w:rFonts w:hint="eastAsia" w:ascii="宋体" w:hAnsi="宋体"/>
          <w:kern w:val="0"/>
          <w:szCs w:val="21"/>
        </w:rPr>
        <w:t>；</w:t>
      </w:r>
    </w:p>
    <w:p w14:paraId="48C182A6">
      <w:pPr>
        <w:spacing w:line="360" w:lineRule="auto"/>
        <w:ind w:firstLine="420" w:firstLineChars="200"/>
        <w:jc w:val="left"/>
        <w:rPr>
          <w:rFonts w:ascii="宋体" w:hAnsi="宋体"/>
          <w:kern w:val="0"/>
          <w:szCs w:val="21"/>
        </w:rPr>
      </w:pPr>
      <w:r>
        <w:rPr>
          <w:rFonts w:hint="eastAsia" w:ascii="宋体" w:hAnsi="宋体"/>
          <w:kern w:val="0"/>
          <w:szCs w:val="21"/>
        </w:rPr>
        <w:t>收款账号：</w:t>
      </w:r>
      <w:r>
        <w:rPr>
          <w:rFonts w:ascii="宋体" w:hAnsi="宋体"/>
          <w:kern w:val="0"/>
          <w:szCs w:val="21"/>
          <w:u w:val="single"/>
        </w:rPr>
        <w:t xml:space="preserve">                                  </w:t>
      </w:r>
      <w:r>
        <w:rPr>
          <w:rFonts w:hint="eastAsia" w:ascii="宋体" w:hAnsi="宋体"/>
          <w:kern w:val="0"/>
          <w:szCs w:val="21"/>
        </w:rPr>
        <w:t>；</w:t>
      </w:r>
    </w:p>
    <w:p w14:paraId="4A7D239C">
      <w:pPr>
        <w:spacing w:line="360" w:lineRule="auto"/>
        <w:ind w:firstLine="420" w:firstLineChars="200"/>
        <w:jc w:val="left"/>
        <w:rPr>
          <w:rFonts w:ascii="宋体" w:hAnsi="宋体"/>
          <w:kern w:val="0"/>
          <w:szCs w:val="21"/>
        </w:rPr>
      </w:pPr>
      <w:r>
        <w:rPr>
          <w:rFonts w:hint="eastAsia" w:ascii="宋体" w:hAnsi="宋体"/>
          <w:kern w:val="0"/>
          <w:szCs w:val="21"/>
        </w:rPr>
        <w:t>收款开户银行：</w:t>
      </w:r>
      <w:r>
        <w:rPr>
          <w:rFonts w:ascii="宋体" w:hAnsi="宋体"/>
          <w:kern w:val="0"/>
          <w:szCs w:val="21"/>
          <w:u w:val="single"/>
        </w:rPr>
        <w:t xml:space="preserve">                              </w:t>
      </w:r>
      <w:r>
        <w:rPr>
          <w:rFonts w:hint="eastAsia" w:ascii="宋体" w:hAnsi="宋体"/>
          <w:kern w:val="0"/>
          <w:szCs w:val="21"/>
        </w:rPr>
        <w:t>。</w:t>
      </w:r>
    </w:p>
    <w:p w14:paraId="4E519E7C">
      <w:pPr>
        <w:spacing w:line="360" w:lineRule="auto"/>
        <w:ind w:firstLine="420" w:firstLineChars="200"/>
        <w:jc w:val="left"/>
        <w:rPr>
          <w:rFonts w:ascii="宋体" w:hAnsi="宋体"/>
          <w:kern w:val="0"/>
          <w:szCs w:val="21"/>
        </w:rPr>
      </w:pPr>
      <w:r>
        <w:rPr>
          <w:rFonts w:hint="eastAsia" w:ascii="宋体" w:hAnsi="宋体"/>
          <w:kern w:val="0"/>
          <w:szCs w:val="21"/>
        </w:rPr>
        <w:t>发包人应将人工费（工资款）支付至如下承包人指定的农民工工资专用账户：</w:t>
      </w:r>
    </w:p>
    <w:p w14:paraId="63F7CF34">
      <w:pPr>
        <w:spacing w:line="360" w:lineRule="auto"/>
        <w:ind w:firstLine="420" w:firstLineChars="200"/>
        <w:jc w:val="left"/>
        <w:rPr>
          <w:rFonts w:ascii="宋体" w:hAnsi="宋体"/>
          <w:kern w:val="0"/>
          <w:szCs w:val="21"/>
        </w:rPr>
      </w:pPr>
      <w:r>
        <w:rPr>
          <w:rFonts w:hint="eastAsia" w:ascii="宋体" w:hAnsi="宋体"/>
          <w:kern w:val="0"/>
          <w:szCs w:val="21"/>
        </w:rPr>
        <w:t>开户银行：</w:t>
      </w:r>
      <w:r>
        <w:rPr>
          <w:rFonts w:hint="eastAsia" w:ascii="宋体" w:hAnsi="宋体"/>
          <w:kern w:val="0"/>
          <w:szCs w:val="21"/>
          <w:u w:val="single"/>
        </w:rPr>
        <w:t xml:space="preserve">                              </w:t>
      </w:r>
      <w:r>
        <w:rPr>
          <w:rFonts w:hint="eastAsia" w:ascii="宋体" w:hAnsi="宋体"/>
          <w:kern w:val="0"/>
          <w:szCs w:val="21"/>
        </w:rPr>
        <w:t>；</w:t>
      </w:r>
    </w:p>
    <w:p w14:paraId="440E678D">
      <w:pPr>
        <w:spacing w:line="360" w:lineRule="auto"/>
        <w:ind w:firstLine="420" w:firstLineChars="200"/>
        <w:jc w:val="left"/>
        <w:rPr>
          <w:rFonts w:ascii="宋体" w:hAnsi="宋体"/>
          <w:kern w:val="0"/>
          <w:szCs w:val="21"/>
        </w:rPr>
      </w:pPr>
      <w:r>
        <w:rPr>
          <w:rFonts w:hint="eastAsia" w:ascii="宋体" w:hAnsi="宋体"/>
          <w:kern w:val="0"/>
          <w:szCs w:val="21"/>
        </w:rPr>
        <w:t>农民工工资专用账户名称：</w:t>
      </w:r>
      <w:r>
        <w:rPr>
          <w:rFonts w:hint="eastAsia" w:ascii="宋体" w:hAnsi="宋体"/>
          <w:kern w:val="0"/>
          <w:szCs w:val="21"/>
          <w:u w:val="single"/>
        </w:rPr>
        <w:t xml:space="preserve">                              </w:t>
      </w:r>
      <w:r>
        <w:rPr>
          <w:rFonts w:hint="eastAsia" w:ascii="宋体" w:hAnsi="宋体"/>
          <w:kern w:val="0"/>
          <w:szCs w:val="21"/>
        </w:rPr>
        <w:t>；</w:t>
      </w:r>
    </w:p>
    <w:p w14:paraId="6D788DE7">
      <w:pPr>
        <w:spacing w:line="360" w:lineRule="auto"/>
        <w:ind w:firstLine="420" w:firstLineChars="200"/>
        <w:jc w:val="left"/>
        <w:rPr>
          <w:rFonts w:ascii="宋体" w:hAnsi="宋体"/>
          <w:kern w:val="0"/>
          <w:szCs w:val="21"/>
        </w:rPr>
      </w:pPr>
      <w:r>
        <w:rPr>
          <w:rFonts w:hint="eastAsia" w:ascii="宋体" w:hAnsi="宋体"/>
          <w:kern w:val="0"/>
          <w:szCs w:val="21"/>
        </w:rPr>
        <w:t>农民工工资专用账户账号：</w:t>
      </w:r>
      <w:r>
        <w:rPr>
          <w:rFonts w:hint="eastAsia" w:ascii="宋体" w:hAnsi="宋体"/>
          <w:kern w:val="0"/>
          <w:szCs w:val="21"/>
          <w:u w:val="single"/>
        </w:rPr>
        <w:t xml:space="preserve">                              </w:t>
      </w:r>
      <w:r>
        <w:rPr>
          <w:rFonts w:hint="eastAsia" w:ascii="宋体" w:hAnsi="宋体"/>
          <w:kern w:val="0"/>
          <w:szCs w:val="21"/>
        </w:rPr>
        <w:t>。</w:t>
      </w:r>
    </w:p>
    <w:p w14:paraId="6BE49C69">
      <w:pPr>
        <w:pStyle w:val="6"/>
        <w:keepNext/>
        <w:keepLines/>
        <w:spacing w:before="156" w:beforeLines="50" w:beforeAutospacing="0" w:after="156" w:afterLines="50" w:afterAutospacing="0" w:line="360" w:lineRule="auto"/>
        <w:jc w:val="both"/>
        <w:rPr>
          <w:bCs w:val="0"/>
          <w:kern w:val="2"/>
          <w:sz w:val="21"/>
          <w:szCs w:val="21"/>
        </w:rPr>
      </w:pPr>
      <w:bookmarkStart w:id="1615" w:name="_Toc532375651"/>
      <w:bookmarkStart w:id="1616" w:name="_Toc351203645"/>
      <w:bookmarkStart w:id="1617" w:name="_Toc532377388"/>
      <w:bookmarkStart w:id="1618" w:name="_Toc296891047"/>
      <w:bookmarkStart w:id="1619" w:name="_Toc296346720"/>
      <w:bookmarkStart w:id="1620" w:name="_Toc304295593"/>
      <w:bookmarkStart w:id="1621" w:name="_Toc296503219"/>
      <w:bookmarkStart w:id="1622" w:name="_Toc296944558"/>
      <w:bookmarkStart w:id="1623" w:name="_Toc297216223"/>
      <w:bookmarkStart w:id="1624" w:name="_Toc296891259"/>
      <w:bookmarkStart w:id="1625" w:name="_Toc297123564"/>
      <w:bookmarkStart w:id="1626" w:name="_Toc300935015"/>
      <w:bookmarkStart w:id="1627" w:name="_Toc292559929"/>
      <w:bookmarkStart w:id="1628" w:name="_Toc296347218"/>
      <w:bookmarkStart w:id="1629" w:name="_Toc297120519"/>
      <w:bookmarkStart w:id="1630" w:name="_Toc312678053"/>
      <w:bookmarkStart w:id="1631" w:name="_Toc303539172"/>
      <w:bookmarkStart w:id="1632" w:name="_Toc292559424"/>
      <w:bookmarkStart w:id="1633" w:name="_Toc297048405"/>
      <w:r>
        <w:rPr>
          <w:rFonts w:hint="eastAsia"/>
          <w:kern w:val="2"/>
          <w:sz w:val="21"/>
          <w:szCs w:val="21"/>
        </w:rPr>
        <w:t>13. 验收和工程试车</w:t>
      </w:r>
      <w:bookmarkEnd w:id="1615"/>
      <w:bookmarkEnd w:id="1616"/>
      <w:bookmarkEnd w:id="1617"/>
    </w:p>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14:paraId="6E15AB4C">
      <w:pPr>
        <w:pStyle w:val="7"/>
        <w:spacing w:before="0" w:beforeAutospacing="0" w:after="0" w:afterAutospacing="0" w:line="360" w:lineRule="auto"/>
        <w:ind w:firstLine="422" w:firstLineChars="200"/>
        <w:rPr>
          <w:sz w:val="21"/>
          <w:szCs w:val="21"/>
        </w:rPr>
      </w:pPr>
      <w:bookmarkStart w:id="1634" w:name="_Toc532377389"/>
      <w:bookmarkStart w:id="1635" w:name="_Toc532375652"/>
      <w:bookmarkStart w:id="1636" w:name="_Toc280868704"/>
      <w:bookmarkStart w:id="1637" w:name="_Toc280868705"/>
      <w:bookmarkStart w:id="1638" w:name="_Toc280868706"/>
      <w:bookmarkStart w:id="1639" w:name="_Toc280868707"/>
      <w:bookmarkStart w:id="1640" w:name="_Toc280868708"/>
      <w:bookmarkStart w:id="1641" w:name="_Toc267251474"/>
      <w:bookmarkStart w:id="1642" w:name="_Toc267251472"/>
      <w:bookmarkStart w:id="1643" w:name="_Toc267251473"/>
      <w:bookmarkStart w:id="1644" w:name="_Toc267251475"/>
      <w:bookmarkStart w:id="1645" w:name="_Toc267251471"/>
      <w:bookmarkStart w:id="1646" w:name="_Toc267251476"/>
      <w:bookmarkStart w:id="1647" w:name="_Toc267251470"/>
      <w:bookmarkStart w:id="1648" w:name="_Toc280868709"/>
      <w:r>
        <w:rPr>
          <w:rFonts w:hint="eastAsia"/>
          <w:sz w:val="21"/>
          <w:szCs w:val="21"/>
        </w:rPr>
        <w:t>13.1 分部分项工程验收</w:t>
      </w:r>
      <w:bookmarkEnd w:id="1634"/>
      <w:bookmarkEnd w:id="1635"/>
    </w:p>
    <w:p w14:paraId="292408F6">
      <w:pPr>
        <w:spacing w:line="360" w:lineRule="auto"/>
        <w:ind w:right="105" w:rightChars="50" w:firstLine="420" w:firstLineChars="200"/>
        <w:jc w:val="left"/>
        <w:rPr>
          <w:rFonts w:ascii="宋体" w:hAnsi="宋体"/>
          <w:szCs w:val="21"/>
        </w:rPr>
      </w:pPr>
      <w:r>
        <w:rPr>
          <w:rFonts w:hint="eastAsia" w:ascii="宋体" w:hAnsi="宋体"/>
          <w:szCs w:val="21"/>
        </w:rPr>
        <w:t>13.1.2 监理人不能按时进行验收时，应提前</w:t>
      </w:r>
      <w:r>
        <w:rPr>
          <w:rFonts w:hint="eastAsia" w:ascii="宋体" w:hAnsi="宋体"/>
          <w:szCs w:val="21"/>
          <w:u w:val="single"/>
        </w:rPr>
        <w:t>24</w:t>
      </w:r>
      <w:r>
        <w:rPr>
          <w:rFonts w:hint="eastAsia" w:ascii="宋体" w:hAnsi="宋体"/>
          <w:szCs w:val="21"/>
        </w:rPr>
        <w:t>小时提交书面延期要求。</w:t>
      </w:r>
    </w:p>
    <w:p w14:paraId="6D0A95D5">
      <w:pPr>
        <w:spacing w:line="360" w:lineRule="auto"/>
        <w:ind w:right="105" w:rightChars="50" w:firstLine="420" w:firstLineChars="200"/>
        <w:jc w:val="left"/>
        <w:rPr>
          <w:rFonts w:ascii="宋体" w:hAnsi="宋体"/>
          <w:szCs w:val="21"/>
        </w:rPr>
      </w:pPr>
      <w:r>
        <w:rPr>
          <w:rFonts w:hint="eastAsia" w:ascii="宋体" w:hAnsi="宋体"/>
          <w:szCs w:val="21"/>
        </w:rPr>
        <w:t>关于延期最长不得超过：</w:t>
      </w:r>
      <w:r>
        <w:rPr>
          <w:rFonts w:hint="eastAsia" w:ascii="宋体" w:hAnsi="宋体"/>
          <w:szCs w:val="21"/>
          <w:u w:val="single"/>
        </w:rPr>
        <w:t>48</w:t>
      </w:r>
      <w:r>
        <w:rPr>
          <w:rFonts w:hint="eastAsia" w:ascii="宋体" w:hAnsi="宋体"/>
          <w:szCs w:val="21"/>
        </w:rPr>
        <w:t>小时。</w:t>
      </w:r>
    </w:p>
    <w:p w14:paraId="1BA61BBC">
      <w:pPr>
        <w:pStyle w:val="7"/>
        <w:spacing w:before="0" w:beforeAutospacing="0" w:after="0" w:afterAutospacing="0" w:line="360" w:lineRule="auto"/>
        <w:ind w:firstLine="422" w:firstLineChars="200"/>
        <w:rPr>
          <w:sz w:val="21"/>
          <w:szCs w:val="21"/>
        </w:rPr>
      </w:pPr>
      <w:bookmarkStart w:id="1649" w:name="_Toc532375653"/>
      <w:bookmarkStart w:id="1650" w:name="_Toc532377390"/>
      <w:bookmarkStart w:id="1651" w:name="_Toc292559933"/>
      <w:bookmarkStart w:id="1652" w:name="_Toc303539173"/>
      <w:bookmarkStart w:id="1653" w:name="_Toc296503223"/>
      <w:bookmarkStart w:id="1654" w:name="_Toc296346724"/>
      <w:bookmarkStart w:id="1655" w:name="_Toc312678056"/>
      <w:bookmarkStart w:id="1656" w:name="_Toc296891263"/>
      <w:bookmarkStart w:id="1657" w:name="_Toc296347222"/>
      <w:bookmarkStart w:id="1658" w:name="_Toc297120523"/>
      <w:bookmarkStart w:id="1659" w:name="_Toc296944562"/>
      <w:bookmarkStart w:id="1660" w:name="_Toc300935016"/>
      <w:bookmarkStart w:id="1661" w:name="_Toc297048409"/>
      <w:bookmarkStart w:id="1662" w:name="_Toc292559428"/>
      <w:bookmarkStart w:id="1663" w:name="_Toc296891051"/>
      <w:bookmarkStart w:id="1664" w:name="_Toc297123565"/>
      <w:bookmarkStart w:id="1665" w:name="_Toc297216224"/>
      <w:bookmarkStart w:id="1666" w:name="_Toc304295596"/>
      <w:r>
        <w:rPr>
          <w:rFonts w:hint="eastAsia"/>
          <w:sz w:val="21"/>
          <w:szCs w:val="21"/>
        </w:rPr>
        <w:t>13.2 竣工验收</w:t>
      </w:r>
      <w:bookmarkEnd w:id="1649"/>
      <w:bookmarkEnd w:id="1650"/>
    </w:p>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p w14:paraId="53CA6C7B">
      <w:pPr>
        <w:spacing w:line="360" w:lineRule="auto"/>
        <w:ind w:right="105" w:rightChars="50" w:firstLine="420" w:firstLineChars="200"/>
        <w:jc w:val="left"/>
        <w:rPr>
          <w:rFonts w:ascii="宋体" w:hAnsi="宋体"/>
          <w:szCs w:val="21"/>
        </w:rPr>
      </w:pPr>
      <w:r>
        <w:rPr>
          <w:rFonts w:hint="eastAsia" w:ascii="宋体" w:hAnsi="宋体"/>
          <w:szCs w:val="21"/>
        </w:rPr>
        <w:t>13.2.2竣工验收程序</w:t>
      </w:r>
    </w:p>
    <w:bookmarkEnd w:id="1636"/>
    <w:p w14:paraId="3D76182A">
      <w:pPr>
        <w:spacing w:line="360" w:lineRule="auto"/>
        <w:ind w:right="105" w:rightChars="50" w:firstLine="420" w:firstLineChars="200"/>
        <w:jc w:val="left"/>
        <w:rPr>
          <w:rFonts w:ascii="宋体" w:hAnsi="宋体"/>
          <w:szCs w:val="21"/>
        </w:rPr>
      </w:pPr>
      <w:r>
        <w:rPr>
          <w:rFonts w:hint="eastAsia" w:ascii="宋体" w:hAnsi="宋体"/>
          <w:szCs w:val="21"/>
        </w:rPr>
        <w:t>关于竣工验收程序的约定：工程完工且符合下列条件时，承包人可向发包人提供竣工报告，并要求验收：</w:t>
      </w:r>
    </w:p>
    <w:p w14:paraId="5FF6D6EB">
      <w:pPr>
        <w:spacing w:line="360" w:lineRule="auto"/>
        <w:ind w:right="105" w:rightChars="50" w:firstLine="420" w:firstLineChars="200"/>
        <w:jc w:val="left"/>
        <w:rPr>
          <w:rFonts w:ascii="宋体" w:hAnsi="宋体"/>
          <w:szCs w:val="21"/>
        </w:rPr>
      </w:pPr>
      <w:r>
        <w:rPr>
          <w:rFonts w:hint="eastAsia" w:ascii="宋体" w:hAnsi="宋体"/>
          <w:szCs w:val="21"/>
        </w:rPr>
        <w:t>（1）除发包人同意的甩项工作和缺陷修补工作外，合同范围内的全部工程以及有关工作，包括合同要求的试验、试运行以及检验均已完成，并符合合同要求；</w:t>
      </w:r>
    </w:p>
    <w:p w14:paraId="47BBFF70">
      <w:pPr>
        <w:spacing w:line="360" w:lineRule="auto"/>
        <w:ind w:right="105" w:rightChars="50" w:firstLine="420" w:firstLineChars="200"/>
        <w:jc w:val="left"/>
        <w:rPr>
          <w:rFonts w:ascii="宋体" w:hAnsi="宋体"/>
          <w:szCs w:val="21"/>
        </w:rPr>
      </w:pPr>
      <w:r>
        <w:rPr>
          <w:rFonts w:hint="eastAsia" w:ascii="宋体" w:hAnsi="宋体"/>
          <w:szCs w:val="21"/>
        </w:rPr>
        <w:t>（2）已按合同约定编制了甩项工作和缺陷修补工作清单以及相应的施工计划；</w:t>
      </w:r>
    </w:p>
    <w:p w14:paraId="7E1C8548">
      <w:pPr>
        <w:spacing w:line="360" w:lineRule="auto"/>
        <w:ind w:right="105" w:rightChars="50" w:firstLine="420" w:firstLineChars="200"/>
        <w:jc w:val="left"/>
        <w:rPr>
          <w:rFonts w:ascii="宋体" w:hAnsi="宋体"/>
          <w:szCs w:val="21"/>
        </w:rPr>
      </w:pPr>
      <w:r>
        <w:rPr>
          <w:rFonts w:hint="eastAsia" w:ascii="宋体" w:hAnsi="宋体"/>
          <w:szCs w:val="21"/>
        </w:rPr>
        <w:t>（3）已按合同约定的内容和份数备齐竣工资料。</w:t>
      </w:r>
    </w:p>
    <w:p w14:paraId="4970C067">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708F8DD7">
      <w:pPr>
        <w:spacing w:line="360" w:lineRule="auto"/>
        <w:ind w:right="105" w:rightChars="50" w:firstLine="420" w:firstLineChars="200"/>
        <w:jc w:val="left"/>
        <w:rPr>
          <w:rFonts w:ascii="宋体" w:hAnsi="宋体"/>
          <w:szCs w:val="21"/>
        </w:rPr>
      </w:pPr>
      <w:r>
        <w:rPr>
          <w:rFonts w:hint="eastAsia" w:ascii="宋体" w:hAnsi="宋体"/>
          <w:szCs w:val="21"/>
        </w:rPr>
        <w:t>工程竣工及竣工资料：</w:t>
      </w:r>
    </w:p>
    <w:p w14:paraId="01020A2D">
      <w:pPr>
        <w:spacing w:line="360" w:lineRule="auto"/>
        <w:ind w:right="105" w:rightChars="50" w:firstLine="420" w:firstLineChars="200"/>
        <w:jc w:val="left"/>
        <w:rPr>
          <w:rFonts w:ascii="宋体" w:hAnsi="宋体"/>
          <w:szCs w:val="21"/>
        </w:rPr>
      </w:pPr>
      <w:r>
        <w:rPr>
          <w:rFonts w:hint="eastAsia" w:ascii="宋体" w:hAnsi="宋体"/>
          <w:szCs w:val="21"/>
          <w:u w:val="single"/>
        </w:rPr>
        <w:t>（1）发包人应在收到承包人竣工报告后14天内组织设计单位、监理单位、质监等其他部门进行验收，竣工日期以最后一次整改后通过竣工验收的时间为准</w:t>
      </w:r>
      <w:r>
        <w:rPr>
          <w:rFonts w:hint="eastAsia" w:ascii="宋体" w:hAnsi="宋体"/>
          <w:szCs w:val="21"/>
        </w:rPr>
        <w:t>。</w:t>
      </w:r>
    </w:p>
    <w:p w14:paraId="47B0CC9A">
      <w:pPr>
        <w:spacing w:line="360" w:lineRule="auto"/>
        <w:ind w:right="105" w:rightChars="50" w:firstLine="420" w:firstLineChars="200"/>
        <w:jc w:val="left"/>
        <w:rPr>
          <w:rFonts w:ascii="宋体" w:hAnsi="宋体"/>
          <w:szCs w:val="21"/>
        </w:rPr>
      </w:pPr>
      <w:r>
        <w:rPr>
          <w:rFonts w:hint="eastAsia" w:ascii="宋体" w:hAnsi="宋体"/>
          <w:szCs w:val="21"/>
          <w:u w:val="single"/>
        </w:rPr>
        <w:t>（2）当工程具备竣工验收条件时，承包人应及时向发包人提交竣工报告及竣工资料、办理移交手续。否则发包人有权依据监理人出具的鉴定结论书，自行组织有关部门验收，并提出整改意见。承包人必须按要求整改，并承担整改费用；如承包人拒绝按发包人提出的要求整改，发包人有权请第三方整改，由此发生的整改费用从未付工程款中扣除，不足部分发包人有权向承包人追偿。当验收通过后具备交付使用条件时，承包人不得以任何借口拒绝移交工程，否则，发包人有权强行使用，由此发生的一切后果，由承包人负责</w:t>
      </w:r>
      <w:r>
        <w:rPr>
          <w:rFonts w:hint="eastAsia" w:ascii="宋体" w:hAnsi="宋体"/>
          <w:szCs w:val="21"/>
        </w:rPr>
        <w:t>。</w:t>
      </w:r>
    </w:p>
    <w:p w14:paraId="07978917">
      <w:pPr>
        <w:spacing w:line="360" w:lineRule="auto"/>
        <w:ind w:right="105" w:rightChars="50" w:firstLine="420" w:firstLineChars="200"/>
        <w:jc w:val="left"/>
        <w:rPr>
          <w:rFonts w:ascii="宋体" w:hAnsi="宋体"/>
          <w:szCs w:val="21"/>
          <w:u w:val="single"/>
        </w:rPr>
      </w:pPr>
      <w:r>
        <w:rPr>
          <w:rFonts w:hint="eastAsia" w:ascii="宋体" w:hAnsi="宋体"/>
          <w:szCs w:val="21"/>
        </w:rPr>
        <w:t>（3）承包人提供竣工资料的约定：</w:t>
      </w:r>
      <w:r>
        <w:rPr>
          <w:rFonts w:hint="eastAsia" w:ascii="宋体" w:hAnsi="宋体"/>
          <w:szCs w:val="21"/>
          <w:u w:val="single"/>
        </w:rPr>
        <w:t>承包人提供纸质版竣工图三套，电子版竣工图二套（刻光盘）</w:t>
      </w:r>
      <w:r>
        <w:rPr>
          <w:rFonts w:hint="eastAsia" w:ascii="宋体" w:hAnsi="宋体"/>
          <w:szCs w:val="21"/>
        </w:rPr>
        <w:t>。</w:t>
      </w:r>
    </w:p>
    <w:bookmarkEnd w:id="1637"/>
    <w:p w14:paraId="0F03180C">
      <w:pPr>
        <w:spacing w:line="360" w:lineRule="auto"/>
        <w:ind w:right="105" w:rightChars="50" w:firstLine="420" w:firstLineChars="200"/>
        <w:jc w:val="left"/>
        <w:rPr>
          <w:rFonts w:ascii="宋体" w:hAnsi="宋体"/>
          <w:szCs w:val="21"/>
        </w:rPr>
      </w:pPr>
      <w:r>
        <w:rPr>
          <w:rFonts w:hint="eastAsia" w:ascii="宋体" w:hAnsi="宋体"/>
          <w:szCs w:val="21"/>
        </w:rPr>
        <w:t>13.2.5 移交、接收全部与部分工程</w:t>
      </w:r>
    </w:p>
    <w:bookmarkEnd w:id="1638"/>
    <w:p w14:paraId="0B11BC78">
      <w:pPr>
        <w:spacing w:line="360" w:lineRule="auto"/>
        <w:ind w:right="105" w:rightChars="50" w:firstLine="420" w:firstLineChars="200"/>
        <w:jc w:val="left"/>
        <w:rPr>
          <w:rFonts w:ascii="宋体" w:hAnsi="宋体"/>
          <w:szCs w:val="21"/>
          <w:u w:val="single"/>
        </w:rPr>
      </w:pPr>
      <w:r>
        <w:rPr>
          <w:rFonts w:hint="eastAsia" w:ascii="宋体" w:hAnsi="宋体"/>
          <w:szCs w:val="21"/>
        </w:rPr>
        <w:t>承包人向发包人移交工程的期限：</w:t>
      </w:r>
      <w:r>
        <w:rPr>
          <w:rFonts w:hint="eastAsia" w:ascii="宋体" w:hAnsi="宋体"/>
          <w:szCs w:val="21"/>
          <w:u w:val="single"/>
        </w:rPr>
        <w:t>颁发工程接收证书后7天内完成工程的移交</w:t>
      </w:r>
      <w:r>
        <w:rPr>
          <w:rFonts w:hint="eastAsia" w:ascii="宋体" w:hAnsi="宋体"/>
          <w:szCs w:val="21"/>
        </w:rPr>
        <w:t>。</w:t>
      </w:r>
    </w:p>
    <w:p w14:paraId="66EF2036">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发包人未按合同约定接收全部或部分工程的，违约金的计算方法为：发包人自应当接收工程之日起承担工程照管、成品保护、保管等与工程有关的各项费用。</w:t>
      </w:r>
    </w:p>
    <w:bookmarkEnd w:id="1639"/>
    <w:p w14:paraId="6056C6CF">
      <w:pPr>
        <w:spacing w:line="360" w:lineRule="auto"/>
        <w:ind w:right="105" w:rightChars="50" w:firstLine="420" w:firstLineChars="200"/>
        <w:jc w:val="left"/>
        <w:rPr>
          <w:rFonts w:ascii="宋体" w:hAnsi="宋体"/>
          <w:szCs w:val="21"/>
          <w:u w:val="single"/>
        </w:rPr>
      </w:pPr>
      <w:r>
        <w:rPr>
          <w:rFonts w:hint="eastAsia" w:ascii="宋体" w:hAnsi="宋体"/>
          <w:szCs w:val="21"/>
        </w:rPr>
        <w:t>因承包人自身原因未按时移交工程的，违约金的计算方法为：</w:t>
      </w:r>
      <w:r>
        <w:rPr>
          <w:rFonts w:hint="eastAsia" w:ascii="宋体" w:hAnsi="宋体"/>
          <w:szCs w:val="21"/>
          <w:u w:val="single"/>
        </w:rPr>
        <w:t>承包人应承担工程照管、成品保护、保管等与工程有关的各项费用，并按经审定结算金额的0.5‰/天支付违约金</w:t>
      </w:r>
      <w:r>
        <w:rPr>
          <w:rFonts w:hint="eastAsia" w:ascii="宋体" w:hAnsi="宋体"/>
          <w:szCs w:val="21"/>
        </w:rPr>
        <w:t>。</w:t>
      </w:r>
    </w:p>
    <w:p w14:paraId="10F8C9E0">
      <w:pPr>
        <w:pStyle w:val="7"/>
        <w:spacing w:before="0" w:beforeAutospacing="0" w:after="0" w:afterAutospacing="0" w:line="360" w:lineRule="auto"/>
        <w:ind w:firstLine="422" w:firstLineChars="200"/>
        <w:rPr>
          <w:sz w:val="21"/>
          <w:szCs w:val="21"/>
        </w:rPr>
      </w:pPr>
      <w:bookmarkStart w:id="1667" w:name="_Toc532377391"/>
      <w:bookmarkStart w:id="1668" w:name="_Toc532375654"/>
      <w:r>
        <w:rPr>
          <w:rFonts w:hint="eastAsia"/>
          <w:sz w:val="21"/>
          <w:szCs w:val="21"/>
        </w:rPr>
        <w:t>13.3 工程试车</w:t>
      </w:r>
      <w:bookmarkEnd w:id="1667"/>
      <w:bookmarkEnd w:id="1668"/>
    </w:p>
    <w:p w14:paraId="2515E328">
      <w:pPr>
        <w:spacing w:line="360" w:lineRule="auto"/>
        <w:ind w:right="105" w:rightChars="50" w:firstLine="420" w:firstLineChars="200"/>
        <w:jc w:val="left"/>
        <w:rPr>
          <w:rFonts w:ascii="宋体" w:hAnsi="宋体"/>
          <w:szCs w:val="21"/>
        </w:rPr>
      </w:pPr>
      <w:r>
        <w:rPr>
          <w:rFonts w:hint="eastAsia" w:ascii="宋体" w:hAnsi="宋体"/>
          <w:szCs w:val="21"/>
        </w:rPr>
        <w:t>13.3.1 试车程序</w:t>
      </w:r>
    </w:p>
    <w:p w14:paraId="3209A926">
      <w:pPr>
        <w:spacing w:line="360" w:lineRule="auto"/>
        <w:ind w:right="105" w:rightChars="50" w:firstLine="420" w:firstLineChars="200"/>
        <w:jc w:val="left"/>
        <w:rPr>
          <w:rFonts w:ascii="宋体" w:hAnsi="宋体"/>
          <w:szCs w:val="21"/>
        </w:rPr>
      </w:pPr>
      <w:r>
        <w:rPr>
          <w:rFonts w:hint="eastAsia" w:ascii="宋体" w:hAnsi="宋体"/>
          <w:szCs w:val="21"/>
        </w:rPr>
        <w:t>工程试车内容：</w:t>
      </w:r>
      <w:r>
        <w:rPr>
          <w:rFonts w:hint="eastAsia" w:ascii="宋体" w:hAnsi="宋体"/>
          <w:szCs w:val="21"/>
          <w:u w:val="single"/>
        </w:rPr>
        <w:t>按通用合同条款执行</w:t>
      </w:r>
      <w:r>
        <w:rPr>
          <w:rFonts w:hint="eastAsia" w:ascii="宋体" w:hAnsi="宋体"/>
          <w:szCs w:val="21"/>
        </w:rPr>
        <w:t>。</w:t>
      </w:r>
    </w:p>
    <w:p w14:paraId="4A97E1A3">
      <w:pPr>
        <w:spacing w:line="360" w:lineRule="auto"/>
        <w:ind w:right="105" w:rightChars="50" w:firstLine="420" w:firstLineChars="200"/>
        <w:jc w:val="left"/>
        <w:rPr>
          <w:rFonts w:ascii="宋体" w:hAnsi="宋体"/>
          <w:szCs w:val="21"/>
        </w:rPr>
      </w:pPr>
      <w:r>
        <w:rPr>
          <w:rFonts w:hint="eastAsia" w:ascii="宋体" w:hAnsi="宋体"/>
          <w:szCs w:val="21"/>
        </w:rPr>
        <w:t>（1）单机无负荷试车费用由</w:t>
      </w:r>
      <w:r>
        <w:rPr>
          <w:rFonts w:hint="eastAsia" w:ascii="宋体" w:hAnsi="宋体"/>
          <w:szCs w:val="21"/>
          <w:u w:val="single"/>
        </w:rPr>
        <w:t>承包人</w:t>
      </w:r>
      <w:r>
        <w:rPr>
          <w:rFonts w:hint="eastAsia" w:ascii="宋体" w:hAnsi="宋体"/>
          <w:szCs w:val="21"/>
        </w:rPr>
        <w:t>承担；</w:t>
      </w:r>
    </w:p>
    <w:p w14:paraId="640EAB50">
      <w:pPr>
        <w:spacing w:line="360" w:lineRule="auto"/>
        <w:ind w:right="105" w:rightChars="50" w:firstLine="420" w:firstLineChars="200"/>
        <w:jc w:val="left"/>
        <w:rPr>
          <w:rFonts w:ascii="宋体" w:hAnsi="宋体"/>
          <w:szCs w:val="21"/>
        </w:rPr>
      </w:pPr>
      <w:r>
        <w:rPr>
          <w:rFonts w:hint="eastAsia" w:ascii="宋体" w:hAnsi="宋体"/>
          <w:szCs w:val="21"/>
        </w:rPr>
        <w:t>（2）无负荷联动试车费用由</w:t>
      </w:r>
      <w:r>
        <w:rPr>
          <w:rFonts w:hint="eastAsia" w:ascii="宋体" w:hAnsi="宋体"/>
          <w:szCs w:val="21"/>
          <w:u w:val="single"/>
        </w:rPr>
        <w:t>承包人</w:t>
      </w:r>
      <w:r>
        <w:rPr>
          <w:rFonts w:hint="eastAsia" w:ascii="宋体" w:hAnsi="宋体"/>
          <w:szCs w:val="21"/>
        </w:rPr>
        <w:t>承担。</w:t>
      </w:r>
    </w:p>
    <w:p w14:paraId="4ACDE69C">
      <w:pPr>
        <w:pStyle w:val="7"/>
        <w:spacing w:before="0" w:beforeAutospacing="0" w:after="0" w:afterAutospacing="0" w:line="360" w:lineRule="auto"/>
        <w:ind w:firstLine="422" w:firstLineChars="200"/>
        <w:rPr>
          <w:sz w:val="21"/>
          <w:szCs w:val="21"/>
        </w:rPr>
      </w:pPr>
      <w:bookmarkStart w:id="1669" w:name="_Toc532375655"/>
      <w:bookmarkStart w:id="1670" w:name="_Toc532377392"/>
      <w:r>
        <w:rPr>
          <w:rFonts w:hint="eastAsia"/>
          <w:sz w:val="21"/>
          <w:szCs w:val="21"/>
        </w:rPr>
        <w:t>13.6 竣工退场</w:t>
      </w:r>
      <w:bookmarkEnd w:id="1669"/>
      <w:bookmarkEnd w:id="1670"/>
    </w:p>
    <w:p w14:paraId="2AF46D48">
      <w:pPr>
        <w:spacing w:line="360" w:lineRule="auto"/>
        <w:ind w:right="105" w:rightChars="50" w:firstLine="420" w:firstLineChars="200"/>
        <w:jc w:val="left"/>
        <w:rPr>
          <w:rFonts w:ascii="宋体" w:hAnsi="宋体"/>
          <w:szCs w:val="21"/>
        </w:rPr>
      </w:pPr>
      <w:r>
        <w:rPr>
          <w:rFonts w:hint="eastAsia" w:ascii="宋体" w:hAnsi="宋体"/>
          <w:szCs w:val="21"/>
        </w:rPr>
        <w:t>13.6.1 竣工退场</w:t>
      </w:r>
    </w:p>
    <w:p w14:paraId="2EC10E54">
      <w:pPr>
        <w:spacing w:line="360" w:lineRule="auto"/>
        <w:ind w:right="105" w:rightChars="50" w:firstLine="420" w:firstLineChars="200"/>
        <w:jc w:val="left"/>
        <w:rPr>
          <w:rFonts w:ascii="宋体" w:hAnsi="宋体"/>
          <w:szCs w:val="21"/>
          <w:u w:val="single"/>
        </w:rPr>
      </w:pPr>
      <w:r>
        <w:rPr>
          <w:rFonts w:hint="eastAsia" w:ascii="宋体" w:hAnsi="宋体"/>
          <w:szCs w:val="21"/>
        </w:rPr>
        <w:t>承包人完成竣工退场的期限：</w:t>
      </w:r>
      <w:r>
        <w:rPr>
          <w:rFonts w:hint="eastAsia" w:ascii="宋体" w:hAnsi="宋体"/>
          <w:szCs w:val="21"/>
          <w:u w:val="single"/>
        </w:rPr>
        <w:t>工程接收证书颁发后28天内，承包人的施工人员、剩余材料、施工设备和临时工程应完全撤离施工场地并对施工场地进行清理、平整、复原，直至监理人检验合格为止，由此发生的费用已包含在签约合同价内。承包人未在限期内拆除的，发包人可委托其他单位代为拆除，由此发生的费用（发包人可从应付承包人的款项中扣除）由承包人承担，承包人还应按审定结算金额的0.5‰/天的标准向发包人支付违约金。因工程维修需要部分人员必须留在施工现场的，需征得发包人同意</w:t>
      </w:r>
      <w:r>
        <w:rPr>
          <w:rFonts w:hint="eastAsia" w:ascii="宋体" w:hAnsi="宋体"/>
          <w:szCs w:val="21"/>
        </w:rPr>
        <w:t>。</w:t>
      </w:r>
    </w:p>
    <w:bookmarkEnd w:id="1640"/>
    <w:p w14:paraId="6525B9BA">
      <w:pPr>
        <w:pStyle w:val="6"/>
        <w:keepNext/>
        <w:keepLines/>
        <w:spacing w:before="156" w:beforeLines="50" w:beforeAutospacing="0" w:after="156" w:afterLines="50" w:afterAutospacing="0" w:line="360" w:lineRule="auto"/>
        <w:jc w:val="both"/>
        <w:rPr>
          <w:bCs w:val="0"/>
          <w:kern w:val="2"/>
          <w:sz w:val="21"/>
          <w:szCs w:val="21"/>
        </w:rPr>
      </w:pPr>
      <w:bookmarkStart w:id="1671" w:name="_Toc532375656"/>
      <w:bookmarkStart w:id="1672" w:name="_Toc351203646"/>
      <w:bookmarkStart w:id="1673" w:name="_Toc532377393"/>
      <w:r>
        <w:rPr>
          <w:rFonts w:hint="eastAsia"/>
          <w:kern w:val="2"/>
          <w:sz w:val="21"/>
          <w:szCs w:val="21"/>
        </w:rPr>
        <w:t>14. 竣工结算</w:t>
      </w:r>
      <w:bookmarkEnd w:id="1671"/>
      <w:bookmarkEnd w:id="1672"/>
      <w:bookmarkEnd w:id="1673"/>
    </w:p>
    <w:p w14:paraId="7B062F35">
      <w:pPr>
        <w:pStyle w:val="7"/>
        <w:spacing w:before="0" w:beforeAutospacing="0" w:after="0" w:afterAutospacing="0" w:line="360" w:lineRule="auto"/>
        <w:ind w:firstLine="422" w:firstLineChars="200"/>
        <w:rPr>
          <w:sz w:val="21"/>
          <w:szCs w:val="21"/>
        </w:rPr>
      </w:pPr>
      <w:bookmarkStart w:id="1674" w:name="_Toc532375657"/>
      <w:bookmarkStart w:id="1675" w:name="_Toc532377394"/>
      <w:r>
        <w:rPr>
          <w:rFonts w:hint="eastAsia"/>
          <w:sz w:val="21"/>
          <w:szCs w:val="21"/>
        </w:rPr>
        <w:t>14.1 竣工结算申请</w:t>
      </w:r>
      <w:bookmarkEnd w:id="1674"/>
      <w:bookmarkEnd w:id="1675"/>
    </w:p>
    <w:p w14:paraId="232E18A6">
      <w:pPr>
        <w:spacing w:line="360" w:lineRule="auto"/>
        <w:ind w:right="105" w:rightChars="50" w:firstLine="420" w:firstLineChars="200"/>
        <w:jc w:val="left"/>
        <w:rPr>
          <w:rFonts w:ascii="宋体" w:hAnsi="宋体"/>
          <w:szCs w:val="21"/>
          <w:u w:val="single"/>
        </w:rPr>
      </w:pPr>
      <w:r>
        <w:rPr>
          <w:rFonts w:hint="eastAsia" w:ascii="宋体" w:hAnsi="宋体"/>
          <w:szCs w:val="21"/>
        </w:rPr>
        <w:t>承包人提交竣工结算申请单的期限：</w:t>
      </w:r>
      <w:r>
        <w:rPr>
          <w:rFonts w:hint="eastAsia" w:ascii="宋体" w:hAnsi="宋体"/>
          <w:szCs w:val="21"/>
          <w:u w:val="single"/>
        </w:rPr>
        <w:t>承包人应在工程竣工验收合格且报送</w:t>
      </w:r>
      <w:r>
        <w:rPr>
          <w:rFonts w:ascii="宋体" w:hAnsi="宋体"/>
          <w:szCs w:val="21"/>
          <w:u w:val="single"/>
        </w:rPr>
        <w:t>完整工程竣工资料</w:t>
      </w:r>
      <w:r>
        <w:rPr>
          <w:rFonts w:hint="eastAsia" w:ascii="宋体" w:hAnsi="宋体"/>
          <w:szCs w:val="21"/>
          <w:u w:val="single"/>
        </w:rPr>
        <w:t>之日起28天内向监理人、发包人提交竣工结算申请单，并向发包人报送完整的工程竣工资料及经监理人初审确认的完整的竣工结算资料</w:t>
      </w:r>
      <w:bookmarkStart w:id="1676" w:name="_Hlk524297994"/>
      <w:r>
        <w:rPr>
          <w:rFonts w:hint="eastAsia" w:ascii="宋体" w:hAnsi="宋体"/>
          <w:szCs w:val="21"/>
          <w:u w:val="single"/>
        </w:rPr>
        <w:t>。监理人或发包人对竣工结算申请单有异议的，应在接到竣工结算申请单后14天内要求承包人进行修正和提供补充资料，承包人在接到监理人或发包人提出的审核意见后，应在28天内按监理人或发包人提出的合理要求补充资料、修改竣工结算资料，并再次提交监理人或发包人审核。承包人未在规定时间内报送竣工结算资料给发包人造成经济损失的，承包人应承担赔偿责任。</w:t>
      </w:r>
    </w:p>
    <w:p w14:paraId="1D6D9A34">
      <w:pPr>
        <w:spacing w:line="360" w:lineRule="auto"/>
        <w:ind w:right="105" w:rightChars="50" w:firstLine="420" w:firstLineChars="200"/>
        <w:jc w:val="left"/>
        <w:rPr>
          <w:rFonts w:ascii="宋体" w:hAnsi="宋体"/>
          <w:szCs w:val="21"/>
        </w:rPr>
      </w:pPr>
      <w:r>
        <w:rPr>
          <w:rFonts w:hint="eastAsia" w:ascii="宋体" w:hAnsi="宋体"/>
          <w:szCs w:val="21"/>
        </w:rPr>
        <w:t>竣工结算申请单包括但不限于以下内容：</w:t>
      </w:r>
    </w:p>
    <w:p w14:paraId="2763DB95">
      <w:pPr>
        <w:spacing w:line="360" w:lineRule="auto"/>
        <w:ind w:right="105" w:rightChars="50" w:firstLine="420" w:firstLineChars="200"/>
        <w:jc w:val="left"/>
        <w:rPr>
          <w:rFonts w:ascii="宋体" w:hAnsi="宋体"/>
          <w:szCs w:val="21"/>
        </w:rPr>
      </w:pPr>
      <w:r>
        <w:rPr>
          <w:rFonts w:hint="eastAsia" w:ascii="宋体" w:hAnsi="宋体"/>
          <w:szCs w:val="21"/>
        </w:rPr>
        <w:t>（1）竣工结算合同价格；</w:t>
      </w:r>
    </w:p>
    <w:p w14:paraId="2208663D">
      <w:pPr>
        <w:spacing w:line="360" w:lineRule="auto"/>
        <w:ind w:right="105" w:rightChars="50" w:firstLine="420" w:firstLineChars="200"/>
        <w:jc w:val="left"/>
        <w:rPr>
          <w:rFonts w:ascii="宋体" w:hAnsi="宋体"/>
          <w:szCs w:val="21"/>
        </w:rPr>
      </w:pPr>
      <w:r>
        <w:rPr>
          <w:rFonts w:hint="eastAsia" w:ascii="宋体" w:hAnsi="宋体"/>
          <w:szCs w:val="21"/>
        </w:rPr>
        <w:t>（2）变更增减金额；</w:t>
      </w:r>
    </w:p>
    <w:p w14:paraId="15999E86">
      <w:pPr>
        <w:spacing w:line="360" w:lineRule="auto"/>
        <w:ind w:right="105" w:rightChars="50" w:firstLine="420" w:firstLineChars="200"/>
        <w:jc w:val="left"/>
        <w:rPr>
          <w:rFonts w:ascii="宋体" w:hAnsi="宋体"/>
          <w:szCs w:val="21"/>
        </w:rPr>
      </w:pPr>
      <w:r>
        <w:rPr>
          <w:rFonts w:hint="eastAsia" w:ascii="宋体" w:hAnsi="宋体"/>
          <w:szCs w:val="21"/>
        </w:rPr>
        <w:t>（3）现场签证增减金额；</w:t>
      </w:r>
    </w:p>
    <w:p w14:paraId="20980CAF">
      <w:pPr>
        <w:spacing w:line="360" w:lineRule="auto"/>
        <w:ind w:right="105" w:rightChars="50" w:firstLine="420" w:firstLineChars="200"/>
        <w:jc w:val="left"/>
        <w:rPr>
          <w:rFonts w:ascii="宋体" w:hAnsi="宋体"/>
          <w:szCs w:val="21"/>
        </w:rPr>
      </w:pPr>
      <w:r>
        <w:rPr>
          <w:rFonts w:hint="eastAsia" w:ascii="宋体" w:hAnsi="宋体"/>
          <w:szCs w:val="21"/>
        </w:rPr>
        <w:t>（4）索赔增减金额；</w:t>
      </w:r>
    </w:p>
    <w:p w14:paraId="05B942B2">
      <w:pPr>
        <w:spacing w:line="360" w:lineRule="auto"/>
        <w:ind w:right="105" w:rightChars="50" w:firstLine="420" w:firstLineChars="200"/>
        <w:jc w:val="left"/>
        <w:rPr>
          <w:rFonts w:ascii="宋体" w:hAnsi="宋体"/>
          <w:szCs w:val="21"/>
        </w:rPr>
      </w:pPr>
      <w:r>
        <w:rPr>
          <w:rFonts w:hint="eastAsia" w:ascii="宋体" w:hAnsi="宋体"/>
          <w:szCs w:val="21"/>
        </w:rPr>
        <w:t>（5）奖励、罚金及违约金；</w:t>
      </w:r>
    </w:p>
    <w:p w14:paraId="4BC8811A">
      <w:pPr>
        <w:spacing w:line="360" w:lineRule="auto"/>
        <w:ind w:right="105" w:rightChars="50" w:firstLine="420" w:firstLineChars="200"/>
        <w:jc w:val="left"/>
        <w:rPr>
          <w:rFonts w:ascii="宋体" w:hAnsi="宋体"/>
          <w:szCs w:val="21"/>
        </w:rPr>
      </w:pPr>
      <w:r>
        <w:rPr>
          <w:rFonts w:hint="eastAsia" w:ascii="宋体" w:hAnsi="宋体"/>
          <w:szCs w:val="21"/>
        </w:rPr>
        <w:t>（6）发包人已支付承包人的款项；</w:t>
      </w:r>
    </w:p>
    <w:p w14:paraId="73E7DA1C">
      <w:pPr>
        <w:spacing w:line="360" w:lineRule="auto"/>
        <w:ind w:right="105" w:rightChars="50" w:firstLine="420" w:firstLineChars="200"/>
        <w:jc w:val="left"/>
        <w:rPr>
          <w:rFonts w:ascii="宋体" w:hAnsi="宋体"/>
          <w:szCs w:val="21"/>
        </w:rPr>
      </w:pPr>
      <w:r>
        <w:rPr>
          <w:rFonts w:hint="eastAsia" w:ascii="宋体" w:hAnsi="宋体"/>
          <w:szCs w:val="21"/>
        </w:rPr>
        <w:t>（7）应扣留的质量保证金；</w:t>
      </w:r>
    </w:p>
    <w:p w14:paraId="3DF388C0">
      <w:pPr>
        <w:spacing w:line="360" w:lineRule="auto"/>
        <w:ind w:right="105" w:rightChars="50" w:firstLine="420" w:firstLineChars="200"/>
        <w:jc w:val="left"/>
        <w:rPr>
          <w:rFonts w:ascii="宋体" w:hAnsi="宋体"/>
          <w:szCs w:val="21"/>
        </w:rPr>
      </w:pPr>
      <w:r>
        <w:rPr>
          <w:rFonts w:hint="eastAsia" w:ascii="宋体" w:hAnsi="宋体"/>
          <w:szCs w:val="21"/>
        </w:rPr>
        <w:t>（8）发包人应支付承包人的合同价款。</w:t>
      </w:r>
      <w:bookmarkEnd w:id="1676"/>
    </w:p>
    <w:p w14:paraId="4E751058">
      <w:pPr>
        <w:spacing w:line="360" w:lineRule="auto"/>
        <w:ind w:right="105" w:rightChars="50" w:firstLine="420" w:firstLineChars="200"/>
        <w:jc w:val="left"/>
        <w:rPr>
          <w:rFonts w:ascii="宋体" w:hAnsi="宋体"/>
          <w:szCs w:val="21"/>
        </w:rPr>
      </w:pPr>
      <w:r>
        <w:rPr>
          <w:rFonts w:hint="eastAsia" w:ascii="宋体" w:hAnsi="宋体"/>
          <w:szCs w:val="21"/>
        </w:rPr>
        <w:t>（9）</w:t>
      </w:r>
      <w:r>
        <w:rPr>
          <w:rFonts w:hint="eastAsia" w:ascii="宋体" w:hAnsi="宋体"/>
          <w:szCs w:val="21"/>
          <w:u w:val="single"/>
        </w:rPr>
        <w:t xml:space="preserve">        </w:t>
      </w:r>
      <w:r>
        <w:rPr>
          <w:rFonts w:hint="eastAsia" w:ascii="宋体" w:hAnsi="宋体"/>
          <w:szCs w:val="21"/>
        </w:rPr>
        <w:t>。</w:t>
      </w:r>
    </w:p>
    <w:p w14:paraId="4ED83B5B">
      <w:pPr>
        <w:pStyle w:val="7"/>
        <w:spacing w:before="0" w:beforeAutospacing="0" w:after="0" w:afterAutospacing="0" w:line="360" w:lineRule="auto"/>
        <w:ind w:firstLine="422" w:firstLineChars="200"/>
        <w:rPr>
          <w:sz w:val="21"/>
          <w:szCs w:val="21"/>
        </w:rPr>
      </w:pPr>
      <w:bookmarkStart w:id="1677" w:name="_Toc532375658"/>
      <w:bookmarkStart w:id="1678" w:name="_Toc532377395"/>
      <w:r>
        <w:rPr>
          <w:rFonts w:hint="eastAsia"/>
          <w:sz w:val="21"/>
          <w:szCs w:val="21"/>
        </w:rPr>
        <w:t>14.2 竣工结算审核</w:t>
      </w:r>
      <w:bookmarkEnd w:id="1677"/>
      <w:bookmarkEnd w:id="1678"/>
    </w:p>
    <w:p w14:paraId="36D8C950">
      <w:pPr>
        <w:spacing w:line="360" w:lineRule="auto"/>
        <w:ind w:right="105" w:rightChars="50" w:firstLine="420" w:firstLineChars="200"/>
        <w:jc w:val="left"/>
        <w:rPr>
          <w:rFonts w:ascii="宋体" w:hAnsi="宋体"/>
          <w:szCs w:val="21"/>
        </w:rPr>
      </w:pPr>
      <w:r>
        <w:rPr>
          <w:rFonts w:hint="eastAsia" w:ascii="宋体" w:hAnsi="宋体"/>
          <w:szCs w:val="21"/>
        </w:rPr>
        <w:t>14.2.1 竣工结算办法</w:t>
      </w:r>
    </w:p>
    <w:p w14:paraId="27456EE8">
      <w:pPr>
        <w:spacing w:line="360" w:lineRule="auto"/>
        <w:ind w:right="105" w:rightChars="50" w:firstLine="420" w:firstLineChars="200"/>
        <w:jc w:val="left"/>
        <w:rPr>
          <w:rFonts w:ascii="宋体" w:hAnsi="宋体"/>
          <w:szCs w:val="21"/>
        </w:rPr>
      </w:pPr>
      <w:r>
        <w:rPr>
          <w:rFonts w:hint="eastAsia" w:ascii="宋体" w:hAnsi="宋体"/>
          <w:szCs w:val="21"/>
        </w:rPr>
        <w:t>14.2.1.1计量原则</w:t>
      </w:r>
    </w:p>
    <w:p w14:paraId="137376A2">
      <w:pPr>
        <w:spacing w:line="360" w:lineRule="auto"/>
        <w:ind w:right="105" w:rightChars="50" w:firstLine="420" w:firstLineChars="200"/>
        <w:jc w:val="left"/>
        <w:rPr>
          <w:rFonts w:ascii="宋体" w:hAnsi="宋体"/>
          <w:szCs w:val="21"/>
          <w:u w:val="single"/>
        </w:rPr>
      </w:pPr>
      <w:r>
        <w:rPr>
          <w:rFonts w:hint="eastAsia" w:ascii="宋体" w:hAnsi="宋体"/>
          <w:szCs w:val="21"/>
        </w:rPr>
        <w:t>按照第12.3.1项〔计量原则〕约定执行。</w:t>
      </w:r>
    </w:p>
    <w:p w14:paraId="67D28AE6">
      <w:pPr>
        <w:spacing w:line="360" w:lineRule="auto"/>
        <w:ind w:right="105" w:rightChars="50" w:firstLine="420" w:firstLineChars="200"/>
        <w:jc w:val="left"/>
        <w:rPr>
          <w:rFonts w:ascii="宋体" w:hAnsi="宋体"/>
          <w:szCs w:val="21"/>
        </w:rPr>
      </w:pPr>
      <w:r>
        <w:rPr>
          <w:rFonts w:hint="eastAsia" w:ascii="宋体" w:hAnsi="宋体"/>
          <w:szCs w:val="21"/>
        </w:rPr>
        <w:t>14.2.1.2计价原则</w:t>
      </w:r>
    </w:p>
    <w:p w14:paraId="25AEC456">
      <w:pPr>
        <w:tabs>
          <w:tab w:val="left" w:pos="711"/>
          <w:tab w:val="left" w:pos="2580"/>
        </w:tabs>
        <w:spacing w:line="360" w:lineRule="auto"/>
        <w:ind w:right="105" w:rightChars="50" w:firstLine="420" w:firstLineChars="200"/>
        <w:jc w:val="left"/>
        <w:textAlignment w:val="baseline"/>
        <w:rPr>
          <w:u w:val="single"/>
        </w:rPr>
      </w:pPr>
      <w:r>
        <w:rPr>
          <w:rFonts w:hint="eastAsia"/>
          <w:u w:val="single"/>
        </w:rPr>
        <w:t xml:space="preserve">各部分的结算原则如下： </w:t>
      </w:r>
    </w:p>
    <w:p w14:paraId="05B9AF4E">
      <w:pPr>
        <w:spacing w:line="360" w:lineRule="auto"/>
        <w:ind w:firstLine="420" w:firstLineChars="200"/>
        <w:jc w:val="left"/>
        <w:rPr>
          <w:rFonts w:ascii="宋体" w:hAnsi="宋体"/>
          <w:kern w:val="0"/>
          <w:szCs w:val="21"/>
        </w:rPr>
      </w:pPr>
      <w:r>
        <w:rPr>
          <w:rFonts w:hint="eastAsia" w:ascii="宋体" w:hAnsi="宋体"/>
          <w:kern w:val="0"/>
          <w:szCs w:val="21"/>
        </w:rPr>
        <w:t>结算价=已完工合格分部分项工程量清单结算价+措施费（安全文明施工费除外）+分部分项工程量清单新增或变更等引起的增（减）子项结算价+暂列金额确定价+安全文明施工费+规费+税金</w:t>
      </w:r>
    </w:p>
    <w:p w14:paraId="4573342D">
      <w:pPr>
        <w:spacing w:line="360" w:lineRule="auto"/>
        <w:ind w:firstLine="420" w:firstLineChars="200"/>
        <w:jc w:val="left"/>
        <w:rPr>
          <w:rFonts w:ascii="宋体" w:hAnsi="宋体"/>
          <w:kern w:val="0"/>
          <w:szCs w:val="21"/>
        </w:rPr>
      </w:pPr>
      <w:r>
        <w:rPr>
          <w:rFonts w:hint="eastAsia" w:ascii="宋体" w:hAnsi="宋体"/>
          <w:kern w:val="0"/>
          <w:szCs w:val="21"/>
        </w:rPr>
        <w:t xml:space="preserve">各部分的结算原则如下： </w:t>
      </w:r>
    </w:p>
    <w:p w14:paraId="50A13C44">
      <w:pPr>
        <w:spacing w:line="360" w:lineRule="auto"/>
        <w:ind w:firstLine="420" w:firstLineChars="200"/>
        <w:jc w:val="left"/>
        <w:rPr>
          <w:rFonts w:ascii="宋体" w:hAnsi="宋体"/>
          <w:kern w:val="0"/>
          <w:szCs w:val="21"/>
        </w:rPr>
      </w:pPr>
      <w:r>
        <w:rPr>
          <w:rFonts w:hint="eastAsia" w:ascii="宋体" w:hAnsi="宋体"/>
          <w:kern w:val="0"/>
          <w:szCs w:val="21"/>
        </w:rPr>
        <w:t>3.1各分部分项工程量清单结算价：</w:t>
      </w:r>
    </w:p>
    <w:p w14:paraId="433273CA">
      <w:pPr>
        <w:spacing w:line="360" w:lineRule="auto"/>
        <w:ind w:firstLine="420" w:firstLineChars="200"/>
        <w:jc w:val="left"/>
        <w:rPr>
          <w:rFonts w:ascii="宋体" w:hAnsi="宋体"/>
          <w:kern w:val="0"/>
          <w:szCs w:val="21"/>
        </w:rPr>
      </w:pPr>
      <w:r>
        <w:rPr>
          <w:rFonts w:hint="eastAsia" w:ascii="宋体" w:hAnsi="宋体"/>
          <w:kern w:val="0"/>
          <w:szCs w:val="21"/>
        </w:rPr>
        <w:t>以中标人投标报价时的分部分项工程量清单中子项综合单价×子项工程量。</w:t>
      </w:r>
    </w:p>
    <w:p w14:paraId="0B762849">
      <w:pPr>
        <w:spacing w:line="360" w:lineRule="auto"/>
        <w:ind w:firstLine="420" w:firstLineChars="200"/>
        <w:jc w:val="left"/>
        <w:rPr>
          <w:rFonts w:ascii="宋体" w:hAnsi="宋体"/>
          <w:kern w:val="0"/>
          <w:szCs w:val="21"/>
        </w:rPr>
      </w:pPr>
      <w:r>
        <w:rPr>
          <w:rFonts w:hint="eastAsia" w:ascii="宋体" w:hAnsi="宋体"/>
          <w:kern w:val="0"/>
          <w:szCs w:val="21"/>
        </w:rPr>
        <w:t>（1）子项工程量：子项工程量按《建设工程工程量清单计价规范》（GB50500-2013）、《市政工程工程量计算规范》（GB50857-2013）和《重庆市建设工程工程量计算规则》（CQJLGZ-2013）约定的计量规则计算的实际合格工程量，工程量计算以施工图及设计变更、有效签字资料结合竣工图和现场实际情况作为依据进行结算审核,并经审计(评审)后作为结算依据。</w:t>
      </w:r>
    </w:p>
    <w:p w14:paraId="5EA893DE">
      <w:pPr>
        <w:spacing w:line="360" w:lineRule="auto"/>
        <w:ind w:firstLine="420" w:firstLineChars="200"/>
        <w:jc w:val="left"/>
        <w:rPr>
          <w:rFonts w:ascii="宋体" w:hAnsi="宋体"/>
          <w:kern w:val="0"/>
          <w:szCs w:val="21"/>
        </w:rPr>
      </w:pPr>
      <w:r>
        <w:rPr>
          <w:rFonts w:hint="eastAsia" w:ascii="宋体" w:hAnsi="宋体"/>
          <w:kern w:val="0"/>
          <w:szCs w:val="21"/>
        </w:rPr>
        <w:t>（2）无论实际工程量与采购工程量清单量差大小，子项综合单价均以中标人投标报价时的分部分项工程量清单中子项综合单价为结算依据。某一子项的合价报价小于所报综合单价与工程量清单量的相乘所得的合价，则结算时以该子项合价报价除以相应子项工程量清单量所得的单价为相应子项的结算单价。如中标总价小于各工程量清单报价之和，则结算总价按中标总价与工程量清单报价之和相比的同比例进行下浮。如两种情形均存在，则先按中标总价与工程量清单报价之和相比的同比例下浮该子项总价，再用下浮后的合价报价除以相应子项工程量清单量所得的单价为相应子项的结算单价。</w:t>
      </w:r>
    </w:p>
    <w:p w14:paraId="60E960D8">
      <w:pPr>
        <w:spacing w:line="360" w:lineRule="auto"/>
        <w:ind w:firstLine="420" w:firstLineChars="200"/>
        <w:jc w:val="left"/>
        <w:rPr>
          <w:rFonts w:ascii="宋体" w:hAnsi="宋体"/>
          <w:kern w:val="0"/>
          <w:szCs w:val="21"/>
        </w:rPr>
      </w:pPr>
      <w:r>
        <w:rPr>
          <w:rFonts w:hint="eastAsia" w:ascii="宋体" w:hAnsi="宋体"/>
          <w:kern w:val="0"/>
          <w:szCs w:val="21"/>
        </w:rPr>
        <w:t>3.2措施项目费。</w:t>
      </w:r>
    </w:p>
    <w:p w14:paraId="245E8A21">
      <w:pPr>
        <w:spacing w:line="360" w:lineRule="auto"/>
        <w:ind w:firstLine="420" w:firstLineChars="200"/>
        <w:jc w:val="left"/>
        <w:rPr>
          <w:rFonts w:ascii="宋体" w:hAnsi="宋体"/>
          <w:kern w:val="0"/>
          <w:szCs w:val="21"/>
        </w:rPr>
      </w:pPr>
      <w:r>
        <w:rPr>
          <w:rFonts w:hint="eastAsia" w:ascii="宋体" w:hAnsi="宋体"/>
          <w:kern w:val="0"/>
          <w:szCs w:val="21"/>
        </w:rPr>
        <w:t>（1） 施工组织措施项目费：无论因设计变更或施工工艺变化等任何因素而引起实际措施费的变化，均按投标时施工组织措施项目费的报价作为结算价（除安全文明施工费外）。如果漏项或不报价，视为已包含在其他项目清单综合单价内。中标后施工组织措施项目费用一概不作调整。</w:t>
      </w:r>
    </w:p>
    <w:p w14:paraId="7D26EB7D">
      <w:pPr>
        <w:spacing w:line="360" w:lineRule="auto"/>
        <w:ind w:firstLine="420" w:firstLineChars="200"/>
        <w:jc w:val="left"/>
        <w:rPr>
          <w:rFonts w:ascii="宋体" w:hAnsi="宋体"/>
          <w:kern w:val="0"/>
          <w:szCs w:val="21"/>
        </w:rPr>
      </w:pPr>
      <w:r>
        <w:rPr>
          <w:rFonts w:hint="eastAsia" w:ascii="宋体" w:hAnsi="宋体"/>
          <w:kern w:val="0"/>
          <w:szCs w:val="21"/>
        </w:rPr>
        <w:t>（2） 施工技术措施项目费：技术措施清单中以项计列的项目，无论因设计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约定的计量规则计算的实际合格工程量办理结算。</w:t>
      </w:r>
    </w:p>
    <w:p w14:paraId="36C70D88">
      <w:pPr>
        <w:spacing w:line="360" w:lineRule="auto"/>
        <w:ind w:firstLine="420" w:firstLineChars="200"/>
        <w:jc w:val="left"/>
        <w:rPr>
          <w:rFonts w:ascii="宋体" w:hAnsi="宋体"/>
          <w:kern w:val="0"/>
          <w:szCs w:val="21"/>
        </w:rPr>
      </w:pPr>
      <w:r>
        <w:rPr>
          <w:rFonts w:hint="eastAsia" w:ascii="宋体" w:hAnsi="宋体"/>
          <w:kern w:val="0"/>
          <w:szCs w:val="21"/>
        </w:rPr>
        <w:t>3.3安全文明施工费：施工合同签订后10日内支付安全文明施工方费暂定金额的50%，剩余部分随工程进度支付，其余规定按渝建发〔2014〕25号文结合渝建发〔2016〕35号、渝建管〔2020〕97号文规定执行。</w:t>
      </w:r>
    </w:p>
    <w:p w14:paraId="413EA80F">
      <w:pPr>
        <w:spacing w:line="360" w:lineRule="auto"/>
        <w:ind w:firstLine="420" w:firstLineChars="200"/>
        <w:jc w:val="left"/>
        <w:rPr>
          <w:rFonts w:ascii="宋体" w:hAnsi="宋体"/>
          <w:kern w:val="0"/>
          <w:szCs w:val="21"/>
        </w:rPr>
      </w:pPr>
      <w:r>
        <w:rPr>
          <w:rFonts w:hint="eastAsia" w:ascii="宋体" w:hAnsi="宋体"/>
          <w:kern w:val="0"/>
          <w:szCs w:val="21"/>
        </w:rPr>
        <w:t>3.4规费：按规定费率结算。</w:t>
      </w:r>
    </w:p>
    <w:p w14:paraId="60240601">
      <w:pPr>
        <w:spacing w:line="360" w:lineRule="auto"/>
        <w:ind w:firstLine="420" w:firstLineChars="200"/>
        <w:jc w:val="left"/>
        <w:rPr>
          <w:rFonts w:ascii="宋体" w:hAnsi="宋体"/>
          <w:kern w:val="0"/>
          <w:szCs w:val="21"/>
        </w:rPr>
      </w:pPr>
      <w:r>
        <w:rPr>
          <w:rFonts w:hint="eastAsia" w:ascii="宋体" w:hAnsi="宋体"/>
          <w:kern w:val="0"/>
          <w:szCs w:val="21"/>
        </w:rPr>
        <w:t>3.5税金：按规定费率结算。若中标人的投标报价中税金费率高于规定费率，则以规定费率结算。投标报价中低于规定费率则以中标人的费率结算。</w:t>
      </w:r>
    </w:p>
    <w:p w14:paraId="0D11EC3B">
      <w:pPr>
        <w:spacing w:line="360" w:lineRule="auto"/>
        <w:ind w:firstLine="420" w:firstLineChars="200"/>
        <w:jc w:val="left"/>
        <w:rPr>
          <w:rFonts w:ascii="宋体" w:hAnsi="宋体"/>
          <w:kern w:val="0"/>
          <w:szCs w:val="21"/>
        </w:rPr>
      </w:pPr>
      <w:r>
        <w:rPr>
          <w:rFonts w:hint="eastAsia" w:ascii="宋体" w:hAnsi="宋体"/>
          <w:kern w:val="0"/>
          <w:szCs w:val="21"/>
        </w:rPr>
        <w:t>3.6设计变更及调整、施工过程中出现新增项目（含采购范围以外的项目）价款结算办法：工程设计变更确定后，设计变更涉及工程价款调整的，工程施工中出现新增项目，由中标人在该变更、新增项目启动前14天内向监理单位、采购人提出，经采购人、监理单位审核同意后调整合同价款。调整方法如下：</w:t>
      </w:r>
    </w:p>
    <w:p w14:paraId="5ADEA9C4">
      <w:pPr>
        <w:spacing w:line="360" w:lineRule="auto"/>
        <w:ind w:firstLine="420" w:firstLineChars="200"/>
        <w:jc w:val="left"/>
        <w:rPr>
          <w:rFonts w:ascii="宋体" w:hAnsi="宋体"/>
          <w:kern w:val="0"/>
          <w:szCs w:val="21"/>
        </w:rPr>
      </w:pPr>
      <w:r>
        <w:rPr>
          <w:rFonts w:hint="eastAsia" w:ascii="宋体" w:hAnsi="宋体"/>
          <w:kern w:val="0"/>
          <w:szCs w:val="21"/>
        </w:rPr>
        <w:t>A．工程内容与投标报价的工程量清单中有相同的子项或类似子项，则按投标时的相同子项或类似子项的综合单价执行（类似子项的综合单价由采购人审定, 最终办理结算以采购人结算内审结果为准，若经相关部门结（决）算审查，采购人有权对工程结算内审价款进行调整。）；</w:t>
      </w:r>
    </w:p>
    <w:p w14:paraId="6269EF45">
      <w:pPr>
        <w:spacing w:line="360" w:lineRule="auto"/>
        <w:ind w:firstLine="420" w:firstLineChars="200"/>
        <w:jc w:val="left"/>
        <w:rPr>
          <w:rFonts w:ascii="宋体" w:hAnsi="宋体"/>
          <w:kern w:val="0"/>
          <w:szCs w:val="21"/>
        </w:rPr>
      </w:pPr>
      <w:r>
        <w:rPr>
          <w:rFonts w:hint="eastAsia" w:ascii="宋体" w:hAnsi="宋体"/>
          <w:kern w:val="0"/>
          <w:szCs w:val="21"/>
        </w:rPr>
        <w:t>B．工程内容如有与工程量清单不同的子项按《建设工程工程量清单计价规范》（GB50500-2013）及相关技术规范、要求编制工程量清单，同时结合《重庆市市政工程计价定额》、《重庆市安装工程计价定额》、《重庆市建设工程费用定额》、《混凝土及砂浆配合比表、施工机械台班定额》及相关配套文件套价，套价原则：投标报价与限价下浮比例进行总价同比例下浮，并报采购人审核，其中（人工、材料价格：按投标价格；投标书中没有的人工、材料价格以采购人认质核定的价格为准）。工程量为依据《市政工程工程量计算规范》（GB50857-2013）以及《重庆市建设工程工程量计算规则》（CQJLGZ－2013）约定的计量规则计算的实际合格工程量。</w:t>
      </w:r>
    </w:p>
    <w:p w14:paraId="2AAB1072">
      <w:pPr>
        <w:spacing w:line="360" w:lineRule="auto"/>
        <w:ind w:firstLine="420" w:firstLineChars="200"/>
        <w:jc w:val="left"/>
        <w:rPr>
          <w:rFonts w:ascii="宋体" w:hAnsi="宋体"/>
          <w:kern w:val="0"/>
          <w:szCs w:val="21"/>
        </w:rPr>
      </w:pPr>
      <w:r>
        <w:rPr>
          <w:rFonts w:hint="eastAsia" w:ascii="宋体" w:hAnsi="宋体"/>
          <w:kern w:val="0"/>
          <w:szCs w:val="21"/>
        </w:rPr>
        <w:t>3.7本工程结算以审核结果为准，若需相关部门结（决）算审查的，采购人将对工程结算审核价款进行调整，最后价格以调整后的为准。审计依据包括本合同以及政府审计相关法律法规及规范性文件。</w:t>
      </w:r>
    </w:p>
    <w:p w14:paraId="708BCBBA">
      <w:pPr>
        <w:spacing w:line="360" w:lineRule="auto"/>
        <w:ind w:firstLine="420" w:firstLineChars="200"/>
        <w:jc w:val="left"/>
        <w:rPr>
          <w:rFonts w:ascii="宋体" w:hAnsi="宋体"/>
          <w:kern w:val="0"/>
          <w:szCs w:val="21"/>
        </w:rPr>
      </w:pPr>
      <w:r>
        <w:rPr>
          <w:rFonts w:hint="eastAsia" w:ascii="宋体" w:hAnsi="宋体"/>
          <w:kern w:val="0"/>
          <w:szCs w:val="21"/>
        </w:rPr>
        <w:t>3.8分部分项清单中相同项目名称、项目特征、工作内容、计量单位的清单投标报价必须一致，若不一致按最低报价进行结算。</w:t>
      </w:r>
    </w:p>
    <w:p w14:paraId="5978AE12">
      <w:pPr>
        <w:pStyle w:val="2"/>
        <w:ind w:firstLine="420" w:firstLineChars="200"/>
        <w:rPr>
          <w:rFonts w:hint="eastAsia" w:ascii="宋体" w:hAnsi="宋体" w:eastAsia="宋体" w:cs="Times New Roman"/>
          <w:kern w:val="0"/>
          <w:sz w:val="21"/>
          <w:szCs w:val="21"/>
          <w:lang w:val="en-US" w:eastAsia="zh-CN" w:bidi="ar-SA"/>
        </w:rPr>
      </w:pPr>
      <w:r>
        <w:rPr>
          <w:rFonts w:hint="eastAsia" w:ascii="宋体" w:hAnsi="宋体" w:eastAsia="宋体" w:cs="Times New Roman"/>
          <w:kern w:val="0"/>
          <w:sz w:val="21"/>
          <w:szCs w:val="21"/>
          <w:lang w:val="en-US" w:eastAsia="zh-CN" w:bidi="ar-SA"/>
        </w:rPr>
        <w:t>3.9本项目不因市场价格的波动调整材料价格。</w:t>
      </w:r>
    </w:p>
    <w:p w14:paraId="7D6CC4E1">
      <w:pPr>
        <w:ind w:firstLine="422" w:firstLineChars="200"/>
        <w:rPr>
          <w:rFonts w:hint="eastAsia" w:ascii="宋体" w:hAnsi="宋体" w:eastAsia="宋体" w:cs="Times New Roman"/>
          <w:b/>
          <w:bCs/>
          <w:kern w:val="0"/>
          <w:sz w:val="21"/>
          <w:szCs w:val="21"/>
          <w:lang w:val="en-US" w:eastAsia="zh-CN" w:bidi="ar-SA"/>
        </w:rPr>
      </w:pPr>
      <w:r>
        <w:rPr>
          <w:rFonts w:hint="eastAsia" w:ascii="宋体" w:hAnsi="宋体" w:eastAsia="宋体" w:cs="Times New Roman"/>
          <w:b/>
          <w:bCs/>
          <w:kern w:val="0"/>
          <w:sz w:val="21"/>
          <w:szCs w:val="21"/>
          <w:lang w:val="en-US" w:eastAsia="zh-CN" w:bidi="ar-SA"/>
        </w:rPr>
        <w:t>4、特别说明：“渣场处置费（土石方）”必须按照工程量清单综合单价价格45元/m³填报，否则由评标委员会作否决投标处理。弃土场回填过程中应符合业主相关管理规定。严禁私自接收外来渣土。若经发现违者罚款10万元每车每次。累计3次业主有权解除合同并追究相关责任。</w:t>
      </w:r>
    </w:p>
    <w:p w14:paraId="32024A7E">
      <w:pPr>
        <w:spacing w:line="360" w:lineRule="auto"/>
        <w:ind w:firstLine="422" w:firstLineChars="200"/>
        <w:jc w:val="left"/>
        <w:rPr>
          <w:rFonts w:ascii="宋体" w:hAnsi="宋体"/>
          <w:b/>
          <w:bCs/>
          <w:szCs w:val="21"/>
        </w:rPr>
      </w:pPr>
      <w:r>
        <w:rPr>
          <w:rFonts w:hint="eastAsia" w:ascii="宋体" w:hAnsi="宋体"/>
          <w:b/>
          <w:bCs/>
          <w:szCs w:val="21"/>
        </w:rPr>
        <w:t>14.3审减效益费：</w:t>
      </w:r>
    </w:p>
    <w:p w14:paraId="29703D90">
      <w:pPr>
        <w:spacing w:line="360" w:lineRule="auto"/>
        <w:ind w:firstLine="420" w:firstLineChars="200"/>
        <w:jc w:val="left"/>
        <w:rPr>
          <w:rFonts w:ascii="宋体" w:hAnsi="宋体"/>
          <w:kern w:val="0"/>
          <w:szCs w:val="21"/>
        </w:rPr>
      </w:pPr>
      <w:r>
        <w:rPr>
          <w:rFonts w:hint="eastAsia" w:ascii="宋体" w:hAnsi="宋体"/>
          <w:kern w:val="0"/>
          <w:szCs w:val="21"/>
        </w:rPr>
        <w:t>委托方只支付基本审计费，所有审减金额的效益费由投标人支付；按规定应由施工单位支付审减效益费的，中标人须根据其审减金额按附表中相关规定计算。</w:t>
      </w:r>
    </w:p>
    <w:p w14:paraId="53D8A1E7">
      <w:pPr>
        <w:spacing w:line="360" w:lineRule="auto"/>
        <w:ind w:firstLine="420" w:firstLineChars="200"/>
        <w:jc w:val="left"/>
      </w:pPr>
      <w:r>
        <w:rPr>
          <w:rFonts w:hint="eastAsia" w:ascii="宋体" w:hAnsi="宋体"/>
          <w:kern w:val="0"/>
          <w:szCs w:val="21"/>
        </w:rPr>
        <w:t>在集团或国家审计机构、财政评审机构的二次审计中，发包人审核结算金额与国家审计机构、财政评审机构审核结算金额相比，审减率在5%以上（含5%）时，承包人同样需支付审减金额的效益费，审减效益费按渝价〔2013〕428号文件附表中相关规定计算，结算审核审减效益费计取基数为本项目的审减额，该审减额应抵消审增金额，审减效益费按照累进制计取，且不按工程类别调整系数。</w:t>
      </w:r>
    </w:p>
    <w:p w14:paraId="19A0BCE8">
      <w:pPr>
        <w:pStyle w:val="7"/>
        <w:spacing w:before="0" w:beforeAutospacing="0" w:after="0" w:afterAutospacing="0" w:line="360" w:lineRule="auto"/>
        <w:ind w:firstLine="422" w:firstLineChars="200"/>
        <w:rPr>
          <w:sz w:val="21"/>
          <w:szCs w:val="21"/>
        </w:rPr>
      </w:pPr>
      <w:bookmarkStart w:id="1679" w:name="_Toc532377396"/>
      <w:bookmarkStart w:id="1680" w:name="_Toc532375659"/>
      <w:r>
        <w:rPr>
          <w:rFonts w:hint="eastAsia"/>
          <w:sz w:val="21"/>
          <w:szCs w:val="21"/>
        </w:rPr>
        <w:t>14.4 最终结清</w:t>
      </w:r>
      <w:bookmarkEnd w:id="1679"/>
      <w:bookmarkEnd w:id="1680"/>
    </w:p>
    <w:p w14:paraId="1DCF007B">
      <w:pPr>
        <w:spacing w:line="360" w:lineRule="auto"/>
        <w:ind w:right="105" w:rightChars="50" w:firstLine="420" w:firstLineChars="200"/>
        <w:jc w:val="left"/>
        <w:rPr>
          <w:rFonts w:ascii="宋体" w:hAnsi="宋体"/>
          <w:szCs w:val="21"/>
        </w:rPr>
      </w:pPr>
      <w:r>
        <w:rPr>
          <w:rFonts w:hint="eastAsia" w:ascii="宋体" w:hAnsi="宋体"/>
          <w:szCs w:val="21"/>
        </w:rPr>
        <w:t>14.4.1 最终结清申请单</w:t>
      </w:r>
    </w:p>
    <w:p w14:paraId="493CC480">
      <w:pPr>
        <w:spacing w:line="360" w:lineRule="auto"/>
        <w:ind w:right="105" w:rightChars="50" w:firstLine="420" w:firstLineChars="200"/>
        <w:jc w:val="left"/>
        <w:rPr>
          <w:rFonts w:ascii="宋体" w:hAnsi="宋体"/>
          <w:szCs w:val="21"/>
        </w:rPr>
      </w:pPr>
      <w:r>
        <w:rPr>
          <w:rFonts w:hint="eastAsia" w:ascii="宋体" w:hAnsi="宋体"/>
          <w:szCs w:val="21"/>
        </w:rPr>
        <w:t>承包人提交最终结清申请单的份数：</w:t>
      </w:r>
      <w:r>
        <w:rPr>
          <w:rFonts w:hint="eastAsia" w:ascii="宋体" w:hAnsi="宋体"/>
          <w:szCs w:val="21"/>
          <w:u w:val="single"/>
        </w:rPr>
        <w:t>3份</w:t>
      </w:r>
      <w:r>
        <w:rPr>
          <w:rFonts w:hint="eastAsia" w:ascii="宋体" w:hAnsi="宋体"/>
          <w:szCs w:val="21"/>
        </w:rPr>
        <w:t>。</w:t>
      </w:r>
    </w:p>
    <w:p w14:paraId="6E858304">
      <w:pPr>
        <w:spacing w:line="360" w:lineRule="auto"/>
        <w:ind w:right="105" w:rightChars="50" w:firstLine="420" w:firstLineChars="200"/>
        <w:jc w:val="left"/>
        <w:rPr>
          <w:rFonts w:ascii="宋体" w:hAnsi="宋体"/>
          <w:szCs w:val="21"/>
        </w:rPr>
      </w:pPr>
      <w:r>
        <w:rPr>
          <w:rFonts w:hint="eastAsia" w:ascii="宋体" w:hAnsi="宋体"/>
          <w:szCs w:val="21"/>
        </w:rPr>
        <w:t>承包人提交最终结算申请单的期限：</w:t>
      </w:r>
      <w:r>
        <w:rPr>
          <w:rFonts w:hint="eastAsia" w:ascii="宋体" w:hAnsi="宋体"/>
          <w:szCs w:val="21"/>
          <w:u w:val="single"/>
        </w:rPr>
        <w:t>缺陷责任期终止证书颁发后14天内</w:t>
      </w:r>
      <w:r>
        <w:rPr>
          <w:rFonts w:hint="eastAsia" w:ascii="宋体" w:hAnsi="宋体"/>
          <w:szCs w:val="21"/>
        </w:rPr>
        <w:t>。</w:t>
      </w:r>
    </w:p>
    <w:p w14:paraId="0886624E">
      <w:pPr>
        <w:spacing w:line="360" w:lineRule="auto"/>
        <w:ind w:right="105" w:rightChars="50" w:firstLine="420" w:firstLineChars="200"/>
        <w:jc w:val="left"/>
        <w:rPr>
          <w:rFonts w:ascii="宋体" w:hAnsi="宋体"/>
          <w:szCs w:val="21"/>
        </w:rPr>
      </w:pPr>
      <w:r>
        <w:rPr>
          <w:rFonts w:hint="eastAsia" w:ascii="宋体" w:hAnsi="宋体"/>
          <w:szCs w:val="21"/>
        </w:rPr>
        <w:t>14.4.2 最终结清证书和支付</w:t>
      </w:r>
    </w:p>
    <w:p w14:paraId="753206FF">
      <w:pPr>
        <w:spacing w:line="360" w:lineRule="auto"/>
        <w:ind w:right="105" w:rightChars="50" w:firstLine="420" w:firstLineChars="200"/>
        <w:jc w:val="left"/>
        <w:rPr>
          <w:rFonts w:ascii="宋体" w:hAnsi="宋体"/>
          <w:szCs w:val="21"/>
        </w:rPr>
      </w:pPr>
      <w:r>
        <w:rPr>
          <w:rFonts w:hint="eastAsia" w:ascii="宋体" w:hAnsi="宋体"/>
          <w:szCs w:val="21"/>
        </w:rPr>
        <w:t>（1）发包人完成最终结清申请单的审批并颁发最终结清证书的期限：</w:t>
      </w:r>
      <w:r>
        <w:rPr>
          <w:rFonts w:hint="eastAsia" w:ascii="宋体" w:hAnsi="宋体"/>
          <w:szCs w:val="21"/>
          <w:u w:val="single"/>
        </w:rPr>
        <w:t>发包人收到完整资料后14天内完成审批并颁发最终结清证书</w:t>
      </w:r>
      <w:r>
        <w:rPr>
          <w:rFonts w:hint="eastAsia" w:ascii="宋体" w:hAnsi="宋体"/>
          <w:szCs w:val="21"/>
        </w:rPr>
        <w:t>。</w:t>
      </w:r>
    </w:p>
    <w:p w14:paraId="50193AC3">
      <w:pPr>
        <w:spacing w:line="360" w:lineRule="auto"/>
        <w:ind w:right="105" w:rightChars="50" w:firstLine="420" w:firstLineChars="200"/>
        <w:jc w:val="left"/>
        <w:rPr>
          <w:rFonts w:ascii="宋体" w:hAnsi="宋体"/>
          <w:szCs w:val="21"/>
        </w:rPr>
      </w:pPr>
      <w:r>
        <w:rPr>
          <w:rFonts w:hint="eastAsia" w:ascii="宋体" w:hAnsi="宋体"/>
          <w:szCs w:val="21"/>
        </w:rPr>
        <w:t>（2）发包人完成支付的期限：</w:t>
      </w:r>
      <w:r>
        <w:rPr>
          <w:rFonts w:hint="eastAsia" w:ascii="宋体" w:hAnsi="宋体"/>
          <w:szCs w:val="21"/>
          <w:u w:val="single"/>
        </w:rPr>
        <w:t>颁发最终结清证书的14天内</w:t>
      </w:r>
      <w:r>
        <w:rPr>
          <w:rFonts w:hint="eastAsia" w:ascii="宋体" w:hAnsi="宋体"/>
          <w:szCs w:val="21"/>
        </w:rPr>
        <w:t>。</w:t>
      </w:r>
    </w:p>
    <w:p w14:paraId="2E359B19">
      <w:pPr>
        <w:spacing w:line="360" w:lineRule="auto"/>
        <w:ind w:right="105" w:rightChars="50" w:firstLine="420" w:firstLineChars="200"/>
        <w:jc w:val="left"/>
        <w:rPr>
          <w:rFonts w:ascii="宋体" w:hAnsi="宋体"/>
          <w:szCs w:val="21"/>
        </w:rPr>
      </w:pPr>
      <w:r>
        <w:rPr>
          <w:rFonts w:hint="eastAsia" w:ascii="宋体" w:hAnsi="宋体"/>
          <w:szCs w:val="21"/>
        </w:rPr>
        <w:t>本条补充14.5款：</w:t>
      </w:r>
    </w:p>
    <w:bookmarkEnd w:id="1641"/>
    <w:bookmarkEnd w:id="1642"/>
    <w:bookmarkEnd w:id="1643"/>
    <w:bookmarkEnd w:id="1644"/>
    <w:bookmarkEnd w:id="1645"/>
    <w:bookmarkEnd w:id="1646"/>
    <w:bookmarkEnd w:id="1647"/>
    <w:bookmarkEnd w:id="1648"/>
    <w:p w14:paraId="4561789D">
      <w:pPr>
        <w:pStyle w:val="7"/>
        <w:spacing w:before="0" w:beforeAutospacing="0" w:after="0" w:afterAutospacing="0" w:line="360" w:lineRule="auto"/>
        <w:ind w:firstLine="422" w:firstLineChars="200"/>
        <w:rPr>
          <w:sz w:val="21"/>
          <w:szCs w:val="21"/>
        </w:rPr>
      </w:pPr>
      <w:bookmarkStart w:id="1681" w:name="_Toc532375660"/>
      <w:bookmarkStart w:id="1682" w:name="_Toc532377397"/>
      <w:r>
        <w:rPr>
          <w:rFonts w:hint="eastAsia"/>
          <w:sz w:val="21"/>
          <w:szCs w:val="21"/>
        </w:rPr>
        <w:t>14.5 逾期办理或不配合办理竣工结算的处理</w:t>
      </w:r>
      <w:bookmarkEnd w:id="1681"/>
      <w:bookmarkEnd w:id="1682"/>
    </w:p>
    <w:p w14:paraId="50AB02A0">
      <w:pPr>
        <w:spacing w:line="360" w:lineRule="auto"/>
        <w:ind w:right="105" w:rightChars="50" w:firstLine="420" w:firstLineChars="200"/>
        <w:jc w:val="left"/>
        <w:rPr>
          <w:rFonts w:ascii="宋体" w:hAnsi="宋体"/>
          <w:szCs w:val="21"/>
        </w:rPr>
      </w:pPr>
      <w:r>
        <w:rPr>
          <w:rFonts w:hint="eastAsia" w:ascii="宋体" w:hAnsi="宋体"/>
          <w:szCs w:val="21"/>
        </w:rPr>
        <w:t>有下列情形之一的，视为承包人放弃与发包人共同办理竣工结算的权利，发包人有权会同跟审单位、监理人根据有效资料共同确定竣工结算金额。</w:t>
      </w:r>
    </w:p>
    <w:p w14:paraId="573D34DA">
      <w:pPr>
        <w:spacing w:line="360" w:lineRule="auto"/>
        <w:ind w:right="105" w:rightChars="50" w:firstLine="420" w:firstLineChars="200"/>
        <w:jc w:val="left"/>
        <w:rPr>
          <w:rFonts w:ascii="宋体" w:hAnsi="宋体"/>
          <w:szCs w:val="21"/>
        </w:rPr>
      </w:pPr>
      <w:r>
        <w:rPr>
          <w:rFonts w:hint="eastAsia" w:ascii="宋体" w:hAnsi="宋体"/>
          <w:szCs w:val="21"/>
        </w:rPr>
        <w:t>（1）承包人逾期未报送竣工结算资料，亦未获得发包人批准延期报送，经发包人两</w:t>
      </w:r>
      <w:bookmarkStart w:id="1683" w:name="_Hlk529133622"/>
      <w:r>
        <w:rPr>
          <w:rFonts w:hint="eastAsia" w:ascii="宋体" w:hAnsi="宋体"/>
          <w:szCs w:val="21"/>
        </w:rPr>
        <w:t>次书面催告仍未在限期内报送的</w:t>
      </w:r>
      <w:bookmarkEnd w:id="1683"/>
      <w:r>
        <w:rPr>
          <w:rFonts w:hint="eastAsia" w:ascii="宋体" w:hAnsi="宋体"/>
          <w:szCs w:val="21"/>
        </w:rPr>
        <w:t>；</w:t>
      </w:r>
    </w:p>
    <w:p w14:paraId="516F6D2F">
      <w:pPr>
        <w:spacing w:line="360" w:lineRule="auto"/>
        <w:ind w:right="105" w:rightChars="50" w:firstLine="420" w:firstLineChars="200"/>
        <w:jc w:val="left"/>
        <w:rPr>
          <w:rFonts w:ascii="宋体" w:hAnsi="宋体"/>
          <w:szCs w:val="21"/>
        </w:rPr>
      </w:pPr>
      <w:r>
        <w:rPr>
          <w:rFonts w:hint="eastAsia" w:ascii="宋体" w:hAnsi="宋体"/>
          <w:szCs w:val="21"/>
        </w:rPr>
        <w:t>（2）承包人在接到监理人或发包人对竣工结算申请单提出的审核意见后，未在限期内按监理人或发包人提出的合理要求补充资料和（或）修改竣工结算资料，亦未获得发包人批准延期报送，经发包人两次书面催告仍未在限期内报送的；</w:t>
      </w:r>
    </w:p>
    <w:p w14:paraId="3E864066">
      <w:pPr>
        <w:spacing w:line="360" w:lineRule="auto"/>
        <w:ind w:right="105" w:rightChars="50" w:firstLine="420" w:firstLineChars="200"/>
        <w:jc w:val="left"/>
        <w:rPr>
          <w:rFonts w:ascii="宋体" w:hAnsi="宋体"/>
          <w:szCs w:val="21"/>
        </w:rPr>
      </w:pPr>
      <w:r>
        <w:rPr>
          <w:rFonts w:hint="eastAsia" w:ascii="宋体" w:hAnsi="宋体"/>
          <w:szCs w:val="21"/>
        </w:rPr>
        <w:t>（3）承包人不配合发包人、跟审单位、监理人、发包人委托的工程造价咨询服务单位办理竣工结算的，经发包人两次书面函告仍未改正的。</w:t>
      </w:r>
    </w:p>
    <w:p w14:paraId="62C62BB1">
      <w:pPr>
        <w:spacing w:line="360" w:lineRule="auto"/>
        <w:ind w:right="105" w:rightChars="50" w:firstLine="420" w:firstLineChars="200"/>
        <w:jc w:val="left"/>
        <w:rPr>
          <w:rFonts w:ascii="宋体" w:hAnsi="宋体"/>
          <w:szCs w:val="21"/>
        </w:rPr>
      </w:pPr>
      <w:r>
        <w:rPr>
          <w:rFonts w:hint="eastAsia" w:ascii="宋体" w:hAnsi="宋体"/>
          <w:szCs w:val="21"/>
        </w:rPr>
        <w:t>（4）</w:t>
      </w:r>
      <w:r>
        <w:rPr>
          <w:rFonts w:hint="eastAsia" w:ascii="宋体" w:hAnsi="宋体"/>
          <w:szCs w:val="21"/>
          <w:u w:val="single"/>
        </w:rPr>
        <w:t xml:space="preserve">        </w:t>
      </w:r>
      <w:r>
        <w:rPr>
          <w:rFonts w:hint="eastAsia" w:ascii="宋体" w:hAnsi="宋体"/>
          <w:szCs w:val="21"/>
        </w:rPr>
        <w:t>。</w:t>
      </w:r>
    </w:p>
    <w:p w14:paraId="21534404">
      <w:pPr>
        <w:spacing w:line="360" w:lineRule="auto"/>
        <w:ind w:right="105" w:rightChars="50" w:firstLine="420" w:firstLineChars="200"/>
        <w:jc w:val="left"/>
        <w:rPr>
          <w:rFonts w:ascii="宋体" w:hAnsi="宋体"/>
          <w:szCs w:val="21"/>
          <w:u w:val="single"/>
        </w:rPr>
      </w:pPr>
      <w:r>
        <w:rPr>
          <w:rFonts w:hint="eastAsia" w:ascii="宋体" w:hAnsi="宋体"/>
          <w:szCs w:val="21"/>
          <w:u w:val="single"/>
        </w:rPr>
        <w:t>发包人应在竣工结算定案表确定后28天内，以书面函件形式将竣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r>
        <w:rPr>
          <w:rFonts w:hint="eastAsia" w:ascii="宋体" w:hAnsi="宋体"/>
          <w:szCs w:val="21"/>
        </w:rPr>
        <w:t>。</w:t>
      </w:r>
    </w:p>
    <w:bookmarkEnd w:id="1360"/>
    <w:bookmarkEnd w:id="1361"/>
    <w:bookmarkEnd w:id="1362"/>
    <w:bookmarkEnd w:id="1363"/>
    <w:bookmarkEnd w:id="1364"/>
    <w:bookmarkEnd w:id="1365"/>
    <w:bookmarkEnd w:id="1366"/>
    <w:bookmarkEnd w:id="1367"/>
    <w:p w14:paraId="02BDE94F">
      <w:pPr>
        <w:pStyle w:val="6"/>
        <w:keepNext/>
        <w:keepLines/>
        <w:spacing w:before="156" w:beforeLines="50" w:beforeAutospacing="0" w:after="156" w:afterLines="50" w:afterAutospacing="0" w:line="360" w:lineRule="auto"/>
        <w:jc w:val="both"/>
        <w:rPr>
          <w:bCs w:val="0"/>
          <w:kern w:val="2"/>
          <w:sz w:val="21"/>
          <w:szCs w:val="21"/>
        </w:rPr>
      </w:pPr>
      <w:bookmarkStart w:id="1684" w:name="_Toc532375661"/>
      <w:bookmarkStart w:id="1685" w:name="_Toc351203647"/>
      <w:bookmarkStart w:id="1686" w:name="_Toc532377398"/>
      <w:bookmarkStart w:id="1687" w:name="_Toc267251483"/>
      <w:bookmarkStart w:id="1688" w:name="_Toc280868718"/>
      <w:bookmarkStart w:id="1689" w:name="_Toc280868717"/>
      <w:r>
        <w:rPr>
          <w:rFonts w:hint="eastAsia"/>
          <w:kern w:val="2"/>
          <w:sz w:val="21"/>
          <w:szCs w:val="21"/>
        </w:rPr>
        <w:t>15. 缺陷责任期与保修</w:t>
      </w:r>
      <w:bookmarkEnd w:id="1684"/>
      <w:bookmarkEnd w:id="1685"/>
      <w:bookmarkEnd w:id="1686"/>
    </w:p>
    <w:bookmarkEnd w:id="1687"/>
    <w:p w14:paraId="2A499A06">
      <w:pPr>
        <w:pStyle w:val="7"/>
        <w:spacing w:before="0" w:beforeAutospacing="0" w:after="0" w:afterAutospacing="0" w:line="360" w:lineRule="auto"/>
        <w:ind w:firstLine="422" w:firstLineChars="200"/>
        <w:rPr>
          <w:sz w:val="21"/>
          <w:szCs w:val="21"/>
        </w:rPr>
      </w:pPr>
      <w:bookmarkStart w:id="1690" w:name="_Toc532377399"/>
      <w:bookmarkStart w:id="1691" w:name="_Toc532375662"/>
      <w:r>
        <w:rPr>
          <w:rFonts w:hint="eastAsia"/>
          <w:sz w:val="21"/>
          <w:szCs w:val="21"/>
        </w:rPr>
        <w:t>15.3 质量保证金</w:t>
      </w:r>
      <w:bookmarkEnd w:id="1690"/>
      <w:bookmarkEnd w:id="1691"/>
    </w:p>
    <w:p w14:paraId="4220556E">
      <w:pPr>
        <w:spacing w:line="360" w:lineRule="auto"/>
        <w:ind w:right="105" w:rightChars="50" w:firstLine="420" w:firstLineChars="200"/>
        <w:jc w:val="left"/>
        <w:rPr>
          <w:rFonts w:ascii="宋体" w:hAnsi="宋体"/>
          <w:szCs w:val="21"/>
        </w:rPr>
      </w:pPr>
      <w:r>
        <w:rPr>
          <w:rFonts w:hint="eastAsia" w:ascii="宋体" w:hAnsi="宋体"/>
          <w:szCs w:val="21"/>
        </w:rPr>
        <w:t>15.3.1 承包人提供质量保证金的方式</w:t>
      </w:r>
    </w:p>
    <w:p w14:paraId="2FF14565">
      <w:pPr>
        <w:spacing w:line="360" w:lineRule="auto"/>
        <w:ind w:right="105" w:rightChars="50" w:firstLine="420" w:firstLineChars="200"/>
        <w:jc w:val="left"/>
        <w:rPr>
          <w:rFonts w:ascii="宋体" w:hAnsi="宋体"/>
          <w:szCs w:val="21"/>
        </w:rPr>
      </w:pPr>
      <w:r>
        <w:rPr>
          <w:rFonts w:hint="eastAsia" w:ascii="宋体" w:hAnsi="宋体"/>
          <w:szCs w:val="21"/>
        </w:rPr>
        <w:t>质量保证金采用以下第</w:t>
      </w:r>
      <w:r>
        <w:rPr>
          <w:rFonts w:hint="eastAsia" w:ascii="宋体" w:hAnsi="宋体"/>
          <w:szCs w:val="21"/>
          <w:u w:val="single"/>
        </w:rPr>
        <w:t xml:space="preserve">    </w:t>
      </w:r>
      <w:r>
        <w:rPr>
          <w:rFonts w:hint="eastAsia" w:ascii="宋体" w:hAnsi="宋体"/>
          <w:szCs w:val="21"/>
        </w:rPr>
        <w:t>种方式：</w:t>
      </w:r>
    </w:p>
    <w:p w14:paraId="5B20FDDA">
      <w:pPr>
        <w:spacing w:line="360" w:lineRule="auto"/>
        <w:ind w:right="105" w:rightChars="50" w:firstLine="420" w:firstLineChars="200"/>
        <w:jc w:val="left"/>
        <w:rPr>
          <w:rFonts w:ascii="宋体" w:hAnsi="宋体"/>
          <w:szCs w:val="21"/>
        </w:rPr>
      </w:pPr>
      <w:r>
        <w:rPr>
          <w:rFonts w:hint="eastAsia" w:ascii="宋体" w:hAnsi="宋体"/>
          <w:szCs w:val="21"/>
        </w:rPr>
        <w:t>（1）质量保证金保函</w:t>
      </w:r>
    </w:p>
    <w:p w14:paraId="04C72F62">
      <w:pPr>
        <w:spacing w:line="360" w:lineRule="auto"/>
        <w:ind w:right="105" w:rightChars="50" w:firstLine="420" w:firstLineChars="200"/>
        <w:jc w:val="left"/>
        <w:rPr>
          <w:rFonts w:ascii="宋体" w:hAnsi="宋体"/>
          <w:szCs w:val="21"/>
        </w:rPr>
      </w:pPr>
      <w:r>
        <w:rPr>
          <w:rFonts w:hint="eastAsia" w:ascii="宋体" w:hAnsi="宋体"/>
          <w:szCs w:val="21"/>
          <w:u w:val="single"/>
        </w:rPr>
        <w:t>1）按采购文件载明的格式或发包人认可的格式向发包人提交不可撤销的见索即付银行保函</w:t>
      </w:r>
      <w:r>
        <w:rPr>
          <w:rFonts w:hint="eastAsia" w:ascii="宋体" w:hAnsi="宋体"/>
          <w:szCs w:val="21"/>
        </w:rPr>
        <w:t>；</w:t>
      </w:r>
    </w:p>
    <w:p w14:paraId="66D42F94">
      <w:pPr>
        <w:spacing w:line="360" w:lineRule="auto"/>
        <w:ind w:right="105" w:rightChars="50" w:firstLine="420" w:firstLineChars="200"/>
        <w:jc w:val="left"/>
        <w:rPr>
          <w:rFonts w:ascii="宋体" w:hAnsi="宋体"/>
          <w:szCs w:val="21"/>
        </w:rPr>
      </w:pPr>
      <w:r>
        <w:rPr>
          <w:rFonts w:hint="eastAsia" w:ascii="宋体" w:hAnsi="宋体"/>
          <w:szCs w:val="21"/>
        </w:rPr>
        <w:t>2）出具保函的银行级别：</w:t>
      </w:r>
      <w:r>
        <w:rPr>
          <w:rFonts w:hint="eastAsia" w:ascii="宋体" w:hAnsi="宋体"/>
          <w:szCs w:val="21"/>
          <w:u w:val="single"/>
        </w:rPr>
        <w:t>地市级及以上国家政策性银行或股份制商业银行的支行或其上级银行</w:t>
      </w:r>
      <w:r>
        <w:rPr>
          <w:rFonts w:hint="eastAsia" w:ascii="宋体" w:hAnsi="宋体"/>
          <w:szCs w:val="21"/>
        </w:rPr>
        <w:t>；</w:t>
      </w:r>
    </w:p>
    <w:p w14:paraId="15C7D768">
      <w:pPr>
        <w:spacing w:line="360" w:lineRule="auto"/>
        <w:ind w:right="105" w:rightChars="50" w:firstLine="420" w:firstLineChars="200"/>
        <w:jc w:val="left"/>
        <w:rPr>
          <w:rFonts w:ascii="宋体" w:hAnsi="宋体"/>
          <w:szCs w:val="21"/>
        </w:rPr>
      </w:pPr>
      <w:r>
        <w:rPr>
          <w:rFonts w:hint="eastAsia" w:ascii="宋体" w:hAnsi="宋体"/>
          <w:szCs w:val="21"/>
        </w:rPr>
        <w:t>3）保函金额为：</w:t>
      </w:r>
      <w:r>
        <w:rPr>
          <w:rFonts w:hint="eastAsia" w:ascii="宋体" w:hAnsi="宋体"/>
          <w:szCs w:val="21"/>
          <w:u w:val="single"/>
        </w:rPr>
        <w:t xml:space="preserve">    </w:t>
      </w:r>
      <w:r>
        <w:rPr>
          <w:rFonts w:hint="eastAsia" w:ascii="宋体" w:hAnsi="宋体"/>
          <w:szCs w:val="21"/>
        </w:rPr>
        <w:t>。</w:t>
      </w:r>
    </w:p>
    <w:p w14:paraId="4DFE9E76">
      <w:pPr>
        <w:spacing w:line="360" w:lineRule="auto"/>
        <w:ind w:right="105" w:rightChars="50" w:firstLine="420" w:firstLineChars="200"/>
        <w:jc w:val="left"/>
        <w:rPr>
          <w:rFonts w:ascii="宋体" w:hAnsi="宋体"/>
          <w:szCs w:val="21"/>
        </w:rPr>
      </w:pPr>
      <w:r>
        <w:rPr>
          <w:rFonts w:hint="eastAsia" w:ascii="宋体" w:hAnsi="宋体"/>
          <w:szCs w:val="21"/>
        </w:rPr>
        <w:t>4）提交时间：</w:t>
      </w:r>
      <w:r>
        <w:rPr>
          <w:rFonts w:hint="eastAsia" w:ascii="宋体" w:hAnsi="宋体"/>
          <w:szCs w:val="21"/>
          <w:u w:val="single"/>
        </w:rPr>
        <w:t>工程竣工验收合格后14天内</w:t>
      </w:r>
      <w:r>
        <w:rPr>
          <w:rFonts w:hint="eastAsia" w:ascii="宋体" w:hAnsi="宋体"/>
          <w:szCs w:val="21"/>
        </w:rPr>
        <w:t>。</w:t>
      </w:r>
    </w:p>
    <w:p w14:paraId="69F528CA">
      <w:pPr>
        <w:spacing w:line="360" w:lineRule="auto"/>
        <w:ind w:right="105" w:rightChars="50" w:firstLine="420" w:firstLineChars="200"/>
        <w:jc w:val="left"/>
        <w:rPr>
          <w:rFonts w:ascii="宋体" w:hAnsi="宋体"/>
          <w:szCs w:val="21"/>
        </w:rPr>
      </w:pPr>
      <w:r>
        <w:rPr>
          <w:rFonts w:hint="eastAsia" w:ascii="宋体" w:hAnsi="宋体"/>
          <w:szCs w:val="21"/>
          <w:u w:val="single"/>
        </w:rPr>
        <w:t>承包人提交质量保证金保函的，发包人应同时退还（若有）扣留的作为质量保证金的工程价款、履约担保、低价风险担保；保函金额不得超过工程价款结算总额的3%</w:t>
      </w:r>
      <w:r>
        <w:rPr>
          <w:rFonts w:hint="eastAsia" w:ascii="宋体" w:hAnsi="宋体"/>
          <w:szCs w:val="21"/>
        </w:rPr>
        <w:t>。</w:t>
      </w:r>
    </w:p>
    <w:p w14:paraId="3FF8996D">
      <w:pPr>
        <w:spacing w:line="360" w:lineRule="auto"/>
        <w:ind w:right="105" w:rightChars="50" w:firstLine="420" w:firstLineChars="200"/>
        <w:jc w:val="left"/>
        <w:rPr>
          <w:rFonts w:ascii="宋体" w:hAnsi="宋体"/>
          <w:szCs w:val="21"/>
        </w:rPr>
      </w:pPr>
      <w:r>
        <w:rPr>
          <w:rFonts w:hint="eastAsia" w:ascii="宋体" w:hAnsi="宋体"/>
          <w:szCs w:val="21"/>
        </w:rPr>
        <w:t>（2）竣工结算价的</w:t>
      </w:r>
      <w:r>
        <w:rPr>
          <w:rFonts w:hint="eastAsia" w:ascii="宋体" w:hAnsi="宋体"/>
          <w:szCs w:val="21"/>
          <w:u w:val="single"/>
        </w:rPr>
        <w:t xml:space="preserve"> 3% </w:t>
      </w:r>
      <w:r>
        <w:rPr>
          <w:rFonts w:hint="eastAsia" w:ascii="宋体" w:hAnsi="宋体"/>
          <w:szCs w:val="21"/>
        </w:rPr>
        <w:t>；</w:t>
      </w:r>
    </w:p>
    <w:p w14:paraId="348F0930">
      <w:pPr>
        <w:spacing w:line="360" w:lineRule="auto"/>
        <w:ind w:right="105" w:rightChars="50" w:firstLine="420" w:firstLineChars="200"/>
        <w:jc w:val="left"/>
        <w:rPr>
          <w:rFonts w:ascii="宋体" w:hAnsi="宋体"/>
          <w:szCs w:val="21"/>
        </w:rPr>
      </w:pPr>
      <w:r>
        <w:rPr>
          <w:rFonts w:hint="eastAsia" w:ascii="宋体" w:hAnsi="宋体"/>
          <w:szCs w:val="21"/>
        </w:rPr>
        <w:t>（3）其他方式：</w:t>
      </w:r>
      <w:r>
        <w:rPr>
          <w:rFonts w:hint="eastAsia" w:ascii="宋体" w:hAnsi="宋体"/>
          <w:szCs w:val="21"/>
          <w:u w:val="single"/>
        </w:rPr>
        <w:t xml:space="preserve"> / </w:t>
      </w:r>
      <w:r>
        <w:rPr>
          <w:rFonts w:hint="eastAsia" w:ascii="宋体" w:hAnsi="宋体"/>
          <w:szCs w:val="21"/>
        </w:rPr>
        <w:t>。</w:t>
      </w:r>
    </w:p>
    <w:p w14:paraId="037BF8CB">
      <w:pPr>
        <w:spacing w:line="360" w:lineRule="auto"/>
        <w:ind w:right="105" w:rightChars="50" w:firstLine="420" w:firstLineChars="200"/>
        <w:jc w:val="left"/>
        <w:rPr>
          <w:rFonts w:ascii="宋体" w:hAnsi="宋体"/>
          <w:szCs w:val="21"/>
        </w:rPr>
      </w:pPr>
      <w:r>
        <w:rPr>
          <w:rFonts w:hint="eastAsia" w:ascii="宋体" w:hAnsi="宋体"/>
          <w:szCs w:val="21"/>
        </w:rPr>
        <w:t>15.3.2 质量保证金的扣留</w:t>
      </w:r>
    </w:p>
    <w:p w14:paraId="7134ABE7">
      <w:pPr>
        <w:spacing w:line="360" w:lineRule="auto"/>
        <w:ind w:right="105" w:rightChars="50" w:firstLine="420" w:firstLineChars="200"/>
        <w:jc w:val="left"/>
        <w:rPr>
          <w:rFonts w:ascii="宋体" w:hAnsi="宋体"/>
          <w:szCs w:val="21"/>
        </w:rPr>
      </w:pPr>
      <w:r>
        <w:rPr>
          <w:rFonts w:hint="eastAsia" w:ascii="宋体" w:hAnsi="宋体"/>
          <w:szCs w:val="21"/>
        </w:rPr>
        <w:t>质量保证金的扣留采取以下第</w:t>
      </w:r>
      <w:r>
        <w:rPr>
          <w:rFonts w:hint="eastAsia" w:ascii="宋体" w:hAnsi="宋体"/>
          <w:szCs w:val="21"/>
          <w:u w:val="single"/>
        </w:rPr>
        <w:t xml:space="preserve">    </w:t>
      </w:r>
      <w:r>
        <w:rPr>
          <w:rFonts w:hint="eastAsia" w:ascii="宋体" w:hAnsi="宋体"/>
          <w:szCs w:val="21"/>
        </w:rPr>
        <w:t>种方式：</w:t>
      </w:r>
    </w:p>
    <w:p w14:paraId="37DB5C64">
      <w:pPr>
        <w:spacing w:line="360" w:lineRule="auto"/>
        <w:ind w:right="105" w:rightChars="50" w:firstLine="420" w:firstLineChars="200"/>
        <w:jc w:val="left"/>
        <w:rPr>
          <w:rFonts w:ascii="宋体" w:hAnsi="宋体"/>
          <w:szCs w:val="21"/>
        </w:rPr>
      </w:pPr>
      <w:r>
        <w:rPr>
          <w:rFonts w:hint="eastAsia" w:ascii="宋体" w:hAnsi="宋体"/>
          <w:szCs w:val="21"/>
        </w:rPr>
        <w:t>（1）在支付工程进度款时逐次扣留，在此情形下，质量保证金的计算基数不包括预付款的支付、扣回以及价格调整的金额；</w:t>
      </w:r>
    </w:p>
    <w:p w14:paraId="7FC9FC91">
      <w:pPr>
        <w:spacing w:line="360" w:lineRule="auto"/>
        <w:ind w:right="105" w:rightChars="50" w:firstLine="420" w:firstLineChars="200"/>
        <w:jc w:val="left"/>
        <w:rPr>
          <w:rFonts w:ascii="宋体" w:hAnsi="宋体"/>
          <w:szCs w:val="21"/>
        </w:rPr>
      </w:pPr>
      <w:r>
        <w:rPr>
          <w:rFonts w:hint="eastAsia" w:ascii="宋体" w:hAnsi="宋体"/>
          <w:szCs w:val="21"/>
        </w:rPr>
        <w:t>（2）工程竣工结算时一次性扣留质量保证金；</w:t>
      </w:r>
    </w:p>
    <w:p w14:paraId="06F346CD">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w:t>
      </w:r>
      <w:r>
        <w:rPr>
          <w:rFonts w:hint="eastAsia" w:ascii="宋体" w:hAnsi="宋体"/>
          <w:szCs w:val="21"/>
          <w:u w:val="single"/>
        </w:rPr>
        <w:t xml:space="preserve">其他扣留方式：        </w:t>
      </w:r>
      <w:r>
        <w:rPr>
          <w:rFonts w:hint="eastAsia" w:ascii="宋体" w:hAnsi="宋体"/>
          <w:szCs w:val="21"/>
        </w:rPr>
        <w:t>。</w:t>
      </w:r>
    </w:p>
    <w:p w14:paraId="52B781C7">
      <w:pPr>
        <w:spacing w:line="360" w:lineRule="auto"/>
        <w:ind w:right="105" w:rightChars="50" w:firstLine="420" w:firstLineChars="200"/>
        <w:jc w:val="left"/>
        <w:rPr>
          <w:rFonts w:ascii="宋体" w:hAnsi="宋体"/>
          <w:szCs w:val="21"/>
        </w:rPr>
      </w:pPr>
      <w:r>
        <w:rPr>
          <w:rFonts w:hint="eastAsia" w:ascii="宋体" w:hAnsi="宋体"/>
          <w:szCs w:val="21"/>
        </w:rPr>
        <w:t>15.3.3质量保证金的退还</w:t>
      </w:r>
    </w:p>
    <w:p w14:paraId="1B3A7E8B">
      <w:pPr>
        <w:spacing w:line="360" w:lineRule="auto"/>
        <w:ind w:right="105" w:rightChars="50" w:firstLine="420" w:firstLineChars="200"/>
        <w:jc w:val="left"/>
        <w:rPr>
          <w:rFonts w:ascii="宋体" w:hAnsi="宋体"/>
          <w:szCs w:val="21"/>
        </w:rPr>
      </w:pPr>
      <w:r>
        <w:rPr>
          <w:rFonts w:hint="eastAsia" w:ascii="宋体" w:hAnsi="宋体"/>
          <w:szCs w:val="21"/>
        </w:rPr>
        <w:t>（1）在发包人颁发缺陷责任期终止证书之日起14天内退还。</w:t>
      </w:r>
    </w:p>
    <w:p w14:paraId="6186AAD0">
      <w:pPr>
        <w:spacing w:line="360" w:lineRule="auto"/>
        <w:ind w:right="105" w:rightChars="50" w:firstLine="420" w:firstLineChars="200"/>
        <w:jc w:val="left"/>
        <w:rPr>
          <w:rFonts w:ascii="宋体" w:hAnsi="宋体"/>
          <w:szCs w:val="21"/>
        </w:rPr>
      </w:pPr>
      <w:r>
        <w:rPr>
          <w:rFonts w:hint="eastAsia" w:ascii="宋体" w:hAnsi="宋体"/>
          <w:szCs w:val="21"/>
        </w:rPr>
        <w:t>（2）缺陷责任期内，承包人认真履行合同约定的责任，到期后，承包人可向发包人申请返还质量保证金。</w:t>
      </w:r>
    </w:p>
    <w:p w14:paraId="75304F39">
      <w:pPr>
        <w:spacing w:line="360" w:lineRule="auto"/>
        <w:ind w:right="105" w:rightChars="50" w:firstLine="420" w:firstLineChars="200"/>
        <w:jc w:val="left"/>
        <w:rPr>
          <w:rFonts w:ascii="宋体" w:hAnsi="宋体"/>
          <w:szCs w:val="21"/>
        </w:rPr>
      </w:pPr>
      <w:r>
        <w:rPr>
          <w:rFonts w:hint="eastAsia" w:ascii="宋体" w:hAnsi="宋体"/>
          <w:szCs w:val="21"/>
        </w:rPr>
        <w:t>（3）质量保证金是否支付利息采取以下</w:t>
      </w:r>
      <w:r>
        <w:rPr>
          <w:rFonts w:hint="eastAsia" w:ascii="宋体" w:hAnsi="宋体"/>
          <w:szCs w:val="21"/>
          <w:u w:val="single"/>
        </w:rPr>
        <w:t>第②种</w:t>
      </w:r>
      <w:r>
        <w:rPr>
          <w:rFonts w:hint="eastAsia" w:ascii="宋体" w:hAnsi="宋体"/>
          <w:szCs w:val="21"/>
        </w:rPr>
        <w:t>方式：</w:t>
      </w:r>
    </w:p>
    <w:p w14:paraId="4C3AADB4">
      <w:pPr>
        <w:spacing w:line="360" w:lineRule="auto"/>
        <w:ind w:right="105" w:rightChars="50" w:firstLine="420" w:firstLineChars="200"/>
        <w:jc w:val="left"/>
        <w:rPr>
          <w:rFonts w:ascii="宋体" w:hAnsi="宋体"/>
          <w:szCs w:val="21"/>
        </w:rPr>
      </w:pPr>
      <w:r>
        <w:rPr>
          <w:rFonts w:hint="eastAsia" w:ascii="宋体" w:hAnsi="宋体"/>
          <w:szCs w:val="21"/>
          <w:u w:val="single"/>
        </w:rPr>
        <w:t>①按照中国人民银行  年  月公布的5年期贷款市场报价利率支付利息</w:t>
      </w:r>
      <w:r>
        <w:rPr>
          <w:rFonts w:hint="eastAsia" w:ascii="宋体" w:hAnsi="宋体"/>
          <w:szCs w:val="21"/>
        </w:rPr>
        <w:t>。</w:t>
      </w:r>
    </w:p>
    <w:p w14:paraId="3FAF3CEB">
      <w:pPr>
        <w:spacing w:line="360" w:lineRule="auto"/>
        <w:ind w:right="105" w:rightChars="50" w:firstLine="420" w:firstLineChars="200"/>
        <w:jc w:val="left"/>
        <w:rPr>
          <w:rFonts w:ascii="宋体" w:hAnsi="宋体"/>
          <w:szCs w:val="21"/>
        </w:rPr>
      </w:pPr>
      <w:r>
        <w:rPr>
          <w:rFonts w:hint="eastAsia" w:ascii="宋体" w:hAnsi="宋体"/>
          <w:szCs w:val="21"/>
          <w:u w:val="single"/>
        </w:rPr>
        <w:t>②不采用</w:t>
      </w:r>
      <w:r>
        <w:rPr>
          <w:rFonts w:hint="eastAsia" w:ascii="宋体" w:hAnsi="宋体"/>
          <w:szCs w:val="21"/>
        </w:rPr>
        <w:t>。</w:t>
      </w:r>
    </w:p>
    <w:p w14:paraId="32DC4CB5">
      <w:pPr>
        <w:pStyle w:val="7"/>
        <w:spacing w:before="0" w:beforeAutospacing="0" w:after="0" w:afterAutospacing="0" w:line="360" w:lineRule="auto"/>
        <w:ind w:firstLine="422" w:firstLineChars="200"/>
        <w:rPr>
          <w:sz w:val="21"/>
          <w:szCs w:val="21"/>
        </w:rPr>
      </w:pPr>
      <w:bookmarkStart w:id="1692" w:name="_Toc532377400"/>
      <w:bookmarkStart w:id="1693" w:name="_Toc532375663"/>
      <w:r>
        <w:rPr>
          <w:rFonts w:hint="eastAsia"/>
          <w:sz w:val="21"/>
          <w:szCs w:val="21"/>
        </w:rPr>
        <w:t>15.4 保修</w:t>
      </w:r>
      <w:bookmarkEnd w:id="1692"/>
      <w:bookmarkEnd w:id="1693"/>
    </w:p>
    <w:p w14:paraId="51D7A128">
      <w:pPr>
        <w:spacing w:line="360" w:lineRule="auto"/>
        <w:ind w:right="105" w:rightChars="50" w:firstLine="420" w:firstLineChars="200"/>
        <w:jc w:val="left"/>
        <w:rPr>
          <w:rFonts w:ascii="宋体" w:hAnsi="宋体"/>
          <w:szCs w:val="21"/>
        </w:rPr>
      </w:pPr>
      <w:r>
        <w:rPr>
          <w:rFonts w:hint="eastAsia" w:ascii="宋体" w:hAnsi="宋体"/>
          <w:szCs w:val="21"/>
        </w:rPr>
        <w:t>15.4.1 保修责任</w:t>
      </w:r>
    </w:p>
    <w:p w14:paraId="75DC8B01">
      <w:pPr>
        <w:spacing w:line="360" w:lineRule="auto"/>
        <w:ind w:right="105" w:rightChars="50" w:firstLine="420" w:firstLineChars="200"/>
        <w:jc w:val="left"/>
        <w:rPr>
          <w:rFonts w:ascii="宋体" w:hAnsi="宋体"/>
          <w:szCs w:val="21"/>
        </w:rPr>
      </w:pPr>
      <w:r>
        <w:rPr>
          <w:rFonts w:hint="eastAsia" w:ascii="宋体" w:hAnsi="宋体"/>
          <w:szCs w:val="21"/>
        </w:rPr>
        <w:t>工程保修期为：</w:t>
      </w:r>
      <w:bookmarkStart w:id="1694" w:name="_Hlk524381274"/>
      <w:r>
        <w:rPr>
          <w:rFonts w:hint="eastAsia" w:ascii="宋体" w:hAnsi="宋体"/>
          <w:szCs w:val="21"/>
        </w:rPr>
        <w:t>按照附件1《工程质量保修书》的规定执行。</w:t>
      </w:r>
      <w:bookmarkEnd w:id="1694"/>
    </w:p>
    <w:p w14:paraId="39298CAA">
      <w:pPr>
        <w:spacing w:line="360" w:lineRule="auto"/>
        <w:ind w:right="105" w:rightChars="50" w:firstLine="420" w:firstLineChars="200"/>
        <w:jc w:val="left"/>
        <w:rPr>
          <w:rFonts w:ascii="宋体" w:hAnsi="宋体"/>
          <w:szCs w:val="21"/>
        </w:rPr>
      </w:pPr>
      <w:r>
        <w:rPr>
          <w:rFonts w:hint="eastAsia" w:ascii="宋体" w:hAnsi="宋体"/>
          <w:szCs w:val="21"/>
        </w:rPr>
        <w:t>15.4.3 修复通知</w:t>
      </w:r>
    </w:p>
    <w:p w14:paraId="612CF262">
      <w:pPr>
        <w:spacing w:line="360" w:lineRule="auto"/>
        <w:ind w:right="105" w:rightChars="50" w:firstLine="420" w:firstLineChars="200"/>
        <w:jc w:val="left"/>
        <w:rPr>
          <w:rFonts w:ascii="宋体" w:hAnsi="宋体"/>
          <w:szCs w:val="21"/>
        </w:rPr>
      </w:pPr>
      <w:r>
        <w:rPr>
          <w:rFonts w:hint="eastAsia" w:ascii="宋体" w:hAnsi="宋体"/>
          <w:szCs w:val="21"/>
        </w:rPr>
        <w:t>承包人收到保修通知并到达工程现场的合理时间：</w:t>
      </w:r>
      <w:r>
        <w:rPr>
          <w:rFonts w:hint="eastAsia" w:ascii="宋体" w:hAnsi="宋体"/>
          <w:szCs w:val="21"/>
          <w:u w:val="single"/>
        </w:rPr>
        <w:t xml:space="preserve">  小时内，最长不能超过  小时</w:t>
      </w:r>
      <w:r>
        <w:rPr>
          <w:rFonts w:hint="eastAsia" w:ascii="宋体" w:hAnsi="宋体"/>
          <w:szCs w:val="21"/>
        </w:rPr>
        <w:t>。</w:t>
      </w:r>
    </w:p>
    <w:p w14:paraId="7EC96F37">
      <w:pPr>
        <w:pStyle w:val="6"/>
        <w:keepNext/>
        <w:keepLines/>
        <w:spacing w:before="156" w:beforeLines="50" w:beforeAutospacing="0" w:after="156" w:afterLines="50" w:afterAutospacing="0" w:line="360" w:lineRule="auto"/>
        <w:jc w:val="both"/>
        <w:rPr>
          <w:bCs w:val="0"/>
          <w:kern w:val="2"/>
          <w:sz w:val="21"/>
          <w:szCs w:val="21"/>
        </w:rPr>
      </w:pPr>
      <w:bookmarkStart w:id="1695" w:name="_Toc351203648"/>
      <w:bookmarkStart w:id="1696" w:name="_Toc532375664"/>
      <w:bookmarkStart w:id="1697" w:name="_Toc532377401"/>
      <w:r>
        <w:rPr>
          <w:rFonts w:hint="eastAsia"/>
          <w:kern w:val="2"/>
          <w:sz w:val="21"/>
          <w:szCs w:val="21"/>
        </w:rPr>
        <w:t>16. 违约</w:t>
      </w:r>
      <w:bookmarkEnd w:id="1695"/>
      <w:bookmarkEnd w:id="1696"/>
      <w:bookmarkEnd w:id="1697"/>
    </w:p>
    <w:p w14:paraId="363ADA34">
      <w:pPr>
        <w:pStyle w:val="7"/>
        <w:spacing w:before="0" w:beforeAutospacing="0" w:after="0" w:afterAutospacing="0" w:line="360" w:lineRule="auto"/>
        <w:ind w:firstLine="422" w:firstLineChars="200"/>
        <w:rPr>
          <w:sz w:val="21"/>
          <w:szCs w:val="21"/>
        </w:rPr>
      </w:pPr>
      <w:bookmarkStart w:id="1698" w:name="_Toc532377402"/>
      <w:r>
        <w:rPr>
          <w:rFonts w:hint="eastAsia"/>
          <w:sz w:val="21"/>
          <w:szCs w:val="21"/>
        </w:rPr>
        <w:t>16.1 发包人违约</w:t>
      </w:r>
      <w:bookmarkEnd w:id="1698"/>
    </w:p>
    <w:p w14:paraId="016E7024">
      <w:pPr>
        <w:spacing w:line="360" w:lineRule="auto"/>
        <w:ind w:firstLine="420" w:firstLineChars="200"/>
        <w:rPr>
          <w:rFonts w:ascii="宋体" w:hAnsi="宋体"/>
          <w:szCs w:val="21"/>
        </w:rPr>
      </w:pPr>
      <w:r>
        <w:rPr>
          <w:rFonts w:hint="eastAsia" w:ascii="宋体" w:hAnsi="宋体"/>
          <w:szCs w:val="21"/>
        </w:rPr>
        <w:t>16.1.1 发包人违约的情形</w:t>
      </w:r>
    </w:p>
    <w:p w14:paraId="1B16AC19">
      <w:pPr>
        <w:spacing w:line="360" w:lineRule="auto"/>
        <w:ind w:firstLine="420" w:firstLineChars="200"/>
        <w:rPr>
          <w:rFonts w:ascii="宋体" w:hAnsi="宋体"/>
          <w:szCs w:val="21"/>
        </w:rPr>
      </w:pPr>
      <w:r>
        <w:rPr>
          <w:rFonts w:hint="eastAsia" w:ascii="宋体" w:hAnsi="宋体" w:cs="Microsoft Sans Serif"/>
          <w:kern w:val="0"/>
          <w:szCs w:val="21"/>
        </w:rPr>
        <w:t>除通用合同条款约定外，发包人违约的其他情形：</w:t>
      </w:r>
    </w:p>
    <w:p w14:paraId="77AD53C9">
      <w:pPr>
        <w:spacing w:line="360" w:lineRule="auto"/>
        <w:ind w:firstLine="420" w:firstLineChars="200"/>
        <w:rPr>
          <w:rFonts w:ascii="宋体" w:hAnsi="宋体"/>
          <w:szCs w:val="21"/>
        </w:rPr>
      </w:pPr>
      <w:r>
        <w:rPr>
          <w:rFonts w:hint="eastAsia" w:ascii="宋体" w:hAnsi="宋体" w:cs="Microsoft Sans Serif"/>
          <w:kern w:val="0"/>
          <w:szCs w:val="21"/>
        </w:rPr>
        <w:t>（1）根据专用合同条款7.5.1项因发包人原因导致工期延误的；</w:t>
      </w:r>
    </w:p>
    <w:p w14:paraId="1230827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（2）因发包人原因未能及时办理完毕合同约定的许可、批准或备案的；</w:t>
      </w:r>
    </w:p>
    <w:p w14:paraId="2BAFE12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（3）因监理人未能按合同约定发出指示、指示延误或发出了错误指示而导致承包人费用增加和（或）工期延误的；</w:t>
      </w:r>
    </w:p>
    <w:p w14:paraId="745A6A3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（4）根据5.3.3发包人或监理人要求重新检查的，经检查证明工程质量符合合同要求的，并由此产生增加的费用和（或）延误的工期的；</w:t>
      </w:r>
    </w:p>
    <w:p w14:paraId="7E313CD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（5）因发包人原因造成工程质量未达到合同约定标准的；</w:t>
      </w:r>
    </w:p>
    <w:p w14:paraId="4195548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（6）由于发包人原因对承包人造成的人员人身伤亡和财产损失的；</w:t>
      </w:r>
    </w:p>
    <w:p w14:paraId="4F161EB2">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（7）因发包人原因导致工程无法按期办理竣工验收或竣工结算的；</w:t>
      </w:r>
    </w:p>
    <w:p w14:paraId="2B63B1F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（8）发包人无正当理由未按约定退还履约担保、低价风险担保、预付款担保或质量保证金的；</w:t>
      </w:r>
    </w:p>
    <w:p w14:paraId="2AA1E036">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（9）发包人不当提取履约担保、低价风险担保或质量保证金的；</w:t>
      </w:r>
    </w:p>
    <w:p w14:paraId="253A9D8B">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（10）发包人未按合同约定接收全部或部分工作的；</w:t>
      </w:r>
    </w:p>
    <w:p w14:paraId="452B6D0E">
      <w:pPr>
        <w:pStyle w:val="107"/>
        <w:spacing w:line="360" w:lineRule="auto"/>
        <w:jc w:val="left"/>
        <w:rPr>
          <w:rFonts w:ascii="宋体" w:hAnsi="宋体" w:cs="Microsoft Sans Serif"/>
          <w:kern w:val="0"/>
          <w:sz w:val="21"/>
          <w:szCs w:val="21"/>
          <w:u w:val="single"/>
        </w:rPr>
      </w:pPr>
      <w:r>
        <w:rPr>
          <w:rFonts w:hint="eastAsia" w:ascii="宋体" w:hAnsi="宋体" w:cs="Microsoft Sans Serif"/>
          <w:kern w:val="0"/>
          <w:sz w:val="21"/>
          <w:szCs w:val="21"/>
        </w:rPr>
        <w:t>（11）发包人未按合同约定办理保险的；</w:t>
      </w:r>
    </w:p>
    <w:p w14:paraId="6D847B67">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u w:val="single"/>
        </w:rPr>
        <w:t xml:space="preserve">（12）其他：        </w:t>
      </w:r>
      <w:r>
        <w:rPr>
          <w:rFonts w:hint="eastAsia" w:ascii="宋体" w:hAnsi="宋体" w:cs="Microsoft Sans Serif"/>
          <w:kern w:val="0"/>
          <w:szCs w:val="21"/>
        </w:rPr>
        <w:t>。</w:t>
      </w:r>
    </w:p>
    <w:p w14:paraId="5831544C">
      <w:pPr>
        <w:pStyle w:val="107"/>
        <w:spacing w:line="360" w:lineRule="auto"/>
        <w:rPr>
          <w:rFonts w:ascii="宋体" w:hAnsi="宋体"/>
          <w:sz w:val="21"/>
          <w:szCs w:val="21"/>
        </w:rPr>
      </w:pPr>
      <w:r>
        <w:rPr>
          <w:rFonts w:hint="eastAsia" w:ascii="宋体" w:hAnsi="宋体"/>
          <w:sz w:val="21"/>
          <w:szCs w:val="21"/>
        </w:rPr>
        <w:t>16.1.2发包人违约的责任</w:t>
      </w:r>
    </w:p>
    <w:p w14:paraId="5380D9D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（1）因发包人原因未能及时办理完毕前述许可、批准或备案的违约责任：由发包人承担由此增加的费用和（或）顺延工期，并支付合理利润，具体索赔程序按照第19条〔索赔〕约定执行。</w:t>
      </w:r>
    </w:p>
    <w:p w14:paraId="64B7108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监理人未能按合同约定发出指示、指示延误或发出了错误指示而导致承包人费用增加和（或）工期延误的，由发包人承担由此增加的费用和（或）顺延工期，并支付合理利润，具体索赔程序按照第19条〔索赔〕约定执行。</w:t>
      </w:r>
    </w:p>
    <w:p w14:paraId="79A6EA4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（3）因发包人原因导致工期延误的违约责任：由发包人承担由此增加的费用和（或）顺延工期，并支付合理利润，具体索赔程序按照第19条〔索赔〕约定执行。</w:t>
      </w:r>
    </w:p>
    <w:p w14:paraId="08732EB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（4）因发包人原因未能在计划开工日期前7天内下达开工通知的违约责任：由发包人承担由此增加的费用和（或）顺延工期，并支付合理利润，具体索赔程序按照第19条〔索赔〕约定执行。</w:t>
      </w:r>
    </w:p>
    <w:p w14:paraId="0D5EA54D">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（5）根据5.3.3项发包人或监理人要求重新检查的，经检查证明工程质量符合合同要求的，由发包人承担由此增加的费用和（或）顺延工期，并支付合理利润，具体索赔程序按照第19条〔索赔〕约定执行。</w:t>
      </w:r>
    </w:p>
    <w:p w14:paraId="15578753">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（6）因发包人原因未按合同约定支付合同价款的违约责任：发包人应向承包人支付违约金，自应当支付之日起28天后开始计算违约金，计算公式：</w:t>
      </w:r>
      <w:r>
        <w:rPr>
          <w:rFonts w:hint="eastAsia" w:ascii="宋体" w:hAnsi="宋体" w:cs="Microsoft Sans Serif"/>
          <w:kern w:val="0"/>
          <w:szCs w:val="21"/>
          <w:u w:val="single"/>
        </w:rPr>
        <w:t>违约金=应付未付金额×中国人民银行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u w:val="single"/>
        </w:rPr>
        <w:t>；逾期天数超过56天的，超过部分天数按上述利率的两倍计算并支付违约金</w:t>
      </w:r>
      <w:r>
        <w:rPr>
          <w:rFonts w:hint="eastAsia" w:ascii="宋体" w:hAnsi="宋体" w:cs="Microsoft Sans Serif"/>
          <w:kern w:val="0"/>
          <w:szCs w:val="21"/>
        </w:rPr>
        <w:t>。</w:t>
      </w:r>
    </w:p>
    <w:p w14:paraId="3C0E737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（7）发包人违反合同约定，自行实施或转由他人实施被取消的合同工作内容的违约责任：由发包人承担由此给承包人造成的实际损失并支付合理利润。</w:t>
      </w:r>
    </w:p>
    <w:p w14:paraId="31D6B688">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发包人提供的基准资料错误并导致承包人测量放线工作返工或造成工程损失的，以及发包人提供的材料、工程设备的规格、数量或质量不符合合同约定，或因发包人原因导致交货日期延误或交货地点变更等情况的违约责任：由发包人承担由此增加的费用和（或）顺延工期，并支付合理利润，具体索赔程序按照第19条〔索赔〕约定执行。</w:t>
      </w:r>
    </w:p>
    <w:p w14:paraId="07D3B60B">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（9）因发包人原因造成工程质量未达到合同约定标准的，由发包人承担由此增加的费用和（或）延误的工期，并支付合理利润。</w:t>
      </w:r>
    </w:p>
    <w:p w14:paraId="7F6BBA08">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（10）因发包人违反合同约定造成暂停施工的违约责任：由发包人承担由此增加的费用和（或）顺延工期，并支付合理利润，具体索赔程序按照第19条〔索赔〕约定执行。</w:t>
      </w:r>
    </w:p>
    <w:p w14:paraId="4F2D585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（11）发包人无正当理由没有在约定期限内发出复工指示，导致承包人无法复工的违约责任：由发包人承担由此增加的费用和（或）顺延工期，并支付合理利润，具体索赔程序按照第19条〔索赔〕约定执行。</w:t>
      </w:r>
    </w:p>
    <w:p w14:paraId="6D34D7ED">
      <w:pPr>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（12）因发包人原因导致工程无法按期办理竣工验收或竣工结算的违约责任：由发包人承担由此增加的费用和（或）顺延工期，并支付合理利润，具体索赔程序按照第19条〔索赔〕约定执行。</w:t>
      </w:r>
    </w:p>
    <w:p w14:paraId="5009B147">
      <w:pPr>
        <w:spacing w:line="360" w:lineRule="auto"/>
        <w:ind w:firstLine="420" w:firstLineChars="200"/>
        <w:jc w:val="left"/>
        <w:rPr>
          <w:rFonts w:ascii="宋体" w:hAnsi="宋体" w:cs="Microsoft Sans Serif"/>
          <w:kern w:val="0"/>
          <w:szCs w:val="21"/>
          <w:u w:val="single"/>
        </w:rPr>
      </w:pPr>
      <w:r>
        <w:rPr>
          <w:rFonts w:hint="eastAsia" w:ascii="宋体" w:hAnsi="宋体"/>
          <w:szCs w:val="21"/>
        </w:rPr>
        <w:t>（13）</w:t>
      </w:r>
      <w:r>
        <w:rPr>
          <w:rFonts w:hint="eastAsia" w:ascii="宋体" w:hAnsi="宋体" w:cs="Microsoft Sans Serif"/>
          <w:kern w:val="0"/>
          <w:szCs w:val="21"/>
        </w:rPr>
        <w:t>发包人无正当理由未按约定退还履约担保、低价风险担保、预付款担保或质量保证金的违约责任：发包人应向承包人支付违约金，自应当退还之日起28天后开始计算违约金，</w:t>
      </w:r>
      <w:r>
        <w:rPr>
          <w:rFonts w:hint="eastAsia" w:ascii="宋体" w:hAnsi="宋体" w:cs="Microsoft Sans Serif"/>
          <w:kern w:val="0"/>
          <w:szCs w:val="21"/>
          <w:u w:val="single"/>
        </w:rPr>
        <w:t>计算公式：违约金=应退未退担保金额×中国人民银行  年  月公布的5年期贷款市场报价利率/360天×逾期天数</w:t>
      </w:r>
      <w:r>
        <w:rPr>
          <w:rFonts w:hint="eastAsia" w:ascii="宋体" w:hAnsi="宋体"/>
          <w:szCs w:val="21"/>
          <w:u w:val="single"/>
        </w:rPr>
        <w:t>（自第29天起计算）</w:t>
      </w:r>
      <w:r>
        <w:rPr>
          <w:rFonts w:hint="eastAsia" w:ascii="宋体" w:hAnsi="宋体" w:cs="Microsoft Sans Serif"/>
          <w:kern w:val="0"/>
          <w:szCs w:val="21"/>
        </w:rPr>
        <w:t>。</w:t>
      </w:r>
    </w:p>
    <w:p w14:paraId="7ED85AF2">
      <w:pPr>
        <w:pStyle w:val="2"/>
        <w:spacing w:after="0" w:line="360" w:lineRule="auto"/>
        <w:ind w:firstLine="420" w:firstLineChars="200"/>
        <w:rPr>
          <w:rFonts w:ascii="宋体" w:hAnsi="宋体" w:cs="Microsoft Sans Serif"/>
          <w:kern w:val="0"/>
          <w:szCs w:val="21"/>
        </w:rPr>
      </w:pPr>
      <w:r>
        <w:rPr>
          <w:rFonts w:hint="eastAsia" w:ascii="宋体" w:hAnsi="宋体" w:cs="Microsoft Sans Serif"/>
          <w:kern w:val="0"/>
          <w:szCs w:val="21"/>
        </w:rPr>
        <w:t>（14）</w:t>
      </w:r>
      <w:r>
        <w:rPr>
          <w:rFonts w:hint="eastAsia" w:ascii="宋体" w:hAnsi="宋体"/>
          <w:szCs w:val="21"/>
        </w:rPr>
        <w:t>发包人不当提取履约担保、低价风险担保、预付款担保或质量保证金的，应及时予以退还，若不当提取超过28天的，应承担违约责任：发包人应向承包人支付违约金，</w:t>
      </w:r>
      <w:r>
        <w:rPr>
          <w:rFonts w:hint="eastAsia" w:ascii="宋体" w:hAnsi="宋体"/>
          <w:szCs w:val="21"/>
          <w:u w:val="single"/>
        </w:rPr>
        <w:t>计算公式：违约金=不当提取的担保金额×中国人民银行  年  月公布的5年期贷款市场报价利率/360天×逾期天数（自第29天起计算）</w:t>
      </w:r>
      <w:r>
        <w:rPr>
          <w:rFonts w:hint="eastAsia" w:ascii="宋体" w:hAnsi="宋体"/>
          <w:szCs w:val="21"/>
        </w:rPr>
        <w:t>。</w:t>
      </w:r>
    </w:p>
    <w:p w14:paraId="2CAA50A6">
      <w:pPr>
        <w:pStyle w:val="2"/>
        <w:spacing w:after="0" w:line="360" w:lineRule="auto"/>
        <w:ind w:firstLine="420" w:firstLineChars="200"/>
        <w:rPr>
          <w:rFonts w:ascii="宋体" w:hAnsi="宋体"/>
          <w:szCs w:val="21"/>
        </w:rPr>
      </w:pPr>
      <w:r>
        <w:rPr>
          <w:rFonts w:hint="eastAsia" w:ascii="宋体" w:hAnsi="宋体" w:cs="Microsoft Sans Serif"/>
          <w:kern w:val="0"/>
          <w:szCs w:val="21"/>
        </w:rPr>
        <w:t>（15）发包人未按合同约定接收全部或部分工作的违约责任：由发包人承担自应当接收工程之日起的工程照管、成品保护、保管等与工程有关的各项费用。</w:t>
      </w:r>
    </w:p>
    <w:p w14:paraId="1C30A55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（16）由于发包人原因对承包人造成的人员人身伤亡和财产损失的，由发包人负责赔偿，并承担由此增加的费用和（或）延误的工期，并支付合理利润。</w:t>
      </w:r>
    </w:p>
    <w:p w14:paraId="255EFF0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（17）发包人未按合同约定办理保险的违约责任：除按18.6.1项约定执行外，每延迟1天，按</w:t>
      </w:r>
      <w:r>
        <w:rPr>
          <w:rFonts w:hint="eastAsia" w:ascii="宋体" w:hAnsi="宋体" w:cs="Microsoft Sans Serif"/>
          <w:kern w:val="0"/>
          <w:szCs w:val="21"/>
          <w:u w:val="single"/>
        </w:rPr>
        <w:t>500元/天</w:t>
      </w:r>
      <w:r>
        <w:rPr>
          <w:rFonts w:hint="eastAsia" w:ascii="宋体" w:hAnsi="宋体" w:cs="Microsoft Sans Serif"/>
          <w:kern w:val="0"/>
          <w:szCs w:val="21"/>
        </w:rPr>
        <w:t>支付违约金。</w:t>
      </w:r>
    </w:p>
    <w:p w14:paraId="0568E93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（18）其他：</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1AC386C8">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发包人发生除通用条款第16.1.1项第（7）目以外的违约情况时，承包人可向发包人发出通知，要求发包人采取有效措施纠正违约行为。发包人收到承包人通知后的28天内仍不履行合同义务，承包人有权暂停施工，并通知监理人。</w:t>
      </w:r>
    </w:p>
    <w:p w14:paraId="28275092">
      <w:pPr>
        <w:spacing w:line="360" w:lineRule="auto"/>
        <w:ind w:firstLine="420" w:firstLineChars="200"/>
        <w:rPr>
          <w:rFonts w:ascii="宋体" w:hAnsi="宋体"/>
          <w:szCs w:val="21"/>
        </w:rPr>
      </w:pPr>
      <w:r>
        <w:rPr>
          <w:rFonts w:hint="eastAsia" w:ascii="宋体" w:hAnsi="宋体"/>
          <w:szCs w:val="21"/>
        </w:rPr>
        <w:t>16.1.3 因发包人违约解除合同</w:t>
      </w:r>
    </w:p>
    <w:p w14:paraId="511C2B6E">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因发包人违约并致使合同目的不能实现的，承包人有权解除合同：</w:t>
      </w:r>
    </w:p>
    <w:p w14:paraId="298D41F7">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（1）因发包人原因延迟支付合同价款超过180天的；</w:t>
      </w:r>
    </w:p>
    <w:p w14:paraId="15124646">
      <w:pPr>
        <w:autoSpaceDE w:val="0"/>
        <w:autoSpaceDN w:val="0"/>
        <w:adjustRightIn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（2）因发包人原因导致工期延误超过90天的；</w:t>
      </w:r>
    </w:p>
    <w:p w14:paraId="59B20EC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（3）因发包人第16.1.2（5）违约情形导致暂停施工满56天，且发包人仍未纠正其违约行为的；</w:t>
      </w:r>
    </w:p>
    <w:p w14:paraId="6094D12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（4）其他未履行合同项下的义务构成对合同的实质性违约，并且在收到承包人要求说明其违约并予以补救的通知后56天内仍未补救该实质性违约的；</w:t>
      </w:r>
    </w:p>
    <w:p w14:paraId="758E0D4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w:t>
      </w:r>
      <w:r>
        <w:rPr>
          <w:rFonts w:hint="eastAsia" w:ascii="宋体" w:hAnsi="宋体" w:cs="Microsoft Sans Serif"/>
          <w:kern w:val="0"/>
          <w:szCs w:val="21"/>
          <w:u w:val="single"/>
        </w:rPr>
        <w:t>合同约定的承包人有权解除合同的其他情形</w:t>
      </w:r>
      <w:r>
        <w:rPr>
          <w:rFonts w:hint="eastAsia" w:ascii="宋体" w:hAnsi="宋体" w:cs="Microsoft Sans Serif"/>
          <w:kern w:val="0"/>
          <w:szCs w:val="21"/>
        </w:rPr>
        <w:t>。</w:t>
      </w:r>
    </w:p>
    <w:p w14:paraId="74D6F9D8">
      <w:pPr>
        <w:spacing w:line="360" w:lineRule="auto"/>
        <w:ind w:firstLine="420" w:firstLineChars="200"/>
        <w:rPr>
          <w:rFonts w:ascii="宋体" w:hAnsi="宋体"/>
          <w:szCs w:val="21"/>
        </w:rPr>
      </w:pPr>
      <w:r>
        <w:rPr>
          <w:rFonts w:hint="eastAsia" w:ascii="宋体" w:hAnsi="宋体"/>
          <w:szCs w:val="21"/>
        </w:rPr>
        <w:t>16.1.4 因发包人违约解除合同后的付款</w:t>
      </w:r>
    </w:p>
    <w:p w14:paraId="15C3A2C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承包人按照本款约定解除合同的，发包人应在解除合同后28天内支付下列款项，并解除履约担保、低价风险担保、预付款担保：</w:t>
      </w:r>
    </w:p>
    <w:p w14:paraId="5D9EB5F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（1）合同解除前所完成工作的价款；</w:t>
      </w:r>
    </w:p>
    <w:p w14:paraId="3A20792B">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（2）承包人为工程施工订购并已付款的材料、工程设备和其他物品的价款；</w:t>
      </w:r>
    </w:p>
    <w:p w14:paraId="028E0D3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（3）承包人撤离施工现场以及遣散承包人人员的款项；</w:t>
      </w:r>
    </w:p>
    <w:p w14:paraId="1C0F6F3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（4）按照合同约定在合同解除前应支付的违约金；</w:t>
      </w:r>
    </w:p>
    <w:p w14:paraId="7D3D952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（5）按照合同约定应当支付给承包人的其他款项；</w:t>
      </w:r>
    </w:p>
    <w:p w14:paraId="665439C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（6）按照合同约定应退还的质量保证金；</w:t>
      </w:r>
    </w:p>
    <w:p w14:paraId="116A300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（7）因解除合同给承包人造成的损失；</w:t>
      </w:r>
    </w:p>
    <w:p w14:paraId="1734365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w:t>
      </w:r>
      <w:r>
        <w:rPr>
          <w:rFonts w:hint="eastAsia" w:ascii="宋体" w:hAnsi="宋体" w:cs="Microsoft Sans Serif"/>
          <w:kern w:val="0"/>
          <w:szCs w:val="21"/>
          <w:u w:val="single"/>
        </w:rPr>
        <w:t xml:space="preserve">        。</w:t>
      </w:r>
    </w:p>
    <w:p w14:paraId="367483D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合同当事人未能就解除合同后的结清达成一致的，按照第20条〔争议解决〕的约定处理。</w:t>
      </w:r>
    </w:p>
    <w:p w14:paraId="4A6AA38A">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承包人应妥善做好已完工程和与工程有关的已购材料、工程设备的保护和移交工作，并将施工设备和人员撤出施工现场，发包人应为承包人撤出提供必要条件。</w:t>
      </w:r>
    </w:p>
    <w:p w14:paraId="1F1F3B67">
      <w:pPr>
        <w:pStyle w:val="7"/>
        <w:spacing w:before="0" w:beforeAutospacing="0" w:after="0" w:afterAutospacing="0" w:line="360" w:lineRule="auto"/>
        <w:ind w:firstLine="422" w:firstLineChars="200"/>
        <w:rPr>
          <w:sz w:val="21"/>
          <w:szCs w:val="21"/>
        </w:rPr>
      </w:pPr>
      <w:bookmarkStart w:id="1699" w:name="_Toc532377403"/>
      <w:r>
        <w:rPr>
          <w:rFonts w:hint="eastAsia"/>
          <w:sz w:val="21"/>
          <w:szCs w:val="21"/>
        </w:rPr>
        <w:t>16.2 承包人违约</w:t>
      </w:r>
      <w:bookmarkEnd w:id="1699"/>
    </w:p>
    <w:p w14:paraId="39E7C4EA">
      <w:pPr>
        <w:snapToGrid w:val="0"/>
        <w:spacing w:line="360" w:lineRule="auto"/>
        <w:ind w:firstLine="420" w:firstLineChars="200"/>
        <w:jc w:val="left"/>
        <w:rPr>
          <w:rFonts w:ascii="宋体" w:hAnsi="宋体" w:cs="Microsoft Sans Serif"/>
          <w:kern w:val="0"/>
          <w:szCs w:val="21"/>
        </w:rPr>
      </w:pPr>
      <w:bookmarkStart w:id="1700" w:name="_Hlk524380579"/>
      <w:r>
        <w:rPr>
          <w:rFonts w:hint="eastAsia" w:ascii="宋体" w:hAnsi="宋体" w:cs="Microsoft Sans Serif"/>
          <w:kern w:val="0"/>
          <w:szCs w:val="21"/>
        </w:rPr>
        <w:t>16.2.1 承包人违约的情形</w:t>
      </w:r>
    </w:p>
    <w:p w14:paraId="25BE7FB6">
      <w:pPr>
        <w:snapToGrid w:val="0"/>
        <w:spacing w:line="360" w:lineRule="auto"/>
        <w:ind w:firstLine="420" w:firstLineChars="200"/>
        <w:jc w:val="left"/>
        <w:rPr>
          <w:rFonts w:ascii="宋体" w:hAnsi="宋体" w:cs="Microsoft Sans Serif"/>
          <w:kern w:val="0"/>
          <w:szCs w:val="21"/>
          <w:u w:val="single"/>
        </w:rPr>
      </w:pPr>
      <w:r>
        <w:rPr>
          <w:rFonts w:hint="eastAsia" w:ascii="宋体" w:hAnsi="宋体" w:cs="Microsoft Sans Serif"/>
          <w:kern w:val="0"/>
          <w:szCs w:val="21"/>
        </w:rPr>
        <w:t>除通用合同条款约定外，承包人违约的其他情形：</w:t>
      </w:r>
    </w:p>
    <w:p w14:paraId="5D44281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（1）承包人未按合同约定提交履约担保或质量保证金的；</w:t>
      </w:r>
    </w:p>
    <w:p w14:paraId="417FDF8E">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（2）承包人未能按期开工的；</w:t>
      </w:r>
    </w:p>
    <w:p w14:paraId="43869E4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（3）承包人未按投标文件或监理人的要求及时配备称职的主要管理人员，或承包人未按经审定的施工组织设计配备或更换关键施工设备的；</w:t>
      </w:r>
    </w:p>
    <w:p w14:paraId="52F8AB8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（4）承包人有安全问题或有违反安全管理规章制度情况的；</w:t>
      </w:r>
    </w:p>
    <w:p w14:paraId="3712BC0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（5）承包人在缺陷责任期及保修期内，未能在合理期限对工程缺陷进行修复，或拒绝按发包人要求进行修复的；</w:t>
      </w:r>
    </w:p>
    <w:p w14:paraId="34A4F08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（6）承包人拖欠其工人或所雇人员工资或报酬，导致其工人或所雇人员向有关部门投诉、控告、检举或以聚集等方式讨要工资或报酬的；</w:t>
      </w:r>
    </w:p>
    <w:p w14:paraId="7C275CE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（7）承包人不配合发包人、监理人及发包人委托的工程造价咨询服务单位结算审核或承包人其他原因导致未按期完成工程竣工结算的；</w:t>
      </w:r>
    </w:p>
    <w:p w14:paraId="150EB13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（8）承包人违反合同约定进行转包或违法分包的；</w:t>
      </w:r>
    </w:p>
    <w:p w14:paraId="32CD41B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（9）承包人未按合同约定移交全部或部分工作的；</w:t>
      </w:r>
    </w:p>
    <w:p w14:paraId="4A50630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（10）承包人未按合同约定购买保险的；</w:t>
      </w:r>
    </w:p>
    <w:p w14:paraId="15F4CFAE">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（11）项目经理若有以下情形，属于承包人违约：</w:t>
      </w:r>
    </w:p>
    <w:p w14:paraId="2C5A74C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1）项目经理不按承诺到岗的；</w:t>
      </w:r>
    </w:p>
    <w:p w14:paraId="5D34CE3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2）每月在施工现场的天数少于约定天数的；</w:t>
      </w:r>
    </w:p>
    <w:p w14:paraId="2A30965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3）承包人未提交项目经理劳动合同和社会保险证明的；</w:t>
      </w:r>
    </w:p>
    <w:p w14:paraId="66892A1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4）未经批准，擅自离开施工现场（超过约定时间）的；</w:t>
      </w:r>
    </w:p>
    <w:p w14:paraId="280D65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5）未经批准，擅自变更项目经理的；</w:t>
      </w:r>
    </w:p>
    <w:p w14:paraId="4B3BDCC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6）按照渝建发〔2015〕35号文的要求，施工期间，项目经理因在一个记分周期内累计记分达到12分，被建设行政主管部门依法责令停止执业的；</w:t>
      </w:r>
    </w:p>
    <w:p w14:paraId="6EEA465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7）发包人有正当理由认为项目经理不称职/不履职，且承包人在约定时间内不予更换的；</w:t>
      </w:r>
    </w:p>
    <w:p w14:paraId="06FD454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0C7791E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（12）技术负责人若有以下情形，属于承包人违约：</w:t>
      </w:r>
    </w:p>
    <w:p w14:paraId="378F503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1）每月在施工现场的天数少于约定天数的；</w:t>
      </w:r>
    </w:p>
    <w:p w14:paraId="4463E3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2）承包人未提交技术负责人劳动合同和社会保险证明的；</w:t>
      </w:r>
    </w:p>
    <w:p w14:paraId="00D0003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3）未经批准，擅自离开施工现场（超过约定时间）的；</w:t>
      </w:r>
    </w:p>
    <w:p w14:paraId="2A9B2D7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4）未经批准，擅自变更技术负责人的；</w:t>
      </w:r>
    </w:p>
    <w:p w14:paraId="59AE3C1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5）发包人有正当理由认为技术负责人不称职/不履职，且承包人在约定时间内不予更换的；</w:t>
      </w:r>
    </w:p>
    <w:p w14:paraId="45E24B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54C83F43">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（13）主要施工管理人员若有以下情形，属于承包人违约：</w:t>
      </w:r>
    </w:p>
    <w:p w14:paraId="3059C45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1）承包人未提交主要管理人员劳动合同和社会保险证明的；</w:t>
      </w:r>
    </w:p>
    <w:p w14:paraId="68A5211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2）未经批准，擅自离开施工现场（超过约定时间）的；</w:t>
      </w:r>
    </w:p>
    <w:p w14:paraId="4C6C941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3）未经批准，擅自变更主要施工管理人员的；</w:t>
      </w:r>
    </w:p>
    <w:p w14:paraId="14112C4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4）发包人有正当理由认为主要施工管理人员不称职/不履职，且承包人在约定时间内不予更换的；</w:t>
      </w:r>
    </w:p>
    <w:p w14:paraId="1DA0D28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5）其他双方约定的情形：</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32CE0AE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w:t>
      </w:r>
      <w:r>
        <w:rPr>
          <w:rFonts w:hint="eastAsia" w:ascii="宋体" w:hAnsi="宋体" w:cs="Microsoft Sans Serif"/>
          <w:color w:val="FF0000"/>
          <w:kern w:val="0"/>
          <w:szCs w:val="21"/>
          <w:u w:val="single"/>
        </w:rPr>
        <w:t>严禁私自接收外来渣土。若经发现违者罚款10万元每车每次。累计3次业主有权解除合同并追究相关责任。</w:t>
      </w:r>
    </w:p>
    <w:bookmarkEnd w:id="1700"/>
    <w:p w14:paraId="090F8FCB">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16.2.2 承包人违约的责任</w:t>
      </w:r>
    </w:p>
    <w:p w14:paraId="13EC98B2">
      <w:pPr>
        <w:adjustRightInd w:val="0"/>
        <w:snapToGrid w:val="0"/>
        <w:spacing w:line="360" w:lineRule="auto"/>
        <w:ind w:firstLine="420" w:firstLineChars="200"/>
        <w:rPr>
          <w:rFonts w:ascii="宋体" w:hAnsi="宋体" w:cs="Microsoft Sans Serif"/>
          <w:kern w:val="0"/>
          <w:szCs w:val="21"/>
        </w:rPr>
      </w:pPr>
      <w:r>
        <w:rPr>
          <w:rFonts w:hint="eastAsia" w:ascii="宋体" w:hAnsi="宋体" w:cs="Microsoft Sans Serif"/>
          <w:kern w:val="0"/>
          <w:szCs w:val="21"/>
        </w:rPr>
        <w:t>承包人违约责任的承担方式和计算方法：</w:t>
      </w:r>
    </w:p>
    <w:p w14:paraId="659C9A4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（1）承包人未按合同约定提交履约担保、质量保证金的违约责任：承包人应支付违约金，</w:t>
      </w:r>
      <w:r>
        <w:rPr>
          <w:rFonts w:hint="eastAsia" w:ascii="宋体" w:hAnsi="宋体" w:cs="Microsoft Sans Serif"/>
          <w:szCs w:val="21"/>
        </w:rPr>
        <w:t>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计算违约金，累计违约金上限：</w:t>
      </w:r>
      <w:r>
        <w:rPr>
          <w:rFonts w:hint="eastAsia" w:ascii="宋体" w:hAnsi="宋体" w:cs="Microsoft Sans Serif"/>
          <w:kern w:val="0"/>
          <w:szCs w:val="21"/>
          <w:u w:val="single"/>
        </w:rPr>
        <w:t xml:space="preserve">  万元（不超过签约合同价的3%）</w:t>
      </w:r>
      <w:r>
        <w:rPr>
          <w:rFonts w:hint="eastAsia" w:ascii="宋体" w:hAnsi="宋体" w:cs="Microsoft Sans Serif"/>
          <w:kern w:val="0"/>
          <w:szCs w:val="21"/>
          <w:lang w:val="zh-CN"/>
        </w:rPr>
        <w:t>。</w:t>
      </w:r>
    </w:p>
    <w:p w14:paraId="0828B6E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（2）承包人违反合同约定进行转包或违法分包的违约责任：按照违反合同约定进行转包和（或）违法分包相应转包和（或）分包合同的合同金额的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支付违约金，违法转/分包商应在7天内撤离出场。</w:t>
      </w:r>
    </w:p>
    <w:p w14:paraId="4056D775">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（3）承包人违反合同约定采购和使用不合格的材料和工程设备的违约责任：按照违反合同约定采购和使用不合格的材料和（或）工程设备相应合同金额的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377627F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2992B49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（5）承包人违反材料与设备的约定，未经批准，擅自将已按照合同约定进入施工现场的材料或设备撤离施工现场的违约责任：按照承包人擅自撤离施工现场材料和（或）设备相应合同金额的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cs="Microsoft Sans Serif"/>
          <w:kern w:val="0"/>
          <w:szCs w:val="21"/>
          <w:u w:val="single"/>
        </w:rPr>
        <w:t xml:space="preserve">  （1～5）%</w:t>
      </w:r>
      <w:r>
        <w:rPr>
          <w:rFonts w:hint="eastAsia" w:ascii="宋体" w:hAnsi="宋体" w:cs="Microsoft Sans Serif"/>
          <w:kern w:val="0"/>
          <w:szCs w:val="21"/>
        </w:rPr>
        <w:t>支付违约金。</w:t>
      </w:r>
    </w:p>
    <w:p w14:paraId="423CD654">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（6）因承包人原因造成工期延误的违约承担方式和计算方法：由承包人承担由此增加的费用，</w:t>
      </w:r>
      <w:r>
        <w:rPr>
          <w:rFonts w:hint="eastAsia" w:ascii="宋体" w:hAnsi="宋体" w:cs="Microsoft Sans Serif"/>
          <w:szCs w:val="21"/>
        </w:rPr>
        <w:t>由此导致工期延误的，工期不予顺延；逾期竣工违约金的计算方法：</w:t>
      </w:r>
      <w:r>
        <w:rPr>
          <w:rFonts w:hint="eastAsia" w:ascii="宋体" w:hAnsi="宋体" w:cs="Microsoft Sans Serif"/>
          <w:kern w:val="0"/>
          <w:szCs w:val="21"/>
        </w:rPr>
        <w:t>每延误1天，承包人按</w:t>
      </w:r>
      <w:r>
        <w:rPr>
          <w:rFonts w:hint="eastAsia" w:ascii="宋体" w:hAnsi="宋体" w:cs="Microsoft Sans Serif"/>
          <w:kern w:val="0"/>
          <w:szCs w:val="21"/>
          <w:u w:val="single"/>
        </w:rPr>
        <w:t xml:space="preserve">  （5000～50000）元/天</w:t>
      </w:r>
      <w:r>
        <w:rPr>
          <w:rFonts w:hint="eastAsia" w:ascii="宋体" w:hAnsi="宋体" w:cs="Microsoft Sans Serif"/>
          <w:kern w:val="0"/>
          <w:szCs w:val="21"/>
        </w:rPr>
        <w:t>计算逾期竣工违约金，累计违约金上限：</w:t>
      </w:r>
      <w:r>
        <w:rPr>
          <w:rFonts w:hint="eastAsia" w:ascii="宋体" w:hAnsi="宋体" w:cs="Microsoft Sans Serif"/>
          <w:kern w:val="0"/>
          <w:szCs w:val="21"/>
          <w:u w:val="single"/>
        </w:rPr>
        <w:t xml:space="preserve">  </w:t>
      </w:r>
      <w:r>
        <w:rPr>
          <w:rFonts w:hint="eastAsia" w:ascii="宋体" w:hAnsi="宋体" w:cs="Microsoft Sans Serif"/>
          <w:kern w:val="0"/>
          <w:szCs w:val="21"/>
        </w:rPr>
        <w:t>万元（不超过签约合同价的3%）</w:t>
      </w:r>
      <w:r>
        <w:rPr>
          <w:rFonts w:hint="eastAsia" w:ascii="宋体" w:hAnsi="宋体" w:cs="Microsoft Sans Serif"/>
          <w:kern w:val="0"/>
          <w:szCs w:val="21"/>
          <w:lang w:val="zh-CN"/>
        </w:rPr>
        <w:t>；</w:t>
      </w:r>
      <w:r>
        <w:rPr>
          <w:rFonts w:hint="eastAsia" w:ascii="宋体" w:hAnsi="宋体" w:cs="Microsoft Sans Serif"/>
          <w:kern w:val="0"/>
          <w:szCs w:val="21"/>
        </w:rPr>
        <w:t>承包人支付逾期竣工违约金后，不免除承包人继续完成工程及修补缺陷的义务。</w:t>
      </w:r>
    </w:p>
    <w:p w14:paraId="264FA74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（7）承包人在缺陷责任期及保修期内，未能在合理期限对工程缺陷进行修复，或拒绝按发包人要求进行修复的违约责任：按照发包人修复缺陷费用的</w:t>
      </w:r>
      <w:r>
        <w:rPr>
          <w:rFonts w:hint="eastAsia" w:ascii="宋体" w:hAnsi="宋体" w:cs="Microsoft Sans Serif"/>
          <w:kern w:val="0"/>
          <w:szCs w:val="21"/>
          <w:u w:val="single"/>
        </w:rPr>
        <w:t xml:space="preserve">  （0.5～2）%</w:t>
      </w:r>
      <w:r>
        <w:rPr>
          <w:rFonts w:hint="eastAsia" w:ascii="宋体" w:hAnsi="宋体" w:cs="Microsoft Sans Serif"/>
          <w:kern w:val="0"/>
          <w:szCs w:val="21"/>
        </w:rPr>
        <w:t>支付违约金。</w:t>
      </w:r>
    </w:p>
    <w:p w14:paraId="290829F0">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（8）承包人明确表示或者以其行为表明不履行合同主要义务的违约责任：按签约合同价的</w:t>
      </w:r>
      <w:r>
        <w:rPr>
          <w:rFonts w:hint="eastAsia" w:ascii="宋体" w:hAnsi="宋体" w:cs="Microsoft Sans Serif"/>
          <w:kern w:val="0"/>
          <w:szCs w:val="21"/>
          <w:u w:val="single"/>
        </w:rPr>
        <w:t xml:space="preserve">  （5～10）%</w:t>
      </w:r>
      <w:r>
        <w:rPr>
          <w:rFonts w:hint="eastAsia" w:ascii="宋体" w:hAnsi="宋体" w:cs="Microsoft Sans Serif"/>
          <w:kern w:val="0"/>
          <w:szCs w:val="21"/>
        </w:rPr>
        <w:t>支付违约金。</w:t>
      </w:r>
    </w:p>
    <w:p w14:paraId="3989D8D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（9）承包人未能按照合同约定履行其他义务的违约责任：按</w:t>
      </w:r>
      <w:r>
        <w:rPr>
          <w:rFonts w:hint="eastAsia" w:ascii="宋体" w:hAnsi="宋体" w:cs="Microsoft Sans Serif"/>
          <w:kern w:val="0"/>
          <w:szCs w:val="21"/>
          <w:u w:val="single"/>
        </w:rPr>
        <w:t>（500～5000）元/次</w:t>
      </w:r>
      <w:r>
        <w:rPr>
          <w:rFonts w:hint="eastAsia" w:ascii="宋体" w:hAnsi="宋体" w:cs="Microsoft Sans Serif"/>
          <w:kern w:val="0"/>
          <w:szCs w:val="21"/>
        </w:rPr>
        <w:t>支付违约金。</w:t>
      </w:r>
    </w:p>
    <w:p w14:paraId="4066AC51">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（10）承包人未能按期开工的违约责任：按合同价</w:t>
      </w:r>
      <w:r>
        <w:rPr>
          <w:rFonts w:hint="eastAsia" w:ascii="宋体" w:hAnsi="宋体" w:cs="Microsoft Sans Serif"/>
          <w:kern w:val="0"/>
          <w:szCs w:val="21"/>
          <w:u w:val="single"/>
        </w:rPr>
        <w:t>0.2‰/天</w:t>
      </w:r>
      <w:r>
        <w:rPr>
          <w:rFonts w:hint="eastAsia" w:ascii="宋体" w:hAnsi="宋体" w:cs="Microsoft Sans Serif"/>
          <w:kern w:val="0"/>
          <w:szCs w:val="21"/>
        </w:rPr>
        <w:t>支付违约金，本项违约金累计限额为签约合同价的</w:t>
      </w:r>
      <w:r>
        <w:rPr>
          <w:rFonts w:hint="eastAsia" w:ascii="宋体" w:hAnsi="宋体" w:cs="Microsoft Sans Serif"/>
          <w:kern w:val="0"/>
          <w:szCs w:val="21"/>
          <w:u w:val="single"/>
        </w:rPr>
        <w:t xml:space="preserve"> 1 %</w:t>
      </w:r>
      <w:r>
        <w:rPr>
          <w:rFonts w:hint="eastAsia" w:ascii="宋体" w:hAnsi="宋体" w:cs="Microsoft Sans Serif"/>
          <w:kern w:val="0"/>
          <w:szCs w:val="21"/>
        </w:rPr>
        <w:t>。</w:t>
      </w:r>
    </w:p>
    <w:p w14:paraId="525742F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（11）承包人未按经审定的施工组织设计配备或更换关键施工设备的违约责任：按</w:t>
      </w:r>
      <w:r>
        <w:rPr>
          <w:rFonts w:hint="eastAsia" w:ascii="宋体" w:hAnsi="宋体" w:cs="Microsoft Sans Serif"/>
          <w:kern w:val="0"/>
          <w:szCs w:val="21"/>
          <w:u w:val="single"/>
        </w:rPr>
        <w:t xml:space="preserve">  （5000～50000）元/台·次</w:t>
      </w:r>
      <w:r>
        <w:rPr>
          <w:rFonts w:hint="eastAsia" w:ascii="宋体" w:hAnsi="宋体" w:cs="Microsoft Sans Serif"/>
          <w:kern w:val="0"/>
          <w:szCs w:val="21"/>
        </w:rPr>
        <w:t>支付违约金。</w:t>
      </w:r>
    </w:p>
    <w:p w14:paraId="2A7B9862">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（12）承包人有安全问题或有违反安全管理规章制度情况的违约责任：根据具体情节，按签约合同价的</w:t>
      </w:r>
      <w:r>
        <w:rPr>
          <w:rFonts w:hint="eastAsia" w:ascii="宋体" w:hAnsi="宋体" w:cs="Microsoft Sans Serif"/>
          <w:kern w:val="0"/>
          <w:szCs w:val="21"/>
          <w:u w:val="single"/>
        </w:rPr>
        <w:t>0.5‰～4‰/次</w:t>
      </w:r>
      <w:r>
        <w:rPr>
          <w:rFonts w:hint="eastAsia" w:ascii="宋体" w:hAnsi="宋体" w:cs="Microsoft Sans Serif"/>
          <w:kern w:val="0"/>
          <w:szCs w:val="21"/>
        </w:rPr>
        <w:t>支付违约金（累计不超过签约合同价的1%，详见附件9安全管理协议）。</w:t>
      </w:r>
    </w:p>
    <w:p w14:paraId="1A0C7DBA">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（13）承包人拖欠其工人或所雇人员工资或报酬，导致其工人或所雇人员向有关部门投诉、控告、检举或以聚集等方式讨要工资或报酬的违约责任：根据具体情节，按违约金额</w:t>
      </w:r>
      <w:r>
        <w:rPr>
          <w:rFonts w:hint="eastAsia" w:ascii="宋体" w:hAnsi="宋体" w:cs="Microsoft Sans Serif"/>
          <w:kern w:val="0"/>
          <w:szCs w:val="21"/>
          <w:u w:val="single"/>
        </w:rPr>
        <w:t xml:space="preserve">  （50000～200000）元/次</w:t>
      </w:r>
      <w:r>
        <w:rPr>
          <w:rFonts w:hint="eastAsia" w:ascii="宋体" w:hAnsi="宋体" w:cs="Microsoft Sans Serif"/>
          <w:kern w:val="0"/>
          <w:szCs w:val="21"/>
        </w:rPr>
        <w:t>支付违约金。</w:t>
      </w:r>
    </w:p>
    <w:p w14:paraId="0F429BE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（14）承包人不配合发包人、监理人及发包人委托的工程造价咨询服务单位结算审核的违约责任：根据具体情节，按</w:t>
      </w:r>
      <w:r>
        <w:rPr>
          <w:rFonts w:hint="eastAsia" w:ascii="宋体" w:hAnsi="宋体" w:cs="Microsoft Sans Serif"/>
          <w:kern w:val="0"/>
          <w:szCs w:val="21"/>
          <w:u w:val="single"/>
        </w:rPr>
        <w:t xml:space="preserve">  （10000～100000）元/次</w:t>
      </w:r>
      <w:r>
        <w:rPr>
          <w:rFonts w:hint="eastAsia" w:ascii="宋体" w:hAnsi="宋体" w:cs="Microsoft Sans Serif"/>
          <w:kern w:val="0"/>
          <w:szCs w:val="21"/>
        </w:rPr>
        <w:t>支付违约金。</w:t>
      </w:r>
    </w:p>
    <w:p w14:paraId="67703EEC">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（15）承包人未按合同约定移交全部和部分工程的违约责任：由承包人承担工程照管、成品保护、保管等与工程有关的各种费用，并按结算金额或违约部分结算金额的</w:t>
      </w:r>
      <w:r>
        <w:rPr>
          <w:rFonts w:hint="eastAsia" w:ascii="宋体" w:hAnsi="宋体" w:cs="Microsoft Sans Serif"/>
          <w:kern w:val="0"/>
          <w:szCs w:val="21"/>
          <w:u w:val="single"/>
        </w:rPr>
        <w:t>0.5～1‰</w:t>
      </w:r>
      <w:r>
        <w:rPr>
          <w:rFonts w:hint="eastAsia" w:ascii="宋体" w:hAnsi="宋体" w:cs="Microsoft Sans Serif"/>
          <w:kern w:val="0"/>
          <w:szCs w:val="21"/>
        </w:rPr>
        <w:t>支付违约金。</w:t>
      </w:r>
    </w:p>
    <w:p w14:paraId="1EB7ADD6">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（16）承包人未按合同约定购买保险的违约责任：除按18.6.2项约定执行外，每延迟1天，按</w:t>
      </w:r>
      <w:r>
        <w:rPr>
          <w:rFonts w:hint="eastAsia" w:ascii="宋体" w:hAnsi="宋体" w:cs="Microsoft Sans Serif"/>
          <w:szCs w:val="21"/>
          <w:u w:val="single"/>
        </w:rPr>
        <w:t>500元/天</w:t>
      </w:r>
      <w:r>
        <w:rPr>
          <w:rFonts w:hint="eastAsia" w:ascii="宋体" w:hAnsi="宋体" w:cs="Microsoft Sans Serif"/>
          <w:szCs w:val="21"/>
        </w:rPr>
        <w:t>支付违约金。</w:t>
      </w:r>
    </w:p>
    <w:p w14:paraId="2C91EE78">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（17）发生第16.2.1项（11）目、16.2.1项（12）目、16.2.1项（13）目违约情形的违约责任：除承担由此增加的费用和工期延误的责任，承包人应向发包人支付违约金：</w:t>
      </w:r>
    </w:p>
    <w:p w14:paraId="5C0FB6F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1）项目经理违约承担方式和计算方法：对于第16.2.1项（11）目的情形，每发现一次，根据具体情节，按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计算违约金；项目经理不按承诺到岗的（</w:t>
      </w:r>
      <w:r>
        <w:rPr>
          <w:rFonts w:ascii="宋体" w:hAnsi="宋体" w:cs="Microsoft Sans Serif"/>
          <w:kern w:val="0"/>
          <w:szCs w:val="21"/>
        </w:rPr>
        <w:t>3.2.3项约定的情形除外</w:t>
      </w:r>
      <w:r>
        <w:rPr>
          <w:rFonts w:hint="eastAsia" w:ascii="宋体" w:hAnsi="宋体" w:cs="Microsoft Sans Serif"/>
          <w:kern w:val="0"/>
          <w:szCs w:val="21"/>
        </w:rPr>
        <w:t>），按履约保证金的</w:t>
      </w:r>
      <w:r>
        <w:rPr>
          <w:rFonts w:hint="eastAsia" w:ascii="宋体" w:hAnsi="宋体" w:cs="Microsoft Sans Serif"/>
          <w:kern w:val="0"/>
          <w:szCs w:val="21"/>
          <w:u w:val="single"/>
        </w:rPr>
        <w:t>（50～100）%</w:t>
      </w:r>
      <w:r>
        <w:rPr>
          <w:rFonts w:hint="eastAsia" w:ascii="宋体" w:hAnsi="宋体" w:cs="Microsoft Sans Serif"/>
          <w:kern w:val="0"/>
          <w:szCs w:val="21"/>
        </w:rPr>
        <w:t>支付违约金，并解除合同；擅自更换项目经理的，按签约合同价的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20万</w:t>
      </w:r>
      <w:r>
        <w:rPr>
          <w:rFonts w:hint="eastAsia" w:ascii="宋体" w:hAnsi="宋体" w:cs="Microsoft Sans Serif"/>
          <w:kern w:val="0"/>
          <w:szCs w:val="21"/>
        </w:rPr>
        <w:t>，累计不超过</w:t>
      </w:r>
      <w:r>
        <w:rPr>
          <w:rFonts w:hint="eastAsia" w:ascii="宋体" w:hAnsi="宋体" w:cs="Microsoft Sans Serif"/>
          <w:kern w:val="0"/>
          <w:szCs w:val="21"/>
          <w:u w:val="single"/>
        </w:rPr>
        <w:t>200万</w:t>
      </w:r>
      <w:r>
        <w:rPr>
          <w:rFonts w:hint="eastAsia" w:ascii="宋体" w:hAnsi="宋体" w:cs="Microsoft Sans Serif"/>
          <w:kern w:val="0"/>
          <w:szCs w:val="21"/>
        </w:rPr>
        <w:t>；项目经理被责令停止执业的，按签约合同价的</w:t>
      </w:r>
      <w:r>
        <w:rPr>
          <w:rFonts w:hint="eastAsia" w:ascii="宋体" w:hAnsi="宋体" w:cs="Microsoft Sans Serif"/>
          <w:kern w:val="0"/>
          <w:szCs w:val="21"/>
          <w:u w:val="single"/>
        </w:rPr>
        <w:t>（0.5～3）%/人•次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20</w:t>
      </w:r>
      <w:r>
        <w:rPr>
          <w:rFonts w:hint="eastAsia" w:ascii="宋体" w:hAnsi="宋体" w:cs="Microsoft Sans Serif"/>
          <w:kern w:val="0"/>
          <w:szCs w:val="21"/>
        </w:rPr>
        <w:t>万，累计不超过</w:t>
      </w:r>
      <w:r>
        <w:rPr>
          <w:rFonts w:hint="eastAsia" w:ascii="宋体" w:hAnsi="宋体" w:cs="Microsoft Sans Serif"/>
          <w:kern w:val="0"/>
          <w:szCs w:val="21"/>
          <w:u w:val="single"/>
        </w:rPr>
        <w:t>200</w:t>
      </w:r>
      <w:r>
        <w:rPr>
          <w:rFonts w:hint="eastAsia" w:ascii="宋体" w:hAnsi="宋体" w:cs="Microsoft Sans Serif"/>
          <w:kern w:val="0"/>
          <w:szCs w:val="21"/>
        </w:rPr>
        <w:t>万。</w:t>
      </w:r>
    </w:p>
    <w:p w14:paraId="4EF2FCED">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2）主要技术负责人违约承担方式和计算方法：对于第16.2.1项（12）目的六种情形，每发现一次，根据具体情节，按</w:t>
      </w:r>
      <w:r>
        <w:rPr>
          <w:rFonts w:hint="eastAsia" w:ascii="宋体" w:hAnsi="宋体" w:cs="Microsoft Sans Serif"/>
          <w:kern w:val="0"/>
          <w:szCs w:val="21"/>
          <w:u w:val="single"/>
        </w:rPr>
        <w:t>1000～30000元/天·次</w:t>
      </w:r>
      <w:r>
        <w:rPr>
          <w:rFonts w:hint="eastAsia" w:ascii="宋体" w:hAnsi="宋体" w:cs="Microsoft Sans Serif"/>
          <w:kern w:val="0"/>
          <w:szCs w:val="21"/>
        </w:rPr>
        <w:t>计算违约金；擅自更换主要技术负责人的，按签约合同价的</w:t>
      </w:r>
      <w:r>
        <w:rPr>
          <w:rFonts w:hint="eastAsia" w:ascii="宋体" w:hAnsi="宋体" w:cs="Microsoft Sans Serif"/>
          <w:kern w:val="0"/>
          <w:szCs w:val="21"/>
          <w:u w:val="single"/>
        </w:rPr>
        <w:t>（0.5～2）%/人·次</w:t>
      </w:r>
      <w:r>
        <w:rPr>
          <w:rFonts w:hint="eastAsia" w:ascii="宋体" w:hAnsi="宋体" w:cs="Microsoft Sans Serif"/>
          <w:kern w:val="0"/>
          <w:szCs w:val="21"/>
        </w:rPr>
        <w:t>支付违约金，每次不低于</w:t>
      </w:r>
      <w:r>
        <w:rPr>
          <w:rFonts w:hint="eastAsia" w:ascii="宋体" w:hAnsi="宋体" w:cs="Microsoft Sans Serif"/>
          <w:kern w:val="0"/>
          <w:szCs w:val="21"/>
          <w:u w:val="single"/>
        </w:rPr>
        <w:t>10万</w:t>
      </w:r>
      <w:r>
        <w:rPr>
          <w:rFonts w:hint="eastAsia" w:ascii="宋体" w:hAnsi="宋体" w:cs="Microsoft Sans Serif"/>
          <w:kern w:val="0"/>
          <w:szCs w:val="21"/>
        </w:rPr>
        <w:t>，累计不超过</w:t>
      </w:r>
      <w:r>
        <w:rPr>
          <w:rFonts w:hint="eastAsia" w:ascii="宋体" w:hAnsi="宋体" w:cs="Microsoft Sans Serif"/>
          <w:kern w:val="0"/>
          <w:szCs w:val="21"/>
          <w:u w:val="single"/>
        </w:rPr>
        <w:t>100万</w:t>
      </w:r>
      <w:r>
        <w:rPr>
          <w:rFonts w:hint="eastAsia" w:ascii="宋体" w:hAnsi="宋体" w:cs="Microsoft Sans Serif"/>
          <w:kern w:val="0"/>
          <w:szCs w:val="21"/>
        </w:rPr>
        <w:t>。</w:t>
      </w:r>
    </w:p>
    <w:p w14:paraId="6AE9940B">
      <w:pPr>
        <w:snapToGrid w:val="0"/>
        <w:spacing w:line="360" w:lineRule="auto"/>
        <w:ind w:firstLine="420" w:firstLineChars="200"/>
        <w:jc w:val="left"/>
        <w:rPr>
          <w:rFonts w:ascii="宋体" w:hAnsi="宋体"/>
          <w:szCs w:val="21"/>
        </w:rPr>
      </w:pPr>
      <w:r>
        <w:rPr>
          <w:rFonts w:hint="eastAsia" w:ascii="宋体" w:hAnsi="宋体" w:cs="Microsoft Sans Serif"/>
          <w:kern w:val="0"/>
          <w:szCs w:val="21"/>
        </w:rPr>
        <w:t>3）主要施工管理人员违约承担方式和计算方法：对于第16.2.1项（13）目的五种情形，每发现一次，根据具体情节，按</w:t>
      </w:r>
      <w:r>
        <w:rPr>
          <w:rFonts w:hint="eastAsia" w:ascii="宋体" w:hAnsi="宋体" w:cs="Microsoft Sans Serif"/>
          <w:kern w:val="0"/>
          <w:szCs w:val="21"/>
          <w:u w:val="single"/>
        </w:rPr>
        <w:t>500～10000元/天·次</w:t>
      </w:r>
      <w:r>
        <w:rPr>
          <w:rFonts w:hint="eastAsia" w:ascii="宋体" w:hAnsi="宋体" w:cs="Microsoft Sans Serif"/>
          <w:kern w:val="0"/>
          <w:szCs w:val="21"/>
        </w:rPr>
        <w:t>计算违约金。</w:t>
      </w:r>
    </w:p>
    <w:p w14:paraId="13EDE982">
      <w:pPr>
        <w:snapToGrid w:val="0"/>
        <w:spacing w:line="360" w:lineRule="auto"/>
        <w:ind w:firstLine="420" w:firstLineChars="200"/>
        <w:jc w:val="left"/>
        <w:rPr>
          <w:rFonts w:ascii="宋体" w:hAnsi="宋体" w:cs="Microsoft Sans Serif"/>
          <w:color w:val="FF0000"/>
          <w:kern w:val="0"/>
          <w:szCs w:val="21"/>
        </w:rPr>
      </w:pPr>
      <w:r>
        <w:rPr>
          <w:rFonts w:hint="eastAsia" w:ascii="宋体" w:hAnsi="宋体" w:cs="Microsoft Sans Serif"/>
          <w:kern w:val="0"/>
          <w:szCs w:val="21"/>
        </w:rPr>
        <w:t>（18）</w:t>
      </w:r>
      <w:r>
        <w:rPr>
          <w:rFonts w:ascii="宋体" w:hAnsi="宋体"/>
          <w:color w:val="FF0000"/>
          <w:szCs w:val="32"/>
        </w:rPr>
        <w:t>严禁私自接收外来渣土。若经发现违者罚款10万元每车每次。累计3次业主有权解除合同并追究相关责任。</w:t>
      </w:r>
      <w:bookmarkStart w:id="1701" w:name="_Hlk524380347"/>
    </w:p>
    <w:p w14:paraId="6BDD3739">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w:t>
      </w:r>
      <w:r>
        <w:rPr>
          <w:rFonts w:hint="eastAsia" w:ascii="宋体" w:hAnsi="宋体" w:cs="Microsoft Sans Serif"/>
          <w:kern w:val="0"/>
          <w:szCs w:val="21"/>
        </w:rPr>
        <w:t>16.2.2项第（1）目承担违约责任</w:t>
      </w:r>
      <w:r>
        <w:rPr>
          <w:rFonts w:hint="eastAsia" w:ascii="宋体" w:hAnsi="宋体" w:cs="Microsoft Sans Serif"/>
          <w:szCs w:val="21"/>
        </w:rPr>
        <w:t>，并从应付或到期应付给承包人的任何款项中或采用其他方法，扣除该违约金。</w:t>
      </w:r>
    </w:p>
    <w:p w14:paraId="570AF34F">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承包人必须及时纠正违约行为并采取积极措施，满足合同要求，自行承担与纠正违约行为有关的人身伤亡、罚款、索赔、损失补偿、诉讼费用及其他一切责任，工期不予顺延</w:t>
      </w:r>
      <w:r>
        <w:rPr>
          <w:rFonts w:hint="eastAsia" w:ascii="宋体" w:hAnsi="宋体" w:cs="Microsoft Sans Serif"/>
          <w:kern w:val="0"/>
          <w:szCs w:val="21"/>
        </w:rPr>
        <w:t>，承担由此给</w:t>
      </w:r>
      <w:r>
        <w:rPr>
          <w:rFonts w:hint="eastAsia" w:ascii="宋体" w:hAnsi="宋体" w:cs="Microsoft Sans Serif"/>
          <w:szCs w:val="21"/>
        </w:rPr>
        <w:t>发包人造成的经济损失。</w:t>
      </w:r>
    </w:p>
    <w:p w14:paraId="07DC35B7">
      <w:pPr>
        <w:snapToGrid w:val="0"/>
        <w:spacing w:line="360" w:lineRule="auto"/>
        <w:ind w:firstLine="420" w:firstLineChars="200"/>
        <w:jc w:val="left"/>
        <w:rPr>
          <w:rFonts w:ascii="宋体" w:hAnsi="宋体" w:cs="Microsoft Sans Serif"/>
          <w:kern w:val="0"/>
          <w:szCs w:val="21"/>
        </w:rPr>
      </w:pPr>
      <w:r>
        <w:rPr>
          <w:rFonts w:hint="eastAsia" w:ascii="宋体" w:hAnsi="宋体" w:cs="Microsoft Sans Serif"/>
          <w:szCs w:val="21"/>
        </w:rPr>
        <w:t>承包人承担承包范围的工程质量、安全、环保责任，因承包人原因引起的质量、安全、环保等事故由承包人承担相应的法律后果。</w:t>
      </w:r>
    </w:p>
    <w:bookmarkEnd w:id="1701"/>
    <w:p w14:paraId="4E913FF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16.2.3 因承包人违约解除合同</w:t>
      </w:r>
    </w:p>
    <w:p w14:paraId="3CCAAED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因承包人违约并致使合同目的不能实现的，发包人有权解除合同：</w:t>
      </w:r>
    </w:p>
    <w:p w14:paraId="3D69EA04">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（1）未按合同约定延迟提供履约担保、质量保证金超过14天的；</w:t>
      </w:r>
    </w:p>
    <w:p w14:paraId="79B56F4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（2）未按合同约定购买保险且经催告后超过56天的；</w:t>
      </w:r>
    </w:p>
    <w:p w14:paraId="4104B3DC">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（3）因承包人原因导致开工时间累计延误超过56天的；</w:t>
      </w:r>
    </w:p>
    <w:p w14:paraId="3EDE47B5">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（4）因承包人原因导致工期延误超过90天的；</w:t>
      </w:r>
    </w:p>
    <w:p w14:paraId="0B346F8D">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（5）发生第21.2款〔退出机制〕约定的情形的；</w:t>
      </w:r>
    </w:p>
    <w:p w14:paraId="5368E18B">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（6）监理人发出整改通知后，承包人在监理人限定的期限内仍不纠正违约行为的；</w:t>
      </w:r>
    </w:p>
    <w:p w14:paraId="3507743D">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（7）承包人进入清算或者严重资不抵债且无法履行合同的；</w:t>
      </w:r>
    </w:p>
    <w:p w14:paraId="6626CDDF">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（8）违反适用法律而被相关政府部门依法吊销营业执照、责令停业、清算或宣布破产、责令关闭的；</w:t>
      </w:r>
    </w:p>
    <w:p w14:paraId="6456D493">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（9）承包人未履行合同项下的义务构成对合同的实质性违约，并且在收到发包人要求说明其违约并予以补救的通知后56天内仍未能补救该实质性违约的；</w:t>
      </w:r>
    </w:p>
    <w:p w14:paraId="31CB89F3">
      <w:pPr>
        <w:pStyle w:val="107"/>
        <w:spacing w:line="360" w:lineRule="auto"/>
        <w:jc w:val="left"/>
        <w:rPr>
          <w:rFonts w:ascii="宋体" w:hAnsi="宋体" w:cs="Microsoft Sans Serif"/>
          <w:kern w:val="0"/>
          <w:sz w:val="21"/>
          <w:szCs w:val="21"/>
        </w:rPr>
      </w:pPr>
      <w:r>
        <w:rPr>
          <w:rFonts w:hint="eastAsia" w:ascii="宋体" w:hAnsi="宋体" w:cs="Microsoft Sans Serif"/>
          <w:kern w:val="0"/>
          <w:sz w:val="21"/>
          <w:szCs w:val="21"/>
        </w:rPr>
        <w:t>（10）严禁私自接收外来渣土。若经发现违者罚款10万元每车每次。累计3次业主有权解除合同并追究相关责任。</w:t>
      </w:r>
    </w:p>
    <w:p w14:paraId="76B7B42E">
      <w:pPr>
        <w:pStyle w:val="107"/>
        <w:spacing w:line="360" w:lineRule="auto"/>
        <w:jc w:val="left"/>
        <w:rPr>
          <w:rFonts w:ascii="宋体" w:hAnsi="宋体" w:cs="Microsoft Sans Serif"/>
          <w:kern w:val="0"/>
          <w:sz w:val="21"/>
          <w:szCs w:val="21"/>
        </w:rPr>
      </w:pPr>
      <w:r>
        <w:rPr>
          <w:rFonts w:ascii="宋体" w:hAnsi="宋体" w:cs="Microsoft Sans Serif"/>
          <w:kern w:val="0"/>
          <w:sz w:val="21"/>
          <w:szCs w:val="21"/>
        </w:rPr>
        <w:t>（</w:t>
      </w:r>
      <w:r>
        <w:rPr>
          <w:rFonts w:hint="eastAsia" w:ascii="宋体" w:hAnsi="宋体" w:cs="Microsoft Sans Serif"/>
          <w:kern w:val="0"/>
          <w:sz w:val="21"/>
          <w:szCs w:val="21"/>
        </w:rPr>
        <w:t>11</w:t>
      </w:r>
      <w:r>
        <w:rPr>
          <w:rFonts w:ascii="宋体" w:hAnsi="宋体" w:cs="Microsoft Sans Serif"/>
          <w:kern w:val="0"/>
          <w:sz w:val="21"/>
          <w:szCs w:val="21"/>
        </w:rPr>
        <w:t>）</w:t>
      </w:r>
      <w:r>
        <w:rPr>
          <w:rFonts w:hint="eastAsia" w:ascii="宋体" w:hAnsi="宋体" w:cs="Microsoft Sans Serif"/>
          <w:kern w:val="0"/>
          <w:sz w:val="21"/>
          <w:szCs w:val="21"/>
          <w:u w:val="single"/>
        </w:rPr>
        <w:t>合同约定的发包人有权解除合同的其他情形</w:t>
      </w:r>
      <w:r>
        <w:rPr>
          <w:rFonts w:hint="eastAsia" w:ascii="宋体" w:hAnsi="宋体" w:cs="Microsoft Sans Serif"/>
          <w:kern w:val="0"/>
          <w:sz w:val="21"/>
          <w:szCs w:val="21"/>
        </w:rPr>
        <w:t>。</w:t>
      </w:r>
    </w:p>
    <w:p w14:paraId="0358553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16.2.4因承包人违约解除合同后的处理</w:t>
      </w:r>
    </w:p>
    <w:p w14:paraId="2B5BE04B">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因承包人违约导致合同解除的，合同当事人应在合同解除后56天内完成估价、付款和清算，并按以下约定执行：</w:t>
      </w:r>
    </w:p>
    <w:p w14:paraId="6403E439">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（1）合同解除后，按第14.2款结算审定方式确定承包人实际完成工作对应的合同价款，以及承包人已提供的材料、工程设备、施工设备和临时工程等的价值；</w:t>
      </w:r>
    </w:p>
    <w:p w14:paraId="73918E08">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（2）合同解除后，承包人应支付违约金；</w:t>
      </w:r>
    </w:p>
    <w:p w14:paraId="24B0FAB8">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（3）合同解除后，赔偿因解除合同给发包人造成的损失；</w:t>
      </w:r>
    </w:p>
    <w:p w14:paraId="09544A47">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（4）合同解除后，承包人应按照发包人要求和监理人的指示完成现场的清理和撤离。</w:t>
      </w:r>
    </w:p>
    <w:p w14:paraId="0BF37E38">
      <w:pPr>
        <w:spacing w:line="360" w:lineRule="auto"/>
        <w:ind w:firstLine="420" w:firstLineChars="200"/>
        <w:jc w:val="left"/>
        <w:rPr>
          <w:rFonts w:ascii="宋体" w:hAnsi="宋体"/>
          <w:szCs w:val="21"/>
        </w:rPr>
      </w:pPr>
      <w:r>
        <w:rPr>
          <w:rFonts w:hint="eastAsia" w:ascii="宋体" w:hAnsi="宋体" w:cs="Microsoft Sans Serif"/>
          <w:kern w:val="0"/>
          <w:szCs w:val="21"/>
        </w:rPr>
        <w:t>（5）</w:t>
      </w:r>
      <w:r>
        <w:rPr>
          <w:rFonts w:hint="eastAsia" w:ascii="宋体" w:hAnsi="宋体" w:cs="Microsoft Sans Serif"/>
          <w:kern w:val="0"/>
          <w:szCs w:val="21"/>
          <w:u w:val="single"/>
        </w:rPr>
        <w:t xml:space="preserve">        </w:t>
      </w:r>
      <w:r>
        <w:rPr>
          <w:rFonts w:hint="eastAsia" w:ascii="宋体" w:hAnsi="宋体" w:cs="Microsoft Sans Serif"/>
          <w:kern w:val="0"/>
          <w:szCs w:val="21"/>
        </w:rPr>
        <w:t>。</w:t>
      </w:r>
    </w:p>
    <w:p w14:paraId="02832552">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因承包人违约导致解除合同的，发包人有权暂停对承包人的付款，查清各项付款和已扣款项。发包人和承包人未能就合同解除后的清算和款项支付达成一致的，按照第20条〔争议解决〕的约定处理。</w:t>
      </w:r>
    </w:p>
    <w:p w14:paraId="341EE280">
      <w:pPr>
        <w:spacing w:line="360" w:lineRule="auto"/>
        <w:ind w:firstLine="420" w:firstLineChars="200"/>
        <w:jc w:val="left"/>
        <w:rPr>
          <w:rFonts w:ascii="宋体" w:hAnsi="宋体" w:cs="Microsoft Sans Serif"/>
          <w:kern w:val="0"/>
          <w:szCs w:val="21"/>
        </w:rPr>
      </w:pPr>
      <w:r>
        <w:rPr>
          <w:rFonts w:hint="eastAsia" w:ascii="宋体" w:hAnsi="宋体" w:cs="Microsoft Sans Serif"/>
          <w:kern w:val="0"/>
          <w:szCs w:val="21"/>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688"/>
    <w:bookmarkEnd w:id="1689"/>
    <w:p w14:paraId="24B36A80">
      <w:pPr>
        <w:pStyle w:val="6"/>
        <w:keepNext/>
        <w:keepLines/>
        <w:spacing w:before="156" w:beforeLines="50" w:beforeAutospacing="0" w:after="156" w:afterLines="50" w:afterAutospacing="0" w:line="360" w:lineRule="auto"/>
        <w:jc w:val="both"/>
        <w:rPr>
          <w:bCs w:val="0"/>
          <w:kern w:val="2"/>
          <w:sz w:val="21"/>
          <w:szCs w:val="21"/>
        </w:rPr>
      </w:pPr>
      <w:bookmarkStart w:id="1702" w:name="_Toc532375665"/>
      <w:bookmarkStart w:id="1703" w:name="_Toc351203649"/>
      <w:bookmarkStart w:id="1704" w:name="_Toc532377404"/>
      <w:bookmarkStart w:id="1705" w:name="_Hlk528928440"/>
      <w:r>
        <w:rPr>
          <w:rFonts w:hint="eastAsia"/>
          <w:kern w:val="2"/>
          <w:sz w:val="21"/>
          <w:szCs w:val="21"/>
        </w:rPr>
        <w:t>17. 不可抗力</w:t>
      </w:r>
      <w:bookmarkEnd w:id="1702"/>
      <w:bookmarkEnd w:id="1703"/>
      <w:bookmarkEnd w:id="1704"/>
    </w:p>
    <w:p w14:paraId="0D766DCB">
      <w:pPr>
        <w:pStyle w:val="7"/>
        <w:spacing w:before="0" w:beforeAutospacing="0" w:after="0" w:afterAutospacing="0" w:line="360" w:lineRule="auto"/>
        <w:ind w:firstLine="422" w:firstLineChars="200"/>
        <w:rPr>
          <w:sz w:val="21"/>
          <w:szCs w:val="21"/>
        </w:rPr>
      </w:pPr>
      <w:bookmarkStart w:id="1706" w:name="_Toc532377405"/>
      <w:bookmarkStart w:id="1707" w:name="_Toc532375666"/>
      <w:r>
        <w:rPr>
          <w:rFonts w:hint="eastAsia"/>
          <w:sz w:val="21"/>
          <w:szCs w:val="21"/>
        </w:rPr>
        <w:t>17.1 不可抗力的确认</w:t>
      </w:r>
      <w:bookmarkEnd w:id="1706"/>
      <w:bookmarkEnd w:id="1707"/>
    </w:p>
    <w:p w14:paraId="282691AF">
      <w:pPr>
        <w:spacing w:line="360" w:lineRule="auto"/>
        <w:ind w:right="105" w:rightChars="50" w:firstLine="420" w:firstLineChars="200"/>
        <w:jc w:val="left"/>
        <w:rPr>
          <w:rFonts w:ascii="宋体" w:hAnsi="宋体"/>
          <w:szCs w:val="21"/>
        </w:rPr>
      </w:pPr>
      <w:r>
        <w:rPr>
          <w:rFonts w:hint="eastAsia" w:ascii="宋体" w:hAnsi="宋体"/>
          <w:szCs w:val="21"/>
        </w:rPr>
        <w:t>除通用合同条款约定的不可抗力事件之外，视为不可抗力的其他情形：</w:t>
      </w:r>
      <w:bookmarkStart w:id="1708" w:name="_Hlk524379638"/>
    </w:p>
    <w:p w14:paraId="65C5BAFC">
      <w:pPr>
        <w:spacing w:line="360" w:lineRule="auto"/>
        <w:ind w:right="105" w:rightChars="50" w:firstLine="420" w:firstLineChars="200"/>
        <w:jc w:val="left"/>
        <w:rPr>
          <w:rFonts w:ascii="宋体" w:hAnsi="宋体"/>
          <w:szCs w:val="21"/>
        </w:rPr>
      </w:pPr>
      <w:r>
        <w:rPr>
          <w:rFonts w:hint="eastAsia" w:ascii="宋体" w:hAnsi="宋体"/>
          <w:szCs w:val="21"/>
        </w:rPr>
        <w:t>（1）洪水、火山爆发、山崩、山体滑坡、泥石流、龙卷风、隧道内不可预测的突发性地质灾害等自然灾害；</w:t>
      </w:r>
    </w:p>
    <w:p w14:paraId="3F0ECC2F">
      <w:pPr>
        <w:spacing w:line="360" w:lineRule="auto"/>
        <w:ind w:right="105" w:rightChars="50" w:firstLine="420" w:firstLineChars="200"/>
        <w:jc w:val="left"/>
        <w:rPr>
          <w:rFonts w:ascii="宋体" w:hAnsi="宋体"/>
          <w:szCs w:val="21"/>
        </w:rPr>
      </w:pPr>
      <w:r>
        <w:rPr>
          <w:rFonts w:hint="eastAsia" w:ascii="宋体" w:hAnsi="宋体"/>
          <w:szCs w:val="21"/>
        </w:rPr>
        <w:t>（2）骚乱、戒严、封锁、禁运、恐怖行为、等社会行为，但承包人或其分包人派遣与雇佣的人员由于合同工程施工原因引起的除外；</w:t>
      </w:r>
    </w:p>
    <w:p w14:paraId="2AD04391">
      <w:pPr>
        <w:spacing w:line="360" w:lineRule="auto"/>
        <w:ind w:right="105" w:rightChars="50" w:firstLine="420" w:firstLineChars="200"/>
        <w:jc w:val="left"/>
        <w:rPr>
          <w:rFonts w:ascii="宋体" w:hAnsi="宋体"/>
          <w:szCs w:val="21"/>
        </w:rPr>
      </w:pPr>
      <w:r>
        <w:rPr>
          <w:rFonts w:hint="eastAsia" w:ascii="宋体" w:hAnsi="宋体"/>
          <w:szCs w:val="21"/>
        </w:rPr>
        <w:t>（3）不能合理预见的重大交通阻滞、停运、交通事故，非双方责任引起的火灾、爆炸、船舶撞击等情形；</w:t>
      </w:r>
    </w:p>
    <w:p w14:paraId="20725C61">
      <w:pPr>
        <w:spacing w:line="360" w:lineRule="auto"/>
        <w:ind w:right="105" w:rightChars="50" w:firstLine="420" w:firstLineChars="200"/>
        <w:jc w:val="left"/>
        <w:rPr>
          <w:rFonts w:ascii="宋体" w:hAnsi="宋体"/>
          <w:szCs w:val="21"/>
        </w:rPr>
      </w:pPr>
      <w:r>
        <w:rPr>
          <w:rFonts w:hint="eastAsia" w:ascii="宋体" w:hAnsi="宋体"/>
          <w:szCs w:val="21"/>
        </w:rPr>
        <w:t>（4）化学或放射性污染或核辐射；</w:t>
      </w:r>
    </w:p>
    <w:p w14:paraId="18099F2E">
      <w:pPr>
        <w:spacing w:line="360" w:lineRule="auto"/>
        <w:ind w:right="105" w:rightChars="50" w:firstLine="420" w:firstLineChars="200"/>
        <w:jc w:val="left"/>
        <w:rPr>
          <w:rFonts w:ascii="宋体" w:hAnsi="宋体"/>
          <w:szCs w:val="21"/>
        </w:rPr>
      </w:pPr>
      <w:r>
        <w:rPr>
          <w:rFonts w:hint="eastAsia" w:ascii="宋体" w:hAnsi="宋体"/>
          <w:szCs w:val="21"/>
        </w:rPr>
        <w:t>（5）环保治理等政府行为导致项目停工的。</w:t>
      </w:r>
      <w:bookmarkEnd w:id="1708"/>
    </w:p>
    <w:p w14:paraId="73BBC344">
      <w:pPr>
        <w:spacing w:line="360" w:lineRule="auto"/>
        <w:ind w:right="105" w:rightChars="50" w:firstLine="420" w:firstLineChars="200"/>
        <w:jc w:val="left"/>
        <w:rPr>
          <w:rFonts w:ascii="宋体" w:hAnsi="宋体"/>
          <w:szCs w:val="21"/>
        </w:rPr>
      </w:pPr>
      <w:r>
        <w:rPr>
          <w:rFonts w:hint="eastAsia" w:ascii="宋体" w:hAnsi="宋体"/>
          <w:szCs w:val="21"/>
        </w:rPr>
        <w:t>（6）</w:t>
      </w:r>
      <w:r>
        <w:rPr>
          <w:rFonts w:hint="eastAsia" w:ascii="宋体" w:hAnsi="宋体"/>
          <w:szCs w:val="21"/>
          <w:u w:val="single"/>
        </w:rPr>
        <w:t xml:space="preserve">        </w:t>
      </w:r>
      <w:r>
        <w:rPr>
          <w:rFonts w:hint="eastAsia" w:ascii="宋体" w:hAnsi="宋体"/>
          <w:szCs w:val="21"/>
        </w:rPr>
        <w:t>。</w:t>
      </w:r>
    </w:p>
    <w:p w14:paraId="22D41330">
      <w:pPr>
        <w:pStyle w:val="7"/>
        <w:spacing w:before="0" w:beforeAutospacing="0" w:after="0" w:afterAutospacing="0" w:line="360" w:lineRule="auto"/>
        <w:ind w:firstLine="422" w:firstLineChars="200"/>
        <w:rPr>
          <w:sz w:val="21"/>
          <w:szCs w:val="21"/>
        </w:rPr>
      </w:pPr>
      <w:bookmarkStart w:id="1709" w:name="_Toc532375667"/>
      <w:bookmarkStart w:id="1710" w:name="_Toc532377406"/>
      <w:bookmarkStart w:id="1711" w:name="_Toc351203610"/>
      <w:bookmarkStart w:id="1712" w:name="_Toc296346620"/>
      <w:bookmarkStart w:id="1713" w:name="_Toc296503119"/>
      <w:bookmarkStart w:id="1714" w:name="_Toc337558826"/>
      <w:r>
        <w:rPr>
          <w:rFonts w:hint="eastAsia"/>
          <w:sz w:val="21"/>
          <w:szCs w:val="21"/>
        </w:rPr>
        <w:t>17.3 不可抗力后果的承担</w:t>
      </w:r>
      <w:bookmarkEnd w:id="1709"/>
      <w:bookmarkEnd w:id="1710"/>
      <w:bookmarkEnd w:id="1711"/>
    </w:p>
    <w:bookmarkEnd w:id="1712"/>
    <w:bookmarkEnd w:id="1713"/>
    <w:bookmarkEnd w:id="1714"/>
    <w:p w14:paraId="40AD3AB9">
      <w:pPr>
        <w:spacing w:line="360" w:lineRule="auto"/>
        <w:ind w:right="105" w:rightChars="50" w:firstLine="420" w:firstLineChars="200"/>
        <w:jc w:val="left"/>
        <w:rPr>
          <w:rFonts w:ascii="宋体" w:hAnsi="宋体"/>
          <w:szCs w:val="21"/>
        </w:rPr>
      </w:pPr>
      <w:r>
        <w:rPr>
          <w:rFonts w:hint="eastAsia" w:ascii="宋体" w:hAnsi="宋体"/>
          <w:szCs w:val="21"/>
        </w:rPr>
        <w:t>17.3.1 不可抗力引起的后果及造成的损失由合同当事人按照法律规定及合同约定各自承担。不可抗力发生前已完成的工程应当按照合同约定进行计量支付。</w:t>
      </w:r>
    </w:p>
    <w:p w14:paraId="6B37E24E">
      <w:pPr>
        <w:spacing w:line="360" w:lineRule="auto"/>
        <w:ind w:right="105" w:rightChars="50" w:firstLine="420" w:firstLineChars="200"/>
        <w:jc w:val="left"/>
        <w:rPr>
          <w:rFonts w:ascii="宋体" w:hAnsi="宋体"/>
          <w:szCs w:val="21"/>
        </w:rPr>
      </w:pPr>
      <w:r>
        <w:rPr>
          <w:rFonts w:hint="eastAsia" w:ascii="宋体" w:hAnsi="宋体"/>
          <w:szCs w:val="21"/>
        </w:rPr>
        <w:t>17.3.2 不可抗力导致的人员伤亡、财产损失、费用增加和（或）工期延误等后果，由合同当事人按以下原则承担：</w:t>
      </w:r>
    </w:p>
    <w:p w14:paraId="69A9B364">
      <w:pPr>
        <w:spacing w:line="360" w:lineRule="auto"/>
        <w:ind w:right="105" w:rightChars="50" w:firstLine="420" w:firstLineChars="200"/>
        <w:jc w:val="left"/>
        <w:rPr>
          <w:rFonts w:ascii="宋体" w:hAnsi="宋体"/>
          <w:szCs w:val="21"/>
        </w:rPr>
      </w:pPr>
      <w:r>
        <w:rPr>
          <w:rFonts w:hint="eastAsia" w:ascii="宋体" w:hAnsi="宋体"/>
          <w:szCs w:val="21"/>
        </w:rPr>
        <w:t>（1）永久工程、已运至施工现场的施工材料和工程设备的损坏，以及因工程损坏造成的第三方人员伤亡和财产损失由发包人承担；</w:t>
      </w:r>
    </w:p>
    <w:p w14:paraId="6BFA444C">
      <w:pPr>
        <w:spacing w:line="360" w:lineRule="auto"/>
        <w:ind w:right="105" w:rightChars="50" w:firstLine="420" w:firstLineChars="200"/>
        <w:jc w:val="left"/>
        <w:rPr>
          <w:rFonts w:ascii="宋体" w:hAnsi="宋体"/>
          <w:szCs w:val="21"/>
        </w:rPr>
      </w:pPr>
      <w:r>
        <w:rPr>
          <w:rFonts w:hint="eastAsia" w:ascii="宋体" w:hAnsi="宋体"/>
          <w:szCs w:val="21"/>
        </w:rPr>
        <w:t>（2）承包人施工设备的损坏由承包人承担；</w:t>
      </w:r>
    </w:p>
    <w:p w14:paraId="0FEC9044">
      <w:pPr>
        <w:spacing w:line="360" w:lineRule="auto"/>
        <w:ind w:right="105" w:rightChars="50" w:firstLine="420" w:firstLineChars="200"/>
        <w:jc w:val="left"/>
        <w:rPr>
          <w:rFonts w:ascii="宋体" w:hAnsi="宋体"/>
          <w:szCs w:val="21"/>
        </w:rPr>
      </w:pPr>
      <w:r>
        <w:rPr>
          <w:rFonts w:hint="eastAsia" w:ascii="宋体" w:hAnsi="宋体"/>
          <w:szCs w:val="21"/>
        </w:rPr>
        <w:t>（3）发包人和承包人承担各自人员伤亡和财产的损失；</w:t>
      </w:r>
    </w:p>
    <w:p w14:paraId="7BE678F3">
      <w:pPr>
        <w:spacing w:line="360" w:lineRule="auto"/>
        <w:ind w:right="105" w:rightChars="50" w:firstLine="420" w:firstLineChars="200"/>
        <w:jc w:val="left"/>
        <w:rPr>
          <w:rFonts w:ascii="宋体" w:hAnsi="宋体"/>
          <w:szCs w:val="21"/>
        </w:rPr>
      </w:pPr>
      <w:r>
        <w:rPr>
          <w:rFonts w:hint="eastAsia" w:ascii="宋体" w:hAnsi="宋体"/>
          <w:szCs w:val="21"/>
        </w:rPr>
        <w:t>（4）因不可抗力影响承包人履行合同约定的义务，已经引起或将引起工期延误的，应当顺延工期，由此导致承包人停工的费用损失由发包人和承包人合理共担；</w:t>
      </w:r>
    </w:p>
    <w:p w14:paraId="7942CB2F">
      <w:pPr>
        <w:spacing w:line="360" w:lineRule="auto"/>
        <w:ind w:right="105" w:rightChars="50" w:firstLine="420" w:firstLineChars="200"/>
        <w:jc w:val="left"/>
        <w:rPr>
          <w:rFonts w:ascii="宋体" w:hAnsi="宋体"/>
          <w:szCs w:val="21"/>
        </w:rPr>
      </w:pPr>
      <w:r>
        <w:rPr>
          <w:rFonts w:hint="eastAsia" w:ascii="宋体" w:hAnsi="宋体"/>
          <w:szCs w:val="21"/>
        </w:rPr>
        <w:t>（5）因不可抗力引起或将引起工期延误，发包人要求赶工的，由此增加的赶工费用由发包人承担；</w:t>
      </w:r>
    </w:p>
    <w:p w14:paraId="6E48E669">
      <w:pPr>
        <w:spacing w:line="360" w:lineRule="auto"/>
        <w:ind w:right="105" w:rightChars="50" w:firstLine="420" w:firstLineChars="200"/>
        <w:jc w:val="left"/>
        <w:rPr>
          <w:rFonts w:ascii="宋体" w:hAnsi="宋体"/>
          <w:szCs w:val="21"/>
        </w:rPr>
      </w:pPr>
      <w:r>
        <w:rPr>
          <w:rFonts w:hint="eastAsia" w:ascii="宋体" w:hAnsi="宋体"/>
          <w:szCs w:val="21"/>
        </w:rPr>
        <w:t>（6）承包人在停工期间按照发包人要求照管、清理和修复工程的费用由发包人承担；</w:t>
      </w:r>
    </w:p>
    <w:p w14:paraId="313C9A56">
      <w:pPr>
        <w:spacing w:line="360" w:lineRule="auto"/>
        <w:ind w:right="105" w:rightChars="50" w:firstLine="420" w:firstLineChars="200"/>
        <w:jc w:val="left"/>
        <w:rPr>
          <w:rFonts w:ascii="宋体" w:hAnsi="宋体"/>
          <w:szCs w:val="21"/>
        </w:rPr>
      </w:pPr>
      <w:r>
        <w:rPr>
          <w:rFonts w:hint="eastAsia" w:ascii="宋体" w:hAnsi="宋体"/>
          <w:szCs w:val="21"/>
        </w:rPr>
        <w:t>（7）不可抗力事件发生后，合同当事人均应采取措施尽量避免和减少损失的扩大，任何一方当事人没有采取有效措施导致损失扩大的，应对扩大的损失承担责任。</w:t>
      </w:r>
    </w:p>
    <w:p w14:paraId="20274D74">
      <w:pPr>
        <w:spacing w:line="360" w:lineRule="auto"/>
        <w:ind w:right="105" w:rightChars="50" w:firstLine="420" w:firstLineChars="200"/>
        <w:jc w:val="left"/>
        <w:rPr>
          <w:rFonts w:ascii="宋体" w:hAnsi="宋体"/>
          <w:szCs w:val="21"/>
        </w:rPr>
      </w:pPr>
      <w:r>
        <w:rPr>
          <w:rFonts w:hint="eastAsia" w:ascii="宋体" w:hAnsi="宋体"/>
          <w:szCs w:val="21"/>
        </w:rPr>
        <w:t>（8）</w:t>
      </w:r>
      <w:r>
        <w:rPr>
          <w:rFonts w:hint="eastAsia" w:ascii="宋体" w:hAnsi="宋体"/>
          <w:szCs w:val="21"/>
          <w:u w:val="single"/>
        </w:rPr>
        <w:t xml:space="preserve">        </w:t>
      </w:r>
      <w:r>
        <w:rPr>
          <w:rFonts w:hint="eastAsia" w:ascii="宋体" w:hAnsi="宋体"/>
          <w:szCs w:val="21"/>
        </w:rPr>
        <w:t>。</w:t>
      </w:r>
    </w:p>
    <w:p w14:paraId="0005DA89">
      <w:pPr>
        <w:pStyle w:val="7"/>
        <w:spacing w:before="0" w:beforeAutospacing="0" w:after="0" w:afterAutospacing="0" w:line="360" w:lineRule="auto"/>
        <w:ind w:firstLine="422" w:firstLineChars="200"/>
        <w:rPr>
          <w:sz w:val="21"/>
          <w:szCs w:val="21"/>
        </w:rPr>
      </w:pPr>
      <w:bookmarkStart w:id="1715" w:name="_Toc532375668"/>
      <w:bookmarkStart w:id="1716" w:name="_Toc532377407"/>
      <w:r>
        <w:rPr>
          <w:rFonts w:hint="eastAsia"/>
          <w:sz w:val="21"/>
          <w:szCs w:val="21"/>
        </w:rPr>
        <w:t>17.4 因不可抗力解除合同</w:t>
      </w:r>
      <w:bookmarkEnd w:id="1715"/>
      <w:bookmarkEnd w:id="1716"/>
    </w:p>
    <w:p w14:paraId="40F0E160">
      <w:pPr>
        <w:spacing w:line="360" w:lineRule="auto"/>
        <w:ind w:right="105" w:rightChars="50" w:firstLine="420" w:firstLineChars="200"/>
        <w:jc w:val="left"/>
        <w:rPr>
          <w:rFonts w:ascii="宋体" w:hAnsi="宋体"/>
          <w:szCs w:val="21"/>
        </w:rPr>
      </w:pPr>
      <w:r>
        <w:rPr>
          <w:rFonts w:hint="eastAsia" w:ascii="宋体" w:hAnsi="宋体"/>
          <w:szCs w:val="21"/>
        </w:rPr>
        <w:t>合同解除后，发包人应在商定或确定发包人应支付款项后</w:t>
      </w:r>
      <w:r>
        <w:rPr>
          <w:rFonts w:hint="eastAsia" w:ascii="宋体" w:hAnsi="宋体"/>
          <w:szCs w:val="21"/>
          <w:u w:val="single"/>
        </w:rPr>
        <w:t>28</w:t>
      </w:r>
      <w:r>
        <w:rPr>
          <w:rFonts w:hint="eastAsia" w:ascii="宋体" w:hAnsi="宋体"/>
          <w:szCs w:val="21"/>
        </w:rPr>
        <w:t>天内完成款项的支付。</w:t>
      </w:r>
    </w:p>
    <w:p w14:paraId="51CAF9D9">
      <w:pPr>
        <w:pStyle w:val="6"/>
        <w:keepNext/>
        <w:keepLines/>
        <w:spacing w:before="156" w:beforeLines="50" w:beforeAutospacing="0" w:after="156" w:afterLines="50" w:afterAutospacing="0" w:line="360" w:lineRule="auto"/>
        <w:jc w:val="both"/>
        <w:rPr>
          <w:bCs w:val="0"/>
          <w:kern w:val="2"/>
          <w:sz w:val="21"/>
          <w:szCs w:val="21"/>
        </w:rPr>
      </w:pPr>
      <w:bookmarkStart w:id="1717" w:name="_Toc532375669"/>
      <w:bookmarkStart w:id="1718" w:name="_Toc351203650"/>
      <w:bookmarkStart w:id="1719" w:name="_Toc532377408"/>
      <w:r>
        <w:rPr>
          <w:rFonts w:hint="eastAsia"/>
          <w:kern w:val="2"/>
          <w:sz w:val="21"/>
          <w:szCs w:val="21"/>
        </w:rPr>
        <w:t>18. 保险</w:t>
      </w:r>
      <w:bookmarkEnd w:id="1717"/>
      <w:bookmarkEnd w:id="1718"/>
      <w:bookmarkEnd w:id="1719"/>
    </w:p>
    <w:p w14:paraId="036408D1">
      <w:pPr>
        <w:pStyle w:val="7"/>
        <w:spacing w:before="0" w:beforeAutospacing="0" w:after="0" w:afterAutospacing="0" w:line="360" w:lineRule="auto"/>
        <w:ind w:firstLine="422" w:firstLineChars="200"/>
        <w:rPr>
          <w:sz w:val="21"/>
          <w:szCs w:val="21"/>
        </w:rPr>
      </w:pPr>
      <w:bookmarkStart w:id="1720" w:name="_Toc532377409"/>
      <w:bookmarkStart w:id="1721" w:name="_Toc532375670"/>
      <w:r>
        <w:rPr>
          <w:rFonts w:hint="eastAsia"/>
          <w:sz w:val="21"/>
          <w:szCs w:val="21"/>
        </w:rPr>
        <w:t>18.1 工程保险</w:t>
      </w:r>
      <w:bookmarkEnd w:id="1720"/>
      <w:bookmarkEnd w:id="1721"/>
    </w:p>
    <w:p w14:paraId="24F03240">
      <w:pPr>
        <w:spacing w:line="360" w:lineRule="auto"/>
        <w:ind w:right="105" w:rightChars="50" w:firstLine="420" w:firstLineChars="200"/>
        <w:jc w:val="left"/>
        <w:rPr>
          <w:rFonts w:ascii="宋体" w:hAnsi="宋体"/>
          <w:szCs w:val="21"/>
        </w:rPr>
      </w:pPr>
      <w:r>
        <w:rPr>
          <w:rFonts w:hint="eastAsia" w:ascii="宋体" w:hAnsi="宋体"/>
          <w:szCs w:val="21"/>
        </w:rPr>
        <w:t>关于工程保险的特别约定：发包人应投保</w:t>
      </w:r>
      <w:r>
        <w:rPr>
          <w:rFonts w:hint="eastAsia" w:ascii="宋体" w:hAnsi="宋体"/>
          <w:szCs w:val="21"/>
          <w:u w:val="single"/>
        </w:rPr>
        <w:t>建筑工程一切险或安装工程一切险</w:t>
      </w:r>
      <w:r>
        <w:rPr>
          <w:rFonts w:hint="eastAsia" w:ascii="宋体" w:hAnsi="宋体"/>
          <w:szCs w:val="21"/>
        </w:rPr>
        <w:t>；发包人委托承包人投保的，因投保产生的保险费和其他相关费用由发包人承担。</w:t>
      </w:r>
    </w:p>
    <w:p w14:paraId="597ADD24">
      <w:pPr>
        <w:pStyle w:val="7"/>
        <w:spacing w:before="0" w:beforeAutospacing="0" w:after="0" w:afterAutospacing="0" w:line="360" w:lineRule="auto"/>
        <w:ind w:firstLine="422" w:firstLineChars="200"/>
        <w:rPr>
          <w:sz w:val="21"/>
          <w:szCs w:val="21"/>
        </w:rPr>
      </w:pPr>
      <w:bookmarkStart w:id="1722" w:name="_Toc532377410"/>
      <w:bookmarkStart w:id="1723" w:name="_Toc532375671"/>
      <w:r>
        <w:rPr>
          <w:rFonts w:hint="eastAsia"/>
          <w:sz w:val="21"/>
          <w:szCs w:val="21"/>
        </w:rPr>
        <w:t>18.3 其他保险</w:t>
      </w:r>
      <w:bookmarkEnd w:id="1722"/>
      <w:bookmarkEnd w:id="1723"/>
    </w:p>
    <w:p w14:paraId="68933E63">
      <w:pPr>
        <w:spacing w:line="360" w:lineRule="auto"/>
        <w:ind w:right="105" w:rightChars="50" w:firstLine="420" w:firstLineChars="200"/>
        <w:jc w:val="left"/>
        <w:rPr>
          <w:rFonts w:ascii="宋体" w:hAnsi="宋体"/>
          <w:szCs w:val="21"/>
        </w:rPr>
      </w:pPr>
      <w:r>
        <w:rPr>
          <w:rFonts w:hint="eastAsia" w:ascii="宋体" w:hAnsi="宋体"/>
          <w:szCs w:val="21"/>
        </w:rPr>
        <w:t>关于其他保险的约定：</w:t>
      </w:r>
      <w:r>
        <w:rPr>
          <w:rFonts w:hint="eastAsia" w:ascii="宋体" w:hAnsi="宋体"/>
          <w:szCs w:val="21"/>
          <w:u w:val="single"/>
        </w:rPr>
        <w:t xml:space="preserve">    /    </w:t>
      </w:r>
      <w:r>
        <w:rPr>
          <w:rFonts w:hint="eastAsia" w:ascii="宋体" w:hAnsi="宋体"/>
          <w:szCs w:val="21"/>
        </w:rPr>
        <w:t>。</w:t>
      </w:r>
    </w:p>
    <w:p w14:paraId="1A8F1C3D">
      <w:pPr>
        <w:spacing w:line="360" w:lineRule="auto"/>
        <w:ind w:right="105" w:rightChars="50" w:firstLine="420" w:firstLineChars="200"/>
        <w:jc w:val="left"/>
        <w:rPr>
          <w:rFonts w:ascii="宋体" w:hAnsi="宋体"/>
          <w:szCs w:val="21"/>
        </w:rPr>
      </w:pPr>
      <w:r>
        <w:rPr>
          <w:rFonts w:hint="eastAsia" w:ascii="宋体" w:hAnsi="宋体"/>
          <w:szCs w:val="21"/>
        </w:rPr>
        <w:t>承包人是否应为其施工设备等办理财产保险：</w:t>
      </w:r>
      <w:r>
        <w:rPr>
          <w:rFonts w:hint="eastAsia" w:ascii="宋体" w:hAnsi="宋体"/>
          <w:szCs w:val="21"/>
          <w:u w:val="single"/>
        </w:rPr>
        <w:t xml:space="preserve">    /    </w:t>
      </w:r>
      <w:r>
        <w:rPr>
          <w:rFonts w:hint="eastAsia" w:ascii="宋体" w:hAnsi="宋体"/>
          <w:szCs w:val="21"/>
        </w:rPr>
        <w:t>。</w:t>
      </w:r>
    </w:p>
    <w:p w14:paraId="27AEB92A">
      <w:pPr>
        <w:spacing w:line="360" w:lineRule="auto"/>
        <w:ind w:right="105" w:rightChars="50" w:firstLine="420" w:firstLineChars="200"/>
        <w:jc w:val="left"/>
        <w:rPr>
          <w:rFonts w:ascii="宋体" w:hAnsi="宋体"/>
          <w:szCs w:val="21"/>
        </w:rPr>
      </w:pPr>
      <w:r>
        <w:rPr>
          <w:rFonts w:hint="eastAsia" w:ascii="宋体" w:hAnsi="宋体"/>
          <w:szCs w:val="21"/>
        </w:rPr>
        <w:t>安全生产责任险：</w:t>
      </w:r>
      <w:r>
        <w:rPr>
          <w:rFonts w:hint="eastAsia" w:ascii="宋体" w:hAnsi="宋体"/>
          <w:szCs w:val="21"/>
          <w:u w:val="single"/>
        </w:rPr>
        <w:t>承包人应按《重庆市人民政府办公厅关于在高危行业领域强制推行安全生产责任保险的实施意见》（渝府办法〔2017〕182号）的要求办理安全生产责任保险</w:t>
      </w:r>
      <w:r>
        <w:rPr>
          <w:rFonts w:hint="eastAsia" w:ascii="宋体" w:hAnsi="宋体"/>
          <w:szCs w:val="21"/>
        </w:rPr>
        <w:t>。</w:t>
      </w:r>
    </w:p>
    <w:p w14:paraId="15D8323D">
      <w:pPr>
        <w:pStyle w:val="7"/>
        <w:spacing w:before="0" w:beforeAutospacing="0" w:after="0" w:afterAutospacing="0" w:line="360" w:lineRule="auto"/>
        <w:ind w:firstLine="422" w:firstLineChars="200"/>
        <w:rPr>
          <w:sz w:val="21"/>
          <w:szCs w:val="21"/>
        </w:rPr>
      </w:pPr>
      <w:bookmarkStart w:id="1724" w:name="_Toc532375672"/>
      <w:bookmarkStart w:id="1725" w:name="_Toc532377411"/>
      <w:r>
        <w:rPr>
          <w:rFonts w:hint="eastAsia"/>
          <w:sz w:val="21"/>
          <w:szCs w:val="21"/>
        </w:rPr>
        <w:t>18.7 通知义务</w:t>
      </w:r>
      <w:bookmarkEnd w:id="1724"/>
      <w:bookmarkEnd w:id="1725"/>
    </w:p>
    <w:p w14:paraId="456164E9">
      <w:pPr>
        <w:spacing w:line="360" w:lineRule="auto"/>
        <w:ind w:right="105" w:rightChars="50" w:firstLine="420" w:firstLineChars="200"/>
        <w:jc w:val="left"/>
        <w:rPr>
          <w:rFonts w:ascii="宋体" w:hAnsi="宋体"/>
          <w:szCs w:val="21"/>
        </w:rPr>
      </w:pPr>
      <w:r>
        <w:rPr>
          <w:rFonts w:hint="eastAsia" w:ascii="宋体" w:hAnsi="宋体"/>
          <w:szCs w:val="21"/>
        </w:rPr>
        <w:t>关于变更保险合同时的通知义务的约定：</w:t>
      </w:r>
      <w:r>
        <w:rPr>
          <w:rFonts w:hint="eastAsia" w:ascii="宋体" w:hAnsi="宋体"/>
          <w:szCs w:val="21"/>
          <w:u w:val="single"/>
        </w:rPr>
        <w:t>按通用合同条款执行</w:t>
      </w:r>
      <w:r>
        <w:rPr>
          <w:rFonts w:hint="eastAsia" w:ascii="宋体" w:hAnsi="宋体"/>
          <w:szCs w:val="21"/>
        </w:rPr>
        <w:t>。</w:t>
      </w:r>
    </w:p>
    <w:p w14:paraId="347C3CD4">
      <w:pPr>
        <w:pStyle w:val="7"/>
        <w:spacing w:before="0" w:beforeAutospacing="0" w:after="0" w:afterAutospacing="0" w:line="360" w:lineRule="auto"/>
        <w:ind w:firstLine="422" w:firstLineChars="200"/>
        <w:rPr>
          <w:sz w:val="21"/>
          <w:szCs w:val="21"/>
        </w:rPr>
      </w:pPr>
      <w:bookmarkStart w:id="1726" w:name="_Toc532375673"/>
      <w:bookmarkStart w:id="1727" w:name="_Toc532377412"/>
      <w:r>
        <w:rPr>
          <w:rFonts w:hint="eastAsia"/>
          <w:sz w:val="21"/>
          <w:szCs w:val="21"/>
        </w:rPr>
        <w:t>18.8 其他</w:t>
      </w:r>
      <w:bookmarkEnd w:id="1726"/>
      <w:bookmarkEnd w:id="1727"/>
    </w:p>
    <w:p w14:paraId="47511B5D">
      <w:pPr>
        <w:spacing w:line="360" w:lineRule="auto"/>
        <w:ind w:right="105" w:rightChars="50" w:firstLine="420" w:firstLineChars="200"/>
        <w:jc w:val="left"/>
        <w:rPr>
          <w:rFonts w:ascii="宋体" w:hAnsi="宋体"/>
          <w:szCs w:val="21"/>
        </w:rPr>
      </w:pPr>
      <w:r>
        <w:rPr>
          <w:rFonts w:hint="eastAsia" w:ascii="宋体" w:hAnsi="宋体"/>
          <w:szCs w:val="21"/>
        </w:rPr>
        <w:t>18.8.1 工程开工日前，承包人向发包人提交各项生效的保险证据和保险单副本。未按本项约定提交的，每延后1天，承包人按500元/天支付违约金。</w:t>
      </w:r>
    </w:p>
    <w:p w14:paraId="60671AEE">
      <w:pPr>
        <w:spacing w:line="360" w:lineRule="auto"/>
        <w:ind w:right="105" w:rightChars="50" w:firstLine="420" w:firstLineChars="200"/>
        <w:jc w:val="left"/>
        <w:rPr>
          <w:rFonts w:ascii="宋体" w:hAnsi="宋体"/>
          <w:szCs w:val="21"/>
        </w:rPr>
      </w:pPr>
      <w:r>
        <w:rPr>
          <w:rFonts w:hint="eastAsia" w:ascii="宋体" w:hAnsi="宋体"/>
          <w:szCs w:val="21"/>
        </w:rPr>
        <w:t>18.8.2 承包人保险赔偿金不足以补偿发包人损失时，</w:t>
      </w:r>
      <w:bookmarkStart w:id="1728" w:name="_Hlk524378346"/>
      <w:r>
        <w:rPr>
          <w:rFonts w:hint="eastAsia" w:ascii="宋体" w:hAnsi="宋体"/>
          <w:szCs w:val="21"/>
        </w:rPr>
        <w:t>差额由承包人负责补足</w:t>
      </w:r>
      <w:bookmarkEnd w:id="1728"/>
      <w:r>
        <w:rPr>
          <w:rFonts w:hint="eastAsia" w:ascii="宋体" w:hAnsi="宋体"/>
          <w:szCs w:val="21"/>
        </w:rPr>
        <w:t>。</w:t>
      </w:r>
    </w:p>
    <w:p w14:paraId="6A23201B">
      <w:pPr>
        <w:pStyle w:val="6"/>
        <w:keepNext/>
        <w:keepLines/>
        <w:spacing w:before="156" w:beforeLines="50" w:beforeAutospacing="0" w:after="156" w:afterLines="50" w:afterAutospacing="0" w:line="360" w:lineRule="auto"/>
        <w:jc w:val="both"/>
        <w:rPr>
          <w:bCs w:val="0"/>
          <w:kern w:val="2"/>
          <w:sz w:val="21"/>
          <w:szCs w:val="21"/>
        </w:rPr>
      </w:pPr>
      <w:bookmarkStart w:id="1729" w:name="_Toc532377413"/>
      <w:bookmarkStart w:id="1730" w:name="_Toc532375674"/>
      <w:bookmarkStart w:id="1731" w:name="_Toc351203620"/>
      <w:bookmarkStart w:id="1732" w:name="_Toc337558835"/>
      <w:bookmarkStart w:id="1733" w:name="_Toc296503140"/>
      <w:bookmarkStart w:id="1734" w:name="_Toc296346641"/>
      <w:r>
        <w:rPr>
          <w:rFonts w:hint="eastAsia"/>
          <w:kern w:val="2"/>
          <w:sz w:val="21"/>
          <w:szCs w:val="21"/>
        </w:rPr>
        <w:t>19. 索赔</w:t>
      </w:r>
      <w:bookmarkEnd w:id="1729"/>
      <w:bookmarkEnd w:id="1730"/>
      <w:bookmarkEnd w:id="1731"/>
    </w:p>
    <w:bookmarkEnd w:id="1732"/>
    <w:bookmarkEnd w:id="1733"/>
    <w:bookmarkEnd w:id="1734"/>
    <w:p w14:paraId="757CF3C7">
      <w:pPr>
        <w:pStyle w:val="7"/>
        <w:spacing w:before="0" w:beforeAutospacing="0" w:after="0" w:afterAutospacing="0" w:line="360" w:lineRule="auto"/>
        <w:ind w:firstLine="422" w:firstLineChars="200"/>
        <w:rPr>
          <w:sz w:val="21"/>
          <w:szCs w:val="21"/>
        </w:rPr>
      </w:pPr>
      <w:bookmarkStart w:id="1735" w:name="_Toc532375675"/>
      <w:bookmarkStart w:id="1736" w:name="_Toc532377414"/>
      <w:bookmarkStart w:id="1737" w:name="_Toc337558836"/>
      <w:bookmarkStart w:id="1738" w:name="_Toc296503141"/>
      <w:bookmarkStart w:id="1739" w:name="_Toc296346642"/>
      <w:bookmarkStart w:id="1740" w:name="_Toc351203621"/>
      <w:r>
        <w:rPr>
          <w:rFonts w:hint="eastAsia"/>
          <w:sz w:val="21"/>
          <w:szCs w:val="21"/>
        </w:rPr>
        <w:t>19.1 承包人的索赔</w:t>
      </w:r>
      <w:bookmarkEnd w:id="1735"/>
      <w:bookmarkEnd w:id="1736"/>
    </w:p>
    <w:p w14:paraId="218D15FC">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根据合同约定，承包人认为有权得到追加付款和（或）延长工期的，应按以下程序向发包人提出索赔：</w:t>
      </w:r>
    </w:p>
    <w:p w14:paraId="5AD67F53">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（1）承包人应在索赔事件发生后28天内，向监理人递交索赔意向通知书，并说明发生索赔事件的事由；承包人未在前述28天内发出索赔意向通知书的，丧失要求追加付款和（或）延长工期的权利；</w:t>
      </w:r>
    </w:p>
    <w:p w14:paraId="172600CC">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（2）承包人应在发出索赔意向通知书后28天内，向监理人正式递交索赔报告；索赔报告应详细说明索赔理由以及要求追加的付款金额和（或）延长的工期，并附必要的记录和证明材料；</w:t>
      </w:r>
    </w:p>
    <w:p w14:paraId="3113D3CF">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（3）索赔事件具有持续影响的，承包人应按监理人要求的合理时间间隔继续递交延续索赔通知，说明持续影响的实际情况和记录，列出累计的追加付款金额和（或）工期延长天数；</w:t>
      </w:r>
    </w:p>
    <w:p w14:paraId="09A12F62">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（4）在索赔事件影响结束后28天内，承包人应向监理人递交最终索赔报告，说明最终要求索赔的追加付款金额和（或）延长的工期，并附必要的记录和证明材料。</w:t>
      </w:r>
    </w:p>
    <w:p w14:paraId="788C8325">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（5）</w:t>
      </w:r>
      <w:r>
        <w:rPr>
          <w:rFonts w:hint="eastAsia" w:ascii="宋体" w:hAnsi="宋体"/>
          <w:szCs w:val="21"/>
          <w:u w:val="single"/>
        </w:rPr>
        <w:t xml:space="preserve">        </w:t>
      </w:r>
      <w:r>
        <w:rPr>
          <w:rFonts w:hint="eastAsia" w:ascii="宋体" w:hAnsi="宋体"/>
          <w:szCs w:val="21"/>
        </w:rPr>
        <w:t>。</w:t>
      </w:r>
    </w:p>
    <w:p w14:paraId="66167B4B">
      <w:pPr>
        <w:pStyle w:val="7"/>
        <w:spacing w:before="0" w:beforeAutospacing="0" w:after="0" w:afterAutospacing="0" w:line="360" w:lineRule="auto"/>
        <w:ind w:firstLine="422" w:firstLineChars="200"/>
        <w:rPr>
          <w:sz w:val="21"/>
          <w:szCs w:val="21"/>
        </w:rPr>
      </w:pPr>
      <w:bookmarkStart w:id="1741" w:name="_Toc532375676"/>
      <w:bookmarkStart w:id="1742" w:name="_Toc532377415"/>
      <w:r>
        <w:rPr>
          <w:rFonts w:hint="eastAsia"/>
          <w:sz w:val="21"/>
          <w:szCs w:val="21"/>
        </w:rPr>
        <w:t>19.2 对承包人索赔的处理</w:t>
      </w:r>
      <w:bookmarkEnd w:id="1741"/>
      <w:bookmarkEnd w:id="1742"/>
    </w:p>
    <w:p w14:paraId="5EA9C96F">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对承包人索赔的处理如下：</w:t>
      </w:r>
    </w:p>
    <w:p w14:paraId="7FC53D26">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（1）监理人应在收到索赔报告后14天内完成审查并报送发包人。监理人对索赔报告存在异议的，有权要求承包人提交全部原始记录副本</w:t>
      </w:r>
      <w:r>
        <w:rPr>
          <w:rFonts w:hint="eastAsia" w:ascii="宋体" w:hAnsi="宋体"/>
          <w:szCs w:val="21"/>
        </w:rPr>
        <w:t>；</w:t>
      </w:r>
    </w:p>
    <w:p w14:paraId="414C28E5">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2）发包人应在监理人收到索赔报告或有关索赔的进一步证明材料后的28天内，由监理人向承包人出具经发包人签认的索赔处理结果。发包人逾期未答复的，承包人应以书面形式催告发包人，经承包人三次（每次间隔不少于3天）书面催告后，发包人仍未按期限答复的，则视为认可承包人的索赔要求</w:t>
      </w:r>
      <w:r>
        <w:rPr>
          <w:rFonts w:hint="eastAsia" w:ascii="宋体" w:hAnsi="宋体"/>
          <w:szCs w:val="21"/>
        </w:rPr>
        <w:t>；</w:t>
      </w:r>
    </w:p>
    <w:p w14:paraId="6184E2B7">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（3）承包人接受索赔处理结果的，索赔款项在当期进度款中进行支付；承包人不接受索赔处理结果的，按照第20条〔争议解决〕约定处理</w:t>
      </w:r>
      <w:r>
        <w:rPr>
          <w:rFonts w:hint="eastAsia" w:ascii="宋体" w:hAnsi="宋体"/>
          <w:szCs w:val="21"/>
        </w:rPr>
        <w:t>；</w:t>
      </w:r>
    </w:p>
    <w:p w14:paraId="2962EA6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u w:val="single"/>
        </w:rPr>
        <w:t>（4）工期延误的关键线路按照经监理人、发包人审批同意的施工组织设计计算</w:t>
      </w:r>
      <w:r>
        <w:rPr>
          <w:rFonts w:hint="eastAsia" w:ascii="宋体" w:hAnsi="宋体"/>
          <w:szCs w:val="21"/>
        </w:rPr>
        <w:t>。</w:t>
      </w:r>
    </w:p>
    <w:p w14:paraId="48A8A288">
      <w:pPr>
        <w:pStyle w:val="7"/>
        <w:spacing w:before="0" w:beforeAutospacing="0" w:after="0" w:afterAutospacing="0" w:line="360" w:lineRule="auto"/>
        <w:ind w:firstLine="422" w:firstLineChars="200"/>
        <w:rPr>
          <w:sz w:val="21"/>
          <w:szCs w:val="21"/>
        </w:rPr>
      </w:pPr>
      <w:bookmarkStart w:id="1743" w:name="_Toc532375677"/>
      <w:bookmarkStart w:id="1744" w:name="_Toc532377416"/>
      <w:r>
        <w:rPr>
          <w:rFonts w:hint="eastAsia"/>
          <w:sz w:val="21"/>
          <w:szCs w:val="21"/>
        </w:rPr>
        <w:t>19.3发包人的索赔</w:t>
      </w:r>
      <w:bookmarkEnd w:id="1743"/>
      <w:bookmarkEnd w:id="1744"/>
    </w:p>
    <w:p w14:paraId="2B679F3D">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根据合同约定，发包人认为有权得到赔付金额和（或）延长缺陷责任期的，监理人应向承包人发出通知并附有详细的证明。</w:t>
      </w:r>
    </w:p>
    <w:p w14:paraId="29648F3F">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w:t>
      </w:r>
      <w:bookmarkStart w:id="1745" w:name="_Hlk528652769"/>
      <w:r>
        <w:rPr>
          <w:rFonts w:hint="eastAsia" w:ascii="宋体" w:hAnsi="宋体"/>
          <w:szCs w:val="21"/>
        </w:rPr>
        <w:t>通过监理人向承包人正式递交最终索赔报告</w:t>
      </w:r>
      <w:bookmarkEnd w:id="1745"/>
      <w:r>
        <w:rPr>
          <w:rFonts w:hint="eastAsia" w:ascii="宋体" w:hAnsi="宋体"/>
          <w:szCs w:val="21"/>
        </w:rPr>
        <w:t>。</w:t>
      </w:r>
    </w:p>
    <w:p w14:paraId="231123B5">
      <w:pPr>
        <w:pStyle w:val="7"/>
        <w:spacing w:before="0" w:beforeAutospacing="0" w:after="0" w:afterAutospacing="0" w:line="360" w:lineRule="auto"/>
        <w:ind w:firstLine="422" w:firstLineChars="200"/>
        <w:rPr>
          <w:sz w:val="21"/>
          <w:szCs w:val="21"/>
        </w:rPr>
      </w:pPr>
      <w:bookmarkStart w:id="1746" w:name="_Toc532375678"/>
      <w:bookmarkStart w:id="1747" w:name="_Toc532377417"/>
      <w:r>
        <w:rPr>
          <w:rFonts w:hint="eastAsia"/>
          <w:sz w:val="21"/>
          <w:szCs w:val="21"/>
        </w:rPr>
        <w:t>19.4 对发包人索赔的处理</w:t>
      </w:r>
      <w:bookmarkEnd w:id="1746"/>
      <w:bookmarkEnd w:id="1747"/>
    </w:p>
    <w:p w14:paraId="67946E92">
      <w:pPr>
        <w:autoSpaceDE w:val="0"/>
        <w:autoSpaceDN w:val="0"/>
        <w:spacing w:line="360" w:lineRule="auto"/>
        <w:ind w:right="105" w:rightChars="50" w:firstLine="420" w:firstLineChars="200"/>
        <w:jc w:val="left"/>
        <w:rPr>
          <w:rFonts w:ascii="宋体" w:hAnsi="宋体"/>
          <w:kern w:val="0"/>
          <w:szCs w:val="21"/>
        </w:rPr>
      </w:pPr>
      <w:r>
        <w:rPr>
          <w:rFonts w:hint="eastAsia" w:ascii="宋体" w:hAnsi="宋体"/>
          <w:kern w:val="0"/>
          <w:szCs w:val="21"/>
        </w:rPr>
        <w:t>对发包人索赔的处理如下：</w:t>
      </w:r>
    </w:p>
    <w:p w14:paraId="16230550">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（1）承包人收到发包人提交的索赔报告后，应及时审查索赔报告的内容、查验发包人证明材料；</w:t>
      </w:r>
    </w:p>
    <w:p w14:paraId="7F888837">
      <w:pPr>
        <w:autoSpaceDE w:val="0"/>
        <w:autoSpaceDN w:val="0"/>
        <w:spacing w:line="360" w:lineRule="auto"/>
        <w:ind w:right="105" w:rightChars="50" w:firstLine="420" w:firstLineChars="200"/>
        <w:jc w:val="left"/>
        <w:rPr>
          <w:rFonts w:ascii="宋体" w:hAnsi="宋体"/>
          <w:szCs w:val="21"/>
        </w:rPr>
      </w:pPr>
      <w:r>
        <w:rPr>
          <w:rFonts w:hint="eastAsia" w:ascii="宋体" w:hAnsi="宋体"/>
          <w:szCs w:val="21"/>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14:paraId="1BCFA59C">
      <w:pPr>
        <w:autoSpaceDE w:val="0"/>
        <w:autoSpaceDN w:val="0"/>
        <w:spacing w:line="360" w:lineRule="auto"/>
        <w:ind w:right="105" w:rightChars="50" w:firstLine="420" w:firstLineChars="200"/>
        <w:jc w:val="left"/>
        <w:rPr>
          <w:rFonts w:ascii="宋体" w:hAnsi="宋体"/>
          <w:szCs w:val="21"/>
          <w:u w:val="single"/>
        </w:rPr>
      </w:pPr>
      <w:r>
        <w:rPr>
          <w:rFonts w:hint="eastAsia" w:ascii="宋体" w:hAnsi="宋体"/>
          <w:szCs w:val="21"/>
        </w:rPr>
        <w:t>（3）承包人接受索赔处理结果的，发包人可从应支付给承包人的合同价款中扣除赔付的金额或延长缺陷责任期；发包人不接受索赔处理结果的，按第20条〔争议解决〕约定处理。</w:t>
      </w:r>
    </w:p>
    <w:p w14:paraId="0A618895">
      <w:pPr>
        <w:pStyle w:val="7"/>
        <w:spacing w:before="0" w:beforeAutospacing="0" w:after="0" w:afterAutospacing="0" w:line="360" w:lineRule="auto"/>
        <w:ind w:firstLine="422" w:firstLineChars="200"/>
        <w:rPr>
          <w:sz w:val="21"/>
          <w:szCs w:val="21"/>
        </w:rPr>
      </w:pPr>
      <w:bookmarkStart w:id="1748" w:name="_Toc532377418"/>
      <w:bookmarkStart w:id="1749" w:name="_Toc532375679"/>
      <w:bookmarkStart w:id="1750" w:name="_Hlk528928420"/>
      <w:r>
        <w:rPr>
          <w:rFonts w:hint="eastAsia"/>
          <w:sz w:val="21"/>
          <w:szCs w:val="21"/>
        </w:rPr>
        <w:t>19.5 提出索赔的期限</w:t>
      </w:r>
      <w:bookmarkEnd w:id="1748"/>
      <w:bookmarkEnd w:id="1749"/>
    </w:p>
    <w:p w14:paraId="546AC014">
      <w:pPr>
        <w:autoSpaceDE w:val="0"/>
        <w:autoSpaceDN w:val="0"/>
        <w:spacing w:line="360" w:lineRule="auto"/>
        <w:ind w:right="105" w:rightChars="50" w:firstLine="420" w:firstLineChars="200"/>
        <w:jc w:val="left"/>
        <w:rPr>
          <w:rFonts w:ascii="宋体" w:hAnsi="宋体"/>
          <w:szCs w:val="21"/>
        </w:rPr>
      </w:pPr>
      <w:bookmarkStart w:id="1751" w:name="_Hlk524298376"/>
      <w:r>
        <w:rPr>
          <w:rFonts w:hint="eastAsia" w:ascii="宋体" w:hAnsi="宋体"/>
          <w:szCs w:val="21"/>
        </w:rPr>
        <w:t>任一索赔事件发生后28天内，承包人/发包人未向对方发出索赔意向通知书的，视为其已放弃索赔权，无权再就该索赔事项提出任何索赔。</w:t>
      </w:r>
    </w:p>
    <w:bookmarkEnd w:id="1737"/>
    <w:bookmarkEnd w:id="1738"/>
    <w:bookmarkEnd w:id="1739"/>
    <w:bookmarkEnd w:id="1740"/>
    <w:bookmarkEnd w:id="1750"/>
    <w:bookmarkEnd w:id="1751"/>
    <w:p w14:paraId="7D31E0F6">
      <w:pPr>
        <w:pStyle w:val="6"/>
        <w:keepNext/>
        <w:keepLines/>
        <w:spacing w:before="156" w:beforeLines="50" w:beforeAutospacing="0" w:after="156" w:afterLines="50" w:afterAutospacing="0" w:line="360" w:lineRule="auto"/>
        <w:jc w:val="both"/>
        <w:rPr>
          <w:bCs w:val="0"/>
          <w:kern w:val="2"/>
          <w:sz w:val="21"/>
          <w:szCs w:val="21"/>
        </w:rPr>
      </w:pPr>
      <w:bookmarkStart w:id="1752" w:name="_Toc351203651"/>
      <w:bookmarkStart w:id="1753" w:name="_Toc532375680"/>
      <w:bookmarkStart w:id="1754" w:name="_Toc532377419"/>
      <w:r>
        <w:rPr>
          <w:rFonts w:hint="eastAsia"/>
          <w:kern w:val="2"/>
          <w:sz w:val="21"/>
          <w:szCs w:val="21"/>
        </w:rPr>
        <w:t>20. 争议解决</w:t>
      </w:r>
      <w:bookmarkEnd w:id="1752"/>
      <w:bookmarkEnd w:id="1753"/>
      <w:bookmarkEnd w:id="1754"/>
    </w:p>
    <w:p w14:paraId="275A97D4">
      <w:pPr>
        <w:pStyle w:val="7"/>
        <w:spacing w:before="0" w:beforeAutospacing="0" w:after="0" w:afterAutospacing="0" w:line="360" w:lineRule="auto"/>
        <w:ind w:firstLine="422" w:firstLineChars="200"/>
        <w:rPr>
          <w:sz w:val="21"/>
          <w:szCs w:val="21"/>
        </w:rPr>
      </w:pPr>
      <w:bookmarkStart w:id="1755" w:name="_Toc532375681"/>
      <w:bookmarkStart w:id="1756" w:name="_Toc532377420"/>
      <w:r>
        <w:rPr>
          <w:rFonts w:hint="eastAsia"/>
          <w:sz w:val="21"/>
          <w:szCs w:val="21"/>
        </w:rPr>
        <w:t>20.3 争议评审</w:t>
      </w:r>
      <w:bookmarkEnd w:id="1755"/>
      <w:bookmarkEnd w:id="1756"/>
    </w:p>
    <w:p w14:paraId="18D4E0F2">
      <w:pPr>
        <w:spacing w:line="360" w:lineRule="auto"/>
        <w:ind w:right="105" w:rightChars="50" w:firstLine="420" w:firstLineChars="200"/>
        <w:jc w:val="left"/>
        <w:rPr>
          <w:rFonts w:ascii="宋体" w:hAnsi="宋体"/>
          <w:szCs w:val="21"/>
        </w:rPr>
      </w:pPr>
      <w:r>
        <w:rPr>
          <w:rFonts w:hint="eastAsia" w:ascii="宋体" w:hAnsi="宋体"/>
          <w:szCs w:val="21"/>
        </w:rPr>
        <w:t>合同当事人是否同意将工程争议提交争议评审小组决定：</w:t>
      </w:r>
      <w:r>
        <w:rPr>
          <w:rFonts w:hint="eastAsia" w:ascii="宋体" w:hAnsi="宋体"/>
          <w:szCs w:val="21"/>
          <w:u w:val="single"/>
        </w:rPr>
        <w:t xml:space="preserve">        </w:t>
      </w:r>
      <w:r>
        <w:rPr>
          <w:rFonts w:hint="eastAsia" w:ascii="宋体" w:hAnsi="宋体"/>
          <w:szCs w:val="21"/>
        </w:rPr>
        <w:t>。</w:t>
      </w:r>
    </w:p>
    <w:p w14:paraId="1FDC372E">
      <w:pPr>
        <w:pStyle w:val="7"/>
        <w:spacing w:before="0" w:beforeAutospacing="0" w:after="0" w:afterAutospacing="0" w:line="360" w:lineRule="auto"/>
        <w:ind w:firstLine="422" w:firstLineChars="200"/>
        <w:rPr>
          <w:sz w:val="21"/>
          <w:szCs w:val="21"/>
        </w:rPr>
      </w:pPr>
      <w:bookmarkStart w:id="1757" w:name="_Toc532377421"/>
      <w:bookmarkStart w:id="1758" w:name="_Toc532375682"/>
      <w:r>
        <w:rPr>
          <w:rFonts w:hint="eastAsia"/>
          <w:sz w:val="21"/>
          <w:szCs w:val="21"/>
        </w:rPr>
        <w:t>20.4 仲裁或诉讼</w:t>
      </w:r>
      <w:bookmarkEnd w:id="1757"/>
      <w:bookmarkEnd w:id="1758"/>
    </w:p>
    <w:p w14:paraId="42468D00">
      <w:pPr>
        <w:spacing w:line="360" w:lineRule="auto"/>
        <w:ind w:right="105" w:rightChars="50" w:firstLine="420" w:firstLineChars="200"/>
        <w:jc w:val="left"/>
        <w:rPr>
          <w:rFonts w:ascii="宋体" w:hAnsi="宋体"/>
          <w:szCs w:val="21"/>
        </w:rPr>
      </w:pPr>
      <w:r>
        <w:rPr>
          <w:rFonts w:hint="eastAsia" w:ascii="宋体" w:hAnsi="宋体"/>
          <w:szCs w:val="21"/>
        </w:rPr>
        <w:t>因合同及合同有关事项发生的争议，按下列第</w:t>
      </w:r>
      <w:r>
        <w:rPr>
          <w:rFonts w:hint="eastAsia" w:ascii="宋体" w:hAnsi="宋体"/>
          <w:szCs w:val="21"/>
          <w:u w:val="single"/>
        </w:rPr>
        <w:t xml:space="preserve">    </w:t>
      </w:r>
      <w:r>
        <w:rPr>
          <w:rFonts w:hint="eastAsia" w:ascii="宋体" w:hAnsi="宋体"/>
          <w:szCs w:val="21"/>
        </w:rPr>
        <w:t>种方式解决：</w:t>
      </w:r>
    </w:p>
    <w:p w14:paraId="6450A632">
      <w:pPr>
        <w:spacing w:line="360" w:lineRule="auto"/>
        <w:ind w:right="105" w:rightChars="50" w:firstLine="420" w:firstLineChars="200"/>
        <w:jc w:val="left"/>
        <w:rPr>
          <w:rFonts w:ascii="宋体" w:hAnsi="宋体"/>
          <w:szCs w:val="21"/>
        </w:rPr>
      </w:pPr>
      <w:r>
        <w:rPr>
          <w:rFonts w:ascii="宋体" w:hAnsi="宋体"/>
          <w:szCs w:val="21"/>
        </w:rPr>
        <w:t>（1）向</w:t>
      </w:r>
      <w:r>
        <w:rPr>
          <w:rFonts w:ascii="宋体" w:hAnsi="宋体"/>
          <w:szCs w:val="21"/>
          <w:u w:val="single"/>
        </w:rPr>
        <w:t xml:space="preserve">                     </w:t>
      </w:r>
      <w:r>
        <w:rPr>
          <w:rFonts w:ascii="宋体" w:hAnsi="宋体"/>
          <w:szCs w:val="21"/>
        </w:rPr>
        <w:t>仲裁委员会申请仲裁；</w:t>
      </w:r>
    </w:p>
    <w:p w14:paraId="42C1BC32">
      <w:pPr>
        <w:spacing w:line="360" w:lineRule="auto"/>
        <w:ind w:right="105" w:rightChars="50" w:firstLine="420" w:firstLineChars="200"/>
        <w:jc w:val="left"/>
        <w:rPr>
          <w:rFonts w:ascii="宋体" w:hAnsi="宋体"/>
          <w:szCs w:val="21"/>
        </w:rPr>
      </w:pPr>
      <w:r>
        <w:rPr>
          <w:rFonts w:ascii="宋体" w:hAnsi="宋体"/>
          <w:szCs w:val="21"/>
        </w:rPr>
        <w:t>（2）向</w:t>
      </w:r>
      <w:r>
        <w:rPr>
          <w:rFonts w:ascii="宋体" w:hAnsi="宋体"/>
          <w:szCs w:val="21"/>
          <w:u w:val="single"/>
        </w:rPr>
        <w:t xml:space="preserve">                     </w:t>
      </w:r>
      <w:r>
        <w:rPr>
          <w:rFonts w:ascii="宋体" w:hAnsi="宋体"/>
          <w:szCs w:val="21"/>
        </w:rPr>
        <w:t>人民法院起诉。</w:t>
      </w:r>
    </w:p>
    <w:p w14:paraId="274534DF">
      <w:pPr>
        <w:pStyle w:val="6"/>
        <w:keepNext/>
        <w:keepLines/>
        <w:spacing w:before="156" w:beforeLines="50" w:beforeAutospacing="0" w:after="156" w:afterLines="50" w:afterAutospacing="0" w:line="360" w:lineRule="auto"/>
        <w:jc w:val="both"/>
        <w:rPr>
          <w:bCs w:val="0"/>
          <w:kern w:val="2"/>
          <w:sz w:val="21"/>
          <w:szCs w:val="21"/>
        </w:rPr>
      </w:pPr>
      <w:bookmarkStart w:id="1759" w:name="_Toc532375683"/>
      <w:bookmarkStart w:id="1760" w:name="_Toc532377422"/>
      <w:r>
        <w:rPr>
          <w:rFonts w:hint="eastAsia"/>
          <w:kern w:val="2"/>
          <w:sz w:val="21"/>
          <w:szCs w:val="21"/>
        </w:rPr>
        <w:t>21. 补充条款</w:t>
      </w:r>
      <w:bookmarkEnd w:id="1759"/>
      <w:bookmarkEnd w:id="1760"/>
    </w:p>
    <w:p w14:paraId="1DF6E3FC">
      <w:pPr>
        <w:pStyle w:val="7"/>
        <w:spacing w:before="0" w:beforeAutospacing="0" w:after="0" w:afterAutospacing="0" w:line="360" w:lineRule="auto"/>
        <w:ind w:firstLine="422" w:firstLineChars="200"/>
        <w:rPr>
          <w:sz w:val="21"/>
          <w:szCs w:val="21"/>
        </w:rPr>
      </w:pPr>
      <w:bookmarkStart w:id="1761" w:name="_Toc532375684"/>
      <w:bookmarkStart w:id="1762" w:name="_Toc532377423"/>
      <w:r>
        <w:rPr>
          <w:rFonts w:hint="eastAsia"/>
          <w:sz w:val="21"/>
          <w:szCs w:val="21"/>
        </w:rPr>
        <w:t>21.1 退出机制</w:t>
      </w:r>
      <w:bookmarkEnd w:id="1761"/>
      <w:bookmarkEnd w:id="1762"/>
    </w:p>
    <w:p w14:paraId="03B5D54B">
      <w:pPr>
        <w:spacing w:line="360" w:lineRule="auto"/>
        <w:ind w:right="105" w:rightChars="50" w:firstLine="420" w:firstLineChars="200"/>
        <w:jc w:val="left"/>
        <w:rPr>
          <w:rFonts w:ascii="宋体" w:hAnsi="宋体"/>
          <w:szCs w:val="21"/>
        </w:rPr>
      </w:pPr>
      <w:r>
        <w:rPr>
          <w:rFonts w:hint="eastAsia" w:ascii="宋体" w:hAnsi="宋体"/>
          <w:szCs w:val="21"/>
        </w:rPr>
        <w:t>21.1.1有下列情形之一的，发包人有权解除合同，亦有权兑付履约担保，并对承包人做清退出场处理</w:t>
      </w:r>
      <w:r>
        <w:rPr>
          <w:rFonts w:hint="eastAsia" w:ascii="宋体" w:hAnsi="宋体"/>
          <w:kern w:val="0"/>
          <w:szCs w:val="21"/>
        </w:rPr>
        <w:t>：</w:t>
      </w:r>
    </w:p>
    <w:p w14:paraId="7CEAC672">
      <w:pPr>
        <w:spacing w:line="360" w:lineRule="auto"/>
        <w:ind w:right="105" w:rightChars="50" w:firstLine="420" w:firstLineChars="200"/>
        <w:jc w:val="left"/>
        <w:rPr>
          <w:rFonts w:ascii="宋体" w:hAnsi="宋体"/>
          <w:szCs w:val="21"/>
        </w:rPr>
      </w:pPr>
      <w:r>
        <w:rPr>
          <w:rFonts w:hint="eastAsia" w:ascii="宋体" w:hAnsi="宋体"/>
          <w:szCs w:val="21"/>
        </w:rPr>
        <w:t>（1）因承包人原因造成较大及以上等级生产安全事故或工程质量事故的；</w:t>
      </w:r>
    </w:p>
    <w:p w14:paraId="5A9C6F40">
      <w:pPr>
        <w:spacing w:line="360" w:lineRule="auto"/>
        <w:ind w:right="105" w:rightChars="50" w:firstLine="420" w:firstLineChars="200"/>
        <w:jc w:val="left"/>
        <w:rPr>
          <w:rFonts w:ascii="宋体" w:hAnsi="宋体"/>
          <w:kern w:val="0"/>
          <w:szCs w:val="21"/>
        </w:rPr>
      </w:pPr>
      <w:r>
        <w:rPr>
          <w:rFonts w:hint="eastAsia" w:ascii="宋体" w:hAnsi="宋体"/>
          <w:kern w:val="0"/>
          <w:szCs w:val="21"/>
        </w:rPr>
        <w:t>（2）因承包人债权债务纠纷或其他纠纷导致工程无法正常施工的。</w:t>
      </w:r>
    </w:p>
    <w:p w14:paraId="5E096784">
      <w:pPr>
        <w:spacing w:line="360" w:lineRule="auto"/>
        <w:ind w:right="105" w:rightChars="50" w:firstLine="420" w:firstLineChars="200"/>
        <w:jc w:val="left"/>
        <w:rPr>
          <w:rFonts w:ascii="宋体" w:hAnsi="宋体"/>
          <w:szCs w:val="21"/>
        </w:rPr>
      </w:pPr>
      <w:r>
        <w:rPr>
          <w:rFonts w:hint="eastAsia" w:ascii="宋体" w:hAnsi="宋体"/>
          <w:kern w:val="0"/>
          <w:szCs w:val="21"/>
        </w:rPr>
        <w:t>（3）</w:t>
      </w:r>
      <w:r>
        <w:rPr>
          <w:rFonts w:hint="eastAsia" w:ascii="宋体" w:hAnsi="宋体"/>
          <w:kern w:val="0"/>
          <w:szCs w:val="21"/>
          <w:u w:val="single"/>
        </w:rPr>
        <w:t xml:space="preserve">        </w:t>
      </w:r>
      <w:r>
        <w:rPr>
          <w:rFonts w:hint="eastAsia" w:ascii="宋体" w:hAnsi="宋体"/>
          <w:kern w:val="0"/>
          <w:szCs w:val="21"/>
        </w:rPr>
        <w:t>。</w:t>
      </w:r>
    </w:p>
    <w:p w14:paraId="09635B09">
      <w:pPr>
        <w:pStyle w:val="2"/>
        <w:spacing w:after="0" w:line="360" w:lineRule="auto"/>
        <w:ind w:firstLine="420" w:firstLineChars="200"/>
        <w:rPr>
          <w:rFonts w:ascii="宋体" w:hAnsi="宋体"/>
          <w:szCs w:val="21"/>
        </w:rPr>
      </w:pPr>
      <w:r>
        <w:rPr>
          <w:rFonts w:hint="eastAsia" w:ascii="宋体" w:hAnsi="宋体"/>
          <w:szCs w:val="21"/>
        </w:rPr>
        <w:t>21.1.2有下列情形之一的，承包人有权解除合同，并按16.1.4约定执行：</w:t>
      </w:r>
    </w:p>
    <w:p w14:paraId="79C1FCDE">
      <w:pPr>
        <w:pStyle w:val="2"/>
        <w:spacing w:after="0" w:line="360" w:lineRule="auto"/>
        <w:ind w:right="105" w:rightChars="50" w:firstLine="420" w:firstLineChars="200"/>
        <w:jc w:val="left"/>
        <w:rPr>
          <w:rFonts w:ascii="宋体" w:hAnsi="宋体"/>
          <w:szCs w:val="21"/>
        </w:rPr>
      </w:pPr>
      <w:r>
        <w:rPr>
          <w:rFonts w:hint="eastAsia" w:ascii="宋体" w:hAnsi="宋体"/>
          <w:szCs w:val="21"/>
        </w:rPr>
        <w:t>（1）因发包人征地、拆迁、补偿、审批手续等原因致使本工程延期开工超过90天的。</w:t>
      </w:r>
    </w:p>
    <w:p w14:paraId="402BEF09">
      <w:pPr>
        <w:spacing w:line="360" w:lineRule="auto"/>
        <w:ind w:right="105" w:rightChars="50" w:firstLine="420" w:firstLineChars="200"/>
        <w:jc w:val="left"/>
        <w:rPr>
          <w:rFonts w:ascii="宋体" w:hAnsi="宋体"/>
          <w:szCs w:val="21"/>
        </w:rPr>
      </w:pPr>
      <w:r>
        <w:rPr>
          <w:rFonts w:hint="eastAsia" w:ascii="宋体" w:hAnsi="宋体"/>
          <w:kern w:val="0"/>
          <w:szCs w:val="21"/>
        </w:rPr>
        <w:t>（2）</w:t>
      </w:r>
      <w:r>
        <w:rPr>
          <w:rFonts w:hint="eastAsia" w:ascii="宋体" w:hAnsi="宋体"/>
          <w:kern w:val="0"/>
          <w:szCs w:val="21"/>
          <w:u w:val="single"/>
        </w:rPr>
        <w:t xml:space="preserve">        </w:t>
      </w:r>
      <w:r>
        <w:rPr>
          <w:rFonts w:hint="eastAsia" w:ascii="宋体" w:hAnsi="宋体"/>
          <w:kern w:val="0"/>
          <w:szCs w:val="21"/>
        </w:rPr>
        <w:t>。</w:t>
      </w:r>
    </w:p>
    <w:p w14:paraId="03263EB3">
      <w:pPr>
        <w:pStyle w:val="7"/>
        <w:spacing w:before="0" w:beforeAutospacing="0" w:after="0" w:afterAutospacing="0" w:line="360" w:lineRule="auto"/>
        <w:ind w:firstLine="422" w:firstLineChars="200"/>
        <w:rPr>
          <w:sz w:val="21"/>
          <w:szCs w:val="21"/>
        </w:rPr>
      </w:pPr>
      <w:bookmarkStart w:id="1763" w:name="_Toc532377424"/>
      <w:bookmarkStart w:id="1764" w:name="_Toc532375685"/>
      <w:r>
        <w:rPr>
          <w:rFonts w:hint="eastAsia"/>
          <w:sz w:val="21"/>
          <w:szCs w:val="21"/>
        </w:rPr>
        <w:t>21.2智慧工地</w:t>
      </w:r>
      <w:bookmarkEnd w:id="1763"/>
      <w:bookmarkEnd w:id="1764"/>
    </w:p>
    <w:p w14:paraId="1DE9D750">
      <w:pPr>
        <w:spacing w:line="360" w:lineRule="auto"/>
        <w:ind w:right="105" w:rightChars="50" w:firstLine="420" w:firstLineChars="200"/>
        <w:jc w:val="left"/>
        <w:rPr>
          <w:rFonts w:ascii="宋体" w:hAnsi="宋体"/>
          <w:szCs w:val="21"/>
        </w:rPr>
      </w:pPr>
      <w:r>
        <w:rPr>
          <w:rFonts w:hint="eastAsia" w:ascii="宋体" w:hAnsi="宋体"/>
          <w:szCs w:val="21"/>
        </w:rPr>
        <w:t>工地建设可参照重庆市城乡建设委员会《关于印发“智慧工地”建设工作方案的通知》（渝建〔2017〕414号）的相关要求建设。</w:t>
      </w:r>
      <w:bookmarkEnd w:id="1705"/>
    </w:p>
    <w:p w14:paraId="7BAB3970">
      <w:pPr>
        <w:pStyle w:val="7"/>
        <w:spacing w:before="0" w:beforeAutospacing="0" w:after="0" w:afterAutospacing="0" w:line="360" w:lineRule="auto"/>
        <w:ind w:firstLine="422" w:firstLineChars="200"/>
        <w:rPr>
          <w:sz w:val="21"/>
          <w:szCs w:val="21"/>
        </w:rPr>
      </w:pPr>
      <w:r>
        <w:rPr>
          <w:rFonts w:hint="eastAsia"/>
          <w:sz w:val="21"/>
          <w:szCs w:val="21"/>
        </w:rPr>
        <w:t>21.</w:t>
      </w:r>
      <w:r>
        <w:rPr>
          <w:sz w:val="21"/>
          <w:szCs w:val="21"/>
        </w:rPr>
        <w:t>3</w:t>
      </w:r>
      <w:r>
        <w:rPr>
          <w:rFonts w:hint="eastAsia"/>
          <w:sz w:val="21"/>
          <w:szCs w:val="21"/>
        </w:rPr>
        <w:t xml:space="preserve"> </w:t>
      </w:r>
      <w:r>
        <w:rPr>
          <w:rFonts w:hint="eastAsia"/>
          <w:sz w:val="21"/>
          <w:szCs w:val="21"/>
          <w:u w:val="single"/>
        </w:rPr>
        <w:t xml:space="preserve">       </w:t>
      </w:r>
    </w:p>
    <w:p w14:paraId="1FD016F4">
      <w:pPr>
        <w:pStyle w:val="6"/>
        <w:keepNext/>
        <w:keepLines/>
        <w:spacing w:before="156" w:beforeLines="50" w:beforeAutospacing="0" w:after="156" w:afterLines="50" w:afterAutospacing="0" w:line="360" w:lineRule="auto"/>
        <w:jc w:val="both"/>
        <w:rPr>
          <w:bCs w:val="0"/>
          <w:kern w:val="2"/>
          <w:sz w:val="21"/>
          <w:szCs w:val="21"/>
        </w:rPr>
      </w:pPr>
      <w:bookmarkStart w:id="1765" w:name="baidusnap7"/>
      <w:bookmarkEnd w:id="1765"/>
      <w:bookmarkStart w:id="1766" w:name="baidusnap3"/>
      <w:bookmarkEnd w:id="1766"/>
      <w:bookmarkStart w:id="1767" w:name="_Toc532377425"/>
      <w:bookmarkStart w:id="1768" w:name="_Toc532375686"/>
      <w:bookmarkStart w:id="1769" w:name="_Toc351203652"/>
      <w:r>
        <w:rPr>
          <w:rFonts w:hint="eastAsia"/>
          <w:kern w:val="2"/>
          <w:sz w:val="21"/>
          <w:szCs w:val="21"/>
        </w:rPr>
        <w:t>22. 合同附件</w:t>
      </w:r>
      <w:bookmarkEnd w:id="1767"/>
      <w:bookmarkEnd w:id="1768"/>
    </w:p>
    <w:p w14:paraId="02BBC5DD">
      <w:pPr>
        <w:spacing w:line="360" w:lineRule="auto"/>
        <w:ind w:right="105" w:rightChars="50" w:firstLine="420" w:firstLineChars="200"/>
        <w:jc w:val="left"/>
        <w:rPr>
          <w:rFonts w:ascii="宋体" w:hAnsi="宋体"/>
        </w:rPr>
      </w:pPr>
      <w:r>
        <w:rPr>
          <w:rFonts w:hint="eastAsia" w:ascii="宋体" w:hAnsi="宋体"/>
        </w:rPr>
        <w:t>以下十个附件是本合同的有效组成部分：</w:t>
      </w:r>
    </w:p>
    <w:p w14:paraId="41D5E2D5">
      <w:pPr>
        <w:spacing w:line="360" w:lineRule="auto"/>
        <w:ind w:right="105" w:rightChars="50" w:firstLine="420" w:firstLineChars="200"/>
        <w:jc w:val="left"/>
        <w:rPr>
          <w:rFonts w:ascii="宋体" w:hAnsi="宋体"/>
          <w:szCs w:val="21"/>
        </w:rPr>
      </w:pPr>
      <w:r>
        <w:rPr>
          <w:rFonts w:hint="eastAsia" w:ascii="宋体" w:hAnsi="宋体"/>
          <w:szCs w:val="21"/>
        </w:rPr>
        <w:t>附件1：工程质量保修书</w:t>
      </w:r>
    </w:p>
    <w:p w14:paraId="6792E320">
      <w:pPr>
        <w:spacing w:line="360" w:lineRule="auto"/>
        <w:ind w:right="105" w:rightChars="50" w:firstLine="420" w:firstLineChars="200"/>
        <w:jc w:val="left"/>
        <w:rPr>
          <w:rFonts w:ascii="宋体" w:hAnsi="宋体"/>
          <w:szCs w:val="21"/>
        </w:rPr>
      </w:pPr>
      <w:r>
        <w:rPr>
          <w:rFonts w:hint="eastAsia" w:ascii="宋体" w:hAnsi="宋体"/>
          <w:szCs w:val="21"/>
        </w:rPr>
        <w:t>附件2：主要建设工程文件目录</w:t>
      </w:r>
    </w:p>
    <w:p w14:paraId="3F3D1123">
      <w:pPr>
        <w:spacing w:line="360" w:lineRule="auto"/>
        <w:ind w:right="105" w:rightChars="50" w:firstLine="420" w:firstLineChars="200"/>
        <w:jc w:val="left"/>
        <w:rPr>
          <w:rFonts w:ascii="宋体" w:hAnsi="宋体"/>
          <w:szCs w:val="21"/>
        </w:rPr>
      </w:pPr>
      <w:r>
        <w:rPr>
          <w:rFonts w:hint="eastAsia" w:ascii="宋体" w:hAnsi="宋体"/>
          <w:szCs w:val="21"/>
        </w:rPr>
        <w:t>附件3：承包人项目管理机构组成表</w:t>
      </w:r>
    </w:p>
    <w:p w14:paraId="33DF7A64">
      <w:pPr>
        <w:spacing w:line="360" w:lineRule="auto"/>
        <w:ind w:right="105" w:rightChars="50" w:firstLine="420" w:firstLineChars="200"/>
        <w:jc w:val="left"/>
        <w:rPr>
          <w:rFonts w:ascii="宋体" w:hAnsi="宋体"/>
          <w:szCs w:val="21"/>
        </w:rPr>
      </w:pPr>
      <w:r>
        <w:rPr>
          <w:rFonts w:hint="eastAsia" w:ascii="宋体" w:hAnsi="宋体"/>
          <w:szCs w:val="21"/>
        </w:rPr>
        <w:t>附件4：履约</w:t>
      </w:r>
      <w:r>
        <w:rPr>
          <w:rFonts w:ascii="宋体" w:hAnsi="宋体"/>
          <w:szCs w:val="21"/>
        </w:rPr>
        <w:t>担保</w:t>
      </w:r>
      <w:r>
        <w:rPr>
          <w:rFonts w:hint="eastAsia" w:ascii="宋体" w:hAnsi="宋体"/>
          <w:szCs w:val="21"/>
        </w:rPr>
        <w:t>（如有）</w:t>
      </w:r>
    </w:p>
    <w:p w14:paraId="51B71183">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5</w:t>
      </w:r>
      <w:r>
        <w:rPr>
          <w:rFonts w:hint="eastAsia" w:ascii="宋体" w:hAnsi="宋体"/>
          <w:szCs w:val="21"/>
        </w:rPr>
        <w:t>：预付款担保（如有）</w:t>
      </w:r>
    </w:p>
    <w:p w14:paraId="6998717B">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6</w:t>
      </w:r>
      <w:r>
        <w:rPr>
          <w:rFonts w:hint="eastAsia" w:ascii="宋体" w:hAnsi="宋体"/>
          <w:szCs w:val="21"/>
        </w:rPr>
        <w:t>：支付担保（如有）</w:t>
      </w:r>
    </w:p>
    <w:p w14:paraId="5ABC357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：专业工程暂估价表</w:t>
      </w:r>
    </w:p>
    <w:p w14:paraId="19DAB51C">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：廉洁从业协议</w:t>
      </w:r>
    </w:p>
    <w:p w14:paraId="72D49DF9">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9</w:t>
      </w:r>
      <w:r>
        <w:rPr>
          <w:rFonts w:hint="eastAsia" w:ascii="宋体" w:hAnsi="宋体"/>
          <w:szCs w:val="21"/>
        </w:rPr>
        <w:t>：安全管理协议</w:t>
      </w:r>
    </w:p>
    <w:p w14:paraId="77E9FE1D">
      <w:pPr>
        <w:spacing w:line="360" w:lineRule="auto"/>
        <w:ind w:right="105" w:rightChars="50" w:firstLine="420" w:firstLineChars="200"/>
        <w:jc w:val="left"/>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：保障农民工工资支付协议</w:t>
      </w:r>
    </w:p>
    <w:bookmarkEnd w:id="1769"/>
    <w:p w14:paraId="720D1B0E">
      <w:pPr>
        <w:spacing w:line="360" w:lineRule="auto"/>
        <w:rPr>
          <w:rFonts w:ascii="宋体" w:hAnsi="宋体"/>
          <w:szCs w:val="21"/>
        </w:rPr>
      </w:pPr>
      <w:r>
        <w:rPr>
          <w:rFonts w:hint="eastAsia" w:ascii="宋体" w:hAnsi="宋体"/>
          <w:szCs w:val="21"/>
        </w:rPr>
        <w:br w:type="page"/>
      </w:r>
      <w:r>
        <w:rPr>
          <w:rFonts w:hint="eastAsia" w:ascii="宋体" w:hAnsi="宋体"/>
          <w:szCs w:val="21"/>
        </w:rPr>
        <w:t>附</w:t>
      </w:r>
      <w:bookmarkStart w:id="1770" w:name="_Toc296503226"/>
      <w:bookmarkStart w:id="1771" w:name="_Toc296944565"/>
      <w:bookmarkStart w:id="1772" w:name="_Toc267261693"/>
      <w:bookmarkStart w:id="1773" w:name="_Toc296891054"/>
      <w:bookmarkStart w:id="1774" w:name="_Toc296891266"/>
      <w:bookmarkStart w:id="1775" w:name="_Toc296347225"/>
      <w:bookmarkStart w:id="1776" w:name="_Toc296346727"/>
      <w:r>
        <w:rPr>
          <w:rFonts w:hint="eastAsia" w:ascii="宋体" w:hAnsi="宋体"/>
          <w:szCs w:val="21"/>
        </w:rPr>
        <w:t>件1：</w:t>
      </w:r>
      <w:bookmarkEnd w:id="1770"/>
      <w:bookmarkEnd w:id="1771"/>
      <w:bookmarkEnd w:id="1772"/>
      <w:bookmarkEnd w:id="1773"/>
      <w:bookmarkEnd w:id="1774"/>
      <w:bookmarkEnd w:id="1775"/>
      <w:bookmarkEnd w:id="1776"/>
    </w:p>
    <w:p w14:paraId="3E602BFC">
      <w:pPr>
        <w:spacing w:before="156" w:beforeLines="50" w:after="156" w:afterLines="50" w:line="360" w:lineRule="auto"/>
        <w:jc w:val="center"/>
        <w:rPr>
          <w:rFonts w:ascii="宋体" w:hAnsi="宋体"/>
          <w:szCs w:val="21"/>
        </w:rPr>
      </w:pPr>
      <w:r>
        <w:rPr>
          <w:rFonts w:hint="eastAsia" w:ascii="宋体" w:hAnsi="宋体"/>
          <w:szCs w:val="21"/>
        </w:rPr>
        <w:t>工程质量保修书</w:t>
      </w:r>
    </w:p>
    <w:p w14:paraId="5B4519AF">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00E79F5D">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66D6C763">
      <w:pPr>
        <w:spacing w:line="360" w:lineRule="auto"/>
        <w:ind w:firstLine="420" w:firstLineChars="200"/>
        <w:rPr>
          <w:rFonts w:ascii="宋体" w:hAnsi="宋体"/>
          <w:szCs w:val="21"/>
        </w:rPr>
      </w:pPr>
      <w:r>
        <w:rPr>
          <w:rFonts w:hint="eastAsia" w:ascii="宋体" w:hAnsi="宋体"/>
          <w:szCs w:val="21"/>
        </w:rPr>
        <w:t>发包人和承包人根据《中华人民共和国建筑法》和《建设工程质量管理条例》，经协商一致就</w:t>
      </w:r>
    </w:p>
    <w:p w14:paraId="379ACEA4">
      <w:pPr>
        <w:spacing w:line="360" w:lineRule="auto"/>
        <w:rPr>
          <w:rFonts w:ascii="宋体" w:hAnsi="宋体"/>
          <w:szCs w:val="21"/>
        </w:rPr>
      </w:pPr>
      <w:r>
        <w:rPr>
          <w:rFonts w:hint="eastAsia" w:ascii="宋体" w:hAnsi="宋体"/>
          <w:szCs w:val="21"/>
          <w:u w:val="single"/>
        </w:rPr>
        <w:t xml:space="preserve">        </w:t>
      </w:r>
      <w:r>
        <w:rPr>
          <w:rFonts w:hint="eastAsia" w:ascii="宋体" w:hAnsi="宋体"/>
          <w:szCs w:val="21"/>
        </w:rPr>
        <w:t>（工程全称）签订工程质量保修书。</w:t>
      </w:r>
    </w:p>
    <w:p w14:paraId="6B721211">
      <w:pPr>
        <w:spacing w:line="360" w:lineRule="auto"/>
        <w:ind w:firstLine="420" w:firstLineChars="200"/>
        <w:rPr>
          <w:rFonts w:ascii="宋体" w:hAnsi="宋体"/>
          <w:szCs w:val="21"/>
        </w:rPr>
      </w:pPr>
      <w:bookmarkStart w:id="1777" w:name="_Toc532375687"/>
      <w:r>
        <w:rPr>
          <w:rFonts w:hint="eastAsia" w:ascii="宋体" w:hAnsi="宋体"/>
          <w:szCs w:val="21"/>
        </w:rPr>
        <w:t>一、工程质量保修范围和内容</w:t>
      </w:r>
      <w:bookmarkEnd w:id="1777"/>
    </w:p>
    <w:p w14:paraId="7DF1F4F8">
      <w:pPr>
        <w:spacing w:line="360" w:lineRule="auto"/>
        <w:ind w:firstLine="420" w:firstLineChars="200"/>
        <w:rPr>
          <w:rFonts w:ascii="宋体" w:hAnsi="宋体"/>
          <w:szCs w:val="21"/>
        </w:rPr>
      </w:pPr>
      <w:r>
        <w:rPr>
          <w:rFonts w:hint="eastAsia" w:ascii="宋体" w:hAnsi="宋体"/>
          <w:szCs w:val="21"/>
        </w:rPr>
        <w:t>承包人在质量保修期内，按照有关法律规定和合同约定，承担工程质量保修责任。</w:t>
      </w:r>
    </w:p>
    <w:p w14:paraId="44E643CA">
      <w:pPr>
        <w:spacing w:line="360" w:lineRule="auto"/>
        <w:ind w:firstLine="420" w:firstLineChars="200"/>
        <w:rPr>
          <w:rFonts w:ascii="宋体" w:hAnsi="宋体"/>
          <w:szCs w:val="21"/>
        </w:rPr>
      </w:pPr>
      <w:r>
        <w:rPr>
          <w:rFonts w:hint="eastAsia" w:ascii="宋体" w:hAnsi="宋体"/>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B4599F3">
      <w:pPr>
        <w:spacing w:line="360" w:lineRule="auto"/>
        <w:ind w:firstLine="420" w:firstLineChars="200"/>
        <w:rPr>
          <w:rFonts w:ascii="宋体" w:hAnsi="宋体"/>
          <w:szCs w:val="21"/>
        </w:rPr>
      </w:pPr>
      <w:r>
        <w:rPr>
          <w:rFonts w:hint="eastAsia" w:ascii="宋体" w:hAnsi="宋体"/>
          <w:szCs w:val="21"/>
        </w:rPr>
        <w:t>承包人承包范围内容均属质量保修范围内容；其中：</w:t>
      </w:r>
    </w:p>
    <w:p w14:paraId="59378621">
      <w:pPr>
        <w:spacing w:line="360" w:lineRule="auto"/>
        <w:ind w:firstLine="420" w:firstLineChars="200"/>
        <w:rPr>
          <w:rFonts w:ascii="宋体" w:hAnsi="宋体"/>
          <w:szCs w:val="21"/>
        </w:rPr>
      </w:pPr>
      <w:r>
        <w:rPr>
          <w:rFonts w:hint="eastAsia" w:ascii="宋体" w:hAnsi="宋体"/>
          <w:szCs w:val="21"/>
        </w:rPr>
        <w:t>1.属于设计原因造成的质量问题，承包人负责维修，不留隐患，费用由发包人承担；</w:t>
      </w:r>
    </w:p>
    <w:p w14:paraId="0C7F8638">
      <w:pPr>
        <w:spacing w:line="360" w:lineRule="auto"/>
        <w:ind w:firstLine="420" w:firstLineChars="200"/>
        <w:rPr>
          <w:rFonts w:ascii="宋体" w:hAnsi="宋体"/>
          <w:szCs w:val="21"/>
        </w:rPr>
      </w:pPr>
      <w:r>
        <w:rPr>
          <w:rFonts w:hint="eastAsia" w:ascii="宋体" w:hAnsi="宋体"/>
          <w:szCs w:val="21"/>
        </w:rPr>
        <w:t>2.属于施工造成的质量问题，承包人负责维修，不留隐患；</w:t>
      </w:r>
    </w:p>
    <w:p w14:paraId="02E9A920">
      <w:pPr>
        <w:spacing w:line="360" w:lineRule="auto"/>
        <w:ind w:firstLine="420" w:firstLineChars="200"/>
        <w:rPr>
          <w:rFonts w:ascii="宋体" w:hAnsi="宋体"/>
          <w:szCs w:val="21"/>
        </w:rPr>
      </w:pPr>
      <w:r>
        <w:rPr>
          <w:rFonts w:hint="eastAsia" w:ascii="宋体" w:hAnsi="宋体"/>
          <w:szCs w:val="21"/>
        </w:rPr>
        <w:t>3.属于业主使用不当造成的质量问题，配合抢修，费用由发包人承担。</w:t>
      </w:r>
    </w:p>
    <w:p w14:paraId="5D5124D1">
      <w:pPr>
        <w:spacing w:line="360" w:lineRule="auto"/>
        <w:ind w:firstLine="420" w:firstLineChars="200"/>
        <w:rPr>
          <w:rFonts w:ascii="宋体" w:hAnsi="宋体"/>
          <w:szCs w:val="21"/>
        </w:rPr>
      </w:pPr>
      <w:bookmarkStart w:id="1778" w:name="_Toc532375688"/>
      <w:r>
        <w:rPr>
          <w:rFonts w:hint="eastAsia" w:ascii="宋体" w:hAnsi="宋体"/>
          <w:szCs w:val="21"/>
        </w:rPr>
        <w:t>二、质量保修期</w:t>
      </w:r>
      <w:bookmarkEnd w:id="1778"/>
    </w:p>
    <w:p w14:paraId="028F77D7">
      <w:pPr>
        <w:spacing w:line="360" w:lineRule="auto"/>
        <w:ind w:firstLine="420" w:firstLineChars="200"/>
        <w:rPr>
          <w:rFonts w:ascii="宋体" w:hAnsi="宋体"/>
          <w:szCs w:val="21"/>
        </w:rPr>
      </w:pPr>
      <w:r>
        <w:rPr>
          <w:rFonts w:hint="eastAsia" w:ascii="宋体" w:hAnsi="宋体"/>
          <w:szCs w:val="21"/>
        </w:rPr>
        <w:t>根据《建设工程质量管理条例》及有关规定，本工程质量保修期约定如下：</w:t>
      </w:r>
    </w:p>
    <w:p w14:paraId="18CFD2EE">
      <w:pPr>
        <w:spacing w:line="360" w:lineRule="auto"/>
        <w:ind w:firstLine="420" w:firstLineChars="200"/>
        <w:rPr>
          <w:rFonts w:ascii="宋体" w:hAnsi="宋体"/>
          <w:szCs w:val="21"/>
        </w:rPr>
      </w:pPr>
      <w:r>
        <w:rPr>
          <w:rFonts w:hint="eastAsia" w:ascii="宋体" w:hAnsi="宋体"/>
          <w:szCs w:val="21"/>
        </w:rPr>
        <w:t>1.基础设施工程、房屋建筑的地基基础工程和主体结构工程，为设计文件规定的该工程的合理使用年限；</w:t>
      </w:r>
    </w:p>
    <w:p w14:paraId="384F4A4F">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2.屋面防水工程、有防水要求的卫生间、房间和外墙面的防渗漏，为5年；</w:t>
      </w:r>
    </w:p>
    <w:p w14:paraId="45496FA6">
      <w:pPr>
        <w:spacing w:line="360" w:lineRule="auto"/>
        <w:ind w:firstLine="420" w:firstLineChars="200"/>
        <w:rPr>
          <w:rFonts w:ascii="宋体" w:hAnsi="宋体"/>
          <w:szCs w:val="21"/>
        </w:rPr>
      </w:pPr>
      <w:r>
        <w:rPr>
          <w:rFonts w:hint="eastAsia" w:ascii="宋体" w:hAnsi="宋体"/>
          <w:szCs w:val="21"/>
        </w:rPr>
        <w:t>3.供热与供冷系统，为2个采暖期、供冷期；</w:t>
      </w:r>
    </w:p>
    <w:p w14:paraId="1E412558">
      <w:pPr>
        <w:spacing w:line="360" w:lineRule="auto"/>
        <w:ind w:firstLine="420" w:firstLineChars="200"/>
        <w:rPr>
          <w:rFonts w:ascii="宋体" w:hAnsi="宋体"/>
          <w:szCs w:val="21"/>
        </w:rPr>
      </w:pPr>
      <w:r>
        <w:rPr>
          <w:rFonts w:hint="eastAsia" w:ascii="宋体" w:hAnsi="宋体"/>
          <w:szCs w:val="21"/>
        </w:rPr>
        <w:t>4.电气管线、给排水管道、设备安装和装修工程，为2年；</w:t>
      </w:r>
    </w:p>
    <w:p w14:paraId="0AD48867">
      <w:pPr>
        <w:spacing w:line="360" w:lineRule="auto"/>
        <w:ind w:firstLine="420" w:firstLineChars="200"/>
        <w:rPr>
          <w:rFonts w:ascii="宋体" w:hAnsi="宋体"/>
          <w:szCs w:val="21"/>
        </w:rPr>
      </w:pPr>
      <w:r>
        <w:rPr>
          <w:rFonts w:hint="eastAsia" w:ascii="宋体" w:hAnsi="宋体"/>
          <w:szCs w:val="21"/>
        </w:rPr>
        <w:t>5.其他项目保修期限：2年；</w:t>
      </w:r>
      <w:r>
        <w:rPr>
          <w:rFonts w:hint="eastAsia" w:ascii="宋体" w:hAnsi="宋体"/>
          <w:i/>
          <w:szCs w:val="21"/>
        </w:rPr>
        <w:t>[提示：如有不同，根据具体情况修改]</w:t>
      </w:r>
    </w:p>
    <w:p w14:paraId="0B56E551">
      <w:pPr>
        <w:spacing w:line="360" w:lineRule="auto"/>
        <w:ind w:firstLine="420" w:firstLineChars="200"/>
        <w:rPr>
          <w:rFonts w:ascii="宋体" w:hAnsi="宋体"/>
          <w:szCs w:val="21"/>
        </w:rPr>
      </w:pPr>
      <w:r>
        <w:rPr>
          <w:rFonts w:hint="eastAsia" w:ascii="宋体" w:hAnsi="宋体"/>
          <w:szCs w:val="21"/>
        </w:rPr>
        <w:t>建设工程的保修期，自工程竣工验收合格之日起计算。</w:t>
      </w:r>
    </w:p>
    <w:p w14:paraId="6A119A1F">
      <w:pPr>
        <w:spacing w:line="360" w:lineRule="auto"/>
        <w:ind w:firstLine="420" w:firstLineChars="200"/>
        <w:rPr>
          <w:rFonts w:ascii="宋体" w:hAnsi="宋体"/>
          <w:szCs w:val="21"/>
        </w:rPr>
      </w:pPr>
      <w:bookmarkStart w:id="1779" w:name="_Toc532375689"/>
      <w:r>
        <w:rPr>
          <w:rFonts w:hint="eastAsia" w:ascii="宋体" w:hAnsi="宋体"/>
          <w:szCs w:val="21"/>
        </w:rPr>
        <w:t>三、质量保修责任</w:t>
      </w:r>
      <w:bookmarkEnd w:id="1779"/>
    </w:p>
    <w:p w14:paraId="6189D486">
      <w:pPr>
        <w:spacing w:line="360" w:lineRule="auto"/>
        <w:ind w:firstLine="420" w:firstLineChars="200"/>
        <w:rPr>
          <w:rFonts w:ascii="宋体" w:hAnsi="宋体"/>
          <w:szCs w:val="21"/>
        </w:rPr>
      </w:pPr>
      <w:r>
        <w:rPr>
          <w:rFonts w:hint="eastAsia" w:ascii="宋体" w:hAnsi="宋体"/>
          <w:szCs w:val="21"/>
        </w:rPr>
        <w:t>1.属于保修范围、内容的项目，承包人应当在接到保修通知之日起7天内派人保修。承包人不在约定期限内派人保修的，发包人可以委托他人修理。</w:t>
      </w:r>
    </w:p>
    <w:p w14:paraId="6BA7BE17">
      <w:pPr>
        <w:spacing w:line="360" w:lineRule="auto"/>
        <w:ind w:firstLine="420" w:firstLineChars="200"/>
        <w:rPr>
          <w:rFonts w:ascii="宋体" w:hAnsi="宋体"/>
          <w:szCs w:val="21"/>
        </w:rPr>
      </w:pPr>
      <w:r>
        <w:rPr>
          <w:rFonts w:hint="eastAsia" w:ascii="宋体" w:hAnsi="宋体"/>
          <w:szCs w:val="21"/>
        </w:rPr>
        <w:t>2.发生紧急事故需抢修的，承包人在接到事故通知后，应当立即到达事故现场抢修。</w:t>
      </w:r>
    </w:p>
    <w:p w14:paraId="7E9F7F91">
      <w:pPr>
        <w:spacing w:line="360" w:lineRule="auto"/>
        <w:ind w:firstLine="420" w:firstLineChars="200"/>
        <w:rPr>
          <w:rFonts w:ascii="宋体" w:hAnsi="宋体"/>
          <w:szCs w:val="21"/>
        </w:rPr>
      </w:pPr>
      <w:r>
        <w:rPr>
          <w:rFonts w:hint="eastAsia" w:ascii="宋体" w:hAnsi="宋体"/>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7BCB0391">
      <w:pPr>
        <w:spacing w:line="360" w:lineRule="auto"/>
        <w:ind w:firstLine="420" w:firstLineChars="200"/>
        <w:rPr>
          <w:rFonts w:ascii="宋体" w:hAnsi="宋体"/>
          <w:szCs w:val="21"/>
        </w:rPr>
      </w:pPr>
      <w:r>
        <w:rPr>
          <w:rFonts w:hint="eastAsia" w:ascii="宋体" w:hAnsi="宋体"/>
          <w:szCs w:val="21"/>
        </w:rPr>
        <w:t>4.质量保修完成后，由发包人组织验收。</w:t>
      </w:r>
    </w:p>
    <w:p w14:paraId="4B28566E">
      <w:pPr>
        <w:spacing w:line="360" w:lineRule="auto"/>
        <w:ind w:firstLine="420" w:firstLineChars="200"/>
        <w:rPr>
          <w:rFonts w:ascii="宋体" w:hAnsi="宋体"/>
          <w:szCs w:val="21"/>
        </w:rPr>
      </w:pPr>
      <w:bookmarkStart w:id="1780" w:name="_Toc532375690"/>
      <w:r>
        <w:rPr>
          <w:rFonts w:hint="eastAsia" w:ascii="宋体" w:hAnsi="宋体"/>
          <w:szCs w:val="21"/>
        </w:rPr>
        <w:t>四、保修费用</w:t>
      </w:r>
      <w:bookmarkEnd w:id="1780"/>
    </w:p>
    <w:p w14:paraId="08EF7C5C">
      <w:pPr>
        <w:spacing w:line="360" w:lineRule="auto"/>
        <w:ind w:firstLine="420" w:firstLineChars="200"/>
        <w:rPr>
          <w:rFonts w:ascii="宋体" w:hAnsi="宋体"/>
          <w:szCs w:val="21"/>
        </w:rPr>
      </w:pPr>
      <w:r>
        <w:rPr>
          <w:rFonts w:hint="eastAsia" w:ascii="宋体" w:hAnsi="宋体"/>
          <w:szCs w:val="21"/>
        </w:rPr>
        <w:t>保修费用由质量缺陷的责任方承担。</w:t>
      </w:r>
    </w:p>
    <w:p w14:paraId="2E02EC3F">
      <w:pPr>
        <w:spacing w:line="360" w:lineRule="auto"/>
        <w:ind w:firstLine="420" w:firstLineChars="200"/>
        <w:rPr>
          <w:rFonts w:ascii="宋体" w:hAnsi="宋体"/>
          <w:szCs w:val="21"/>
        </w:rPr>
      </w:pPr>
      <w:bookmarkStart w:id="1781" w:name="_Toc532375691"/>
      <w:r>
        <w:rPr>
          <w:rFonts w:hint="eastAsia" w:ascii="宋体" w:hAnsi="宋体"/>
          <w:szCs w:val="21"/>
        </w:rPr>
        <w:t>五、双方约定的其他工程质量保修事项</w:t>
      </w:r>
    </w:p>
    <w:p w14:paraId="36DA6238">
      <w:pPr>
        <w:spacing w:line="360" w:lineRule="auto"/>
        <w:ind w:firstLine="420" w:firstLineChars="200"/>
        <w:rPr>
          <w:rFonts w:ascii="宋体" w:hAnsi="宋体"/>
          <w:szCs w:val="21"/>
        </w:rPr>
      </w:pPr>
      <w:r>
        <w:rPr>
          <w:rFonts w:hint="eastAsia" w:ascii="宋体" w:hAnsi="宋体"/>
          <w:szCs w:val="21"/>
          <w:u w:val="single"/>
        </w:rPr>
        <w:t>按国家相关法律和规定执行</w:t>
      </w:r>
      <w:r>
        <w:rPr>
          <w:rFonts w:hint="eastAsia" w:ascii="宋体" w:hAnsi="宋体"/>
          <w:szCs w:val="21"/>
        </w:rPr>
        <w:t>。</w:t>
      </w:r>
      <w:bookmarkEnd w:id="1781"/>
    </w:p>
    <w:p w14:paraId="2BED1E7D">
      <w:pPr>
        <w:spacing w:line="360" w:lineRule="auto"/>
        <w:ind w:firstLine="420" w:firstLineChars="200"/>
        <w:rPr>
          <w:rFonts w:ascii="宋体" w:hAnsi="宋体"/>
          <w:szCs w:val="21"/>
        </w:rPr>
      </w:pPr>
      <w:r>
        <w:rPr>
          <w:rFonts w:hint="eastAsia" w:ascii="宋体" w:hAnsi="宋体"/>
          <w:szCs w:val="21"/>
        </w:rPr>
        <w:t>本工程质量保修书由发包人、承包人在工程竣工验收前共同签署，作为施工合同附件，其有效期限至保修期满。</w:t>
      </w:r>
    </w:p>
    <w:p w14:paraId="133299AE">
      <w:pPr>
        <w:spacing w:line="360" w:lineRule="auto"/>
        <w:ind w:firstLine="420" w:firstLineChars="200"/>
        <w:rPr>
          <w:rFonts w:ascii="宋体" w:hAnsi="宋体"/>
          <w:szCs w:val="21"/>
        </w:rPr>
      </w:pPr>
      <w:r>
        <w:rPr>
          <w:rFonts w:ascii="宋体" w:hAnsi="宋体"/>
          <w:szCs w:val="21"/>
        </w:rPr>
        <w:t>六</w:t>
      </w:r>
      <w:r>
        <w:rPr>
          <w:rFonts w:hint="eastAsia" w:ascii="宋体" w:hAnsi="宋体"/>
          <w:szCs w:val="21"/>
        </w:rPr>
        <w:t>、</w:t>
      </w:r>
      <w:r>
        <w:rPr>
          <w:rFonts w:ascii="宋体" w:hAnsi="宋体"/>
          <w:szCs w:val="21"/>
        </w:rPr>
        <w:t>本文件生效</w:t>
      </w:r>
    </w:p>
    <w:p w14:paraId="7CBE5A59">
      <w:pPr>
        <w:spacing w:line="360" w:lineRule="auto"/>
        <w:ind w:firstLine="420" w:firstLineChars="200"/>
        <w:rPr>
          <w:rFonts w:ascii="宋体" w:hAnsi="宋体"/>
          <w:szCs w:val="21"/>
        </w:rPr>
      </w:pPr>
      <w:r>
        <w:rPr>
          <w:rFonts w:hint="eastAsia" w:ascii="宋体" w:hAnsi="宋体"/>
          <w:szCs w:val="21"/>
        </w:rPr>
        <w:t>本工程质量保修书经发包人与承包人盖章后生效。</w:t>
      </w:r>
    </w:p>
    <w:p w14:paraId="2A107036">
      <w:pPr>
        <w:pStyle w:val="2"/>
        <w:spacing w:line="360" w:lineRule="auto"/>
        <w:ind w:firstLine="420" w:firstLineChars="200"/>
        <w:rPr>
          <w:rFonts w:ascii="宋体" w:hAnsi="宋体"/>
          <w:szCs w:val="21"/>
        </w:rPr>
      </w:pPr>
    </w:p>
    <w:p w14:paraId="34497FDF">
      <w:pPr>
        <w:spacing w:line="360" w:lineRule="auto"/>
        <w:ind w:firstLine="420" w:firstLineChars="200"/>
        <w:rPr>
          <w:rFonts w:ascii="宋体" w:hAnsi="宋体"/>
          <w:snapToGrid w:val="0"/>
          <w:kern w:val="0"/>
          <w:szCs w:val="21"/>
        </w:rPr>
      </w:pPr>
      <w:r>
        <w:rPr>
          <w:rFonts w:hint="eastAsia" w:ascii="宋体" w:hAnsi="宋体"/>
          <w:snapToGrid w:val="0"/>
          <w:kern w:val="0"/>
          <w:szCs w:val="21"/>
        </w:rPr>
        <w:t>发包人：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592D0F0C">
      <w:pPr>
        <w:spacing w:line="360" w:lineRule="auto"/>
        <w:ind w:firstLine="420" w:firstLineChars="200"/>
        <w:rPr>
          <w:rFonts w:ascii="宋体" w:hAnsi="宋体"/>
          <w:snapToGrid w:val="0"/>
          <w:kern w:val="0"/>
          <w:szCs w:val="21"/>
        </w:rPr>
      </w:pPr>
    </w:p>
    <w:p w14:paraId="75B4DF79">
      <w:pPr>
        <w:spacing w:line="360" w:lineRule="auto"/>
        <w:ind w:firstLine="420" w:firstLineChars="200"/>
        <w:rPr>
          <w:rFonts w:ascii="宋体" w:hAnsi="宋体"/>
          <w:snapToGrid w:val="0"/>
          <w:kern w:val="0"/>
          <w:szCs w:val="21"/>
        </w:rPr>
      </w:pPr>
    </w:p>
    <w:p w14:paraId="61846C55">
      <w:pPr>
        <w:spacing w:line="360" w:lineRule="auto"/>
        <w:ind w:firstLine="420" w:firstLineChars="200"/>
        <w:rPr>
          <w:rFonts w:ascii="宋体" w:hAnsi="宋体"/>
          <w:snapToGrid w:val="0"/>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2CA211D5">
      <w:pPr>
        <w:spacing w:line="360" w:lineRule="auto"/>
        <w:ind w:firstLine="420" w:firstLineChars="200"/>
        <w:rPr>
          <w:rFonts w:ascii="宋体" w:hAnsi="宋体"/>
          <w:snapToGrid w:val="0"/>
          <w:kern w:val="0"/>
          <w:szCs w:val="21"/>
        </w:rPr>
      </w:pPr>
    </w:p>
    <w:p w14:paraId="3CB2AEF5">
      <w:pPr>
        <w:spacing w:line="360" w:lineRule="auto"/>
        <w:ind w:firstLine="420" w:firstLineChars="200"/>
        <w:rPr>
          <w:rFonts w:ascii="宋体" w:hAnsi="宋体"/>
          <w:snapToGrid w:val="0"/>
          <w:kern w:val="0"/>
          <w:szCs w:val="21"/>
        </w:rPr>
      </w:pPr>
    </w:p>
    <w:p w14:paraId="545E71ED">
      <w:pPr>
        <w:spacing w:line="360" w:lineRule="auto"/>
        <w:ind w:firstLine="420" w:firstLineChars="200"/>
        <w:rPr>
          <w:rFonts w:ascii="宋体" w:hAnsi="宋体"/>
          <w:szCs w:val="21"/>
        </w:rPr>
      </w:pPr>
      <w:r>
        <w:rPr>
          <w:rFonts w:hint="eastAsia" w:ascii="宋体" w:hAnsi="宋体"/>
          <w:snapToGrid w:val="0"/>
          <w:kern w:val="0"/>
          <w:szCs w:val="21"/>
        </w:rPr>
        <w:t>承包人：</w:t>
      </w:r>
      <w:r>
        <w:rPr>
          <w:rFonts w:hint="eastAsia" w:ascii="宋体" w:hAnsi="宋体"/>
          <w:snapToGrid w:val="0"/>
          <w:kern w:val="0"/>
          <w:szCs w:val="21"/>
          <w:u w:val="single"/>
        </w:rPr>
        <w:t xml:space="preserve">                                </w:t>
      </w:r>
      <w:r>
        <w:rPr>
          <w:rFonts w:hint="eastAsia" w:ascii="宋体" w:hAnsi="宋体"/>
          <w:snapToGrid w:val="0"/>
          <w:kern w:val="0"/>
          <w:szCs w:val="21"/>
        </w:rPr>
        <w:t>（盖单位公章）</w:t>
      </w:r>
    </w:p>
    <w:p w14:paraId="791D9FBF">
      <w:pPr>
        <w:spacing w:line="360" w:lineRule="auto"/>
        <w:ind w:firstLine="420" w:firstLineChars="200"/>
        <w:rPr>
          <w:rFonts w:ascii="宋体" w:hAnsi="宋体"/>
          <w:snapToGrid w:val="0"/>
          <w:kern w:val="0"/>
          <w:szCs w:val="21"/>
        </w:rPr>
      </w:pPr>
    </w:p>
    <w:p w14:paraId="54409F93">
      <w:pPr>
        <w:spacing w:line="360" w:lineRule="auto"/>
        <w:ind w:firstLine="420" w:firstLineChars="200"/>
        <w:rPr>
          <w:rFonts w:ascii="宋体" w:hAnsi="宋体"/>
          <w:snapToGrid w:val="0"/>
          <w:kern w:val="0"/>
          <w:szCs w:val="21"/>
        </w:rPr>
      </w:pPr>
    </w:p>
    <w:p w14:paraId="1D2A3AC9">
      <w:pPr>
        <w:spacing w:line="360" w:lineRule="auto"/>
        <w:ind w:firstLine="420" w:firstLineChars="200"/>
        <w:rPr>
          <w:rFonts w:ascii="宋体" w:hAnsi="宋体"/>
          <w:bCs/>
          <w:kern w:val="0"/>
          <w:szCs w:val="21"/>
        </w:rPr>
      </w:pPr>
      <w:r>
        <w:rPr>
          <w:rFonts w:hint="eastAsia" w:ascii="宋体" w:hAnsi="宋体"/>
          <w:snapToGrid w:val="0"/>
          <w:kern w:val="0"/>
          <w:szCs w:val="21"/>
        </w:rPr>
        <w:t>法定代表人或其委托代理人：</w:t>
      </w:r>
      <w:r>
        <w:rPr>
          <w:rFonts w:hint="eastAsia" w:ascii="宋体" w:hAnsi="宋体"/>
          <w:snapToGrid w:val="0"/>
          <w:kern w:val="0"/>
          <w:szCs w:val="21"/>
          <w:u w:val="single"/>
        </w:rPr>
        <w:t xml:space="preserve">                </w:t>
      </w:r>
      <w:r>
        <w:rPr>
          <w:rFonts w:hint="eastAsia" w:ascii="宋体" w:hAnsi="宋体"/>
          <w:snapToGrid w:val="0"/>
          <w:kern w:val="0"/>
          <w:szCs w:val="21"/>
        </w:rPr>
        <w:t>（签字）</w:t>
      </w:r>
    </w:p>
    <w:p w14:paraId="7CD1911B">
      <w:pPr>
        <w:spacing w:line="360" w:lineRule="auto"/>
        <w:ind w:firstLine="418" w:firstLineChars="200"/>
        <w:rPr>
          <w:rFonts w:ascii="宋体" w:hAnsi="宋体"/>
          <w:snapToGrid w:val="0"/>
          <w:spacing w:val="1"/>
          <w:w w:val="99"/>
          <w:kern w:val="0"/>
          <w:position w:val="-2"/>
          <w:szCs w:val="21"/>
        </w:rPr>
      </w:pPr>
    </w:p>
    <w:p w14:paraId="7FFA6C97">
      <w:pPr>
        <w:spacing w:line="360" w:lineRule="auto"/>
        <w:ind w:firstLine="418" w:firstLineChars="200"/>
        <w:rPr>
          <w:rFonts w:ascii="宋体" w:hAnsi="宋体"/>
          <w:snapToGrid w:val="0"/>
          <w:spacing w:val="1"/>
          <w:w w:val="99"/>
          <w:kern w:val="0"/>
          <w:position w:val="-2"/>
          <w:szCs w:val="21"/>
        </w:rPr>
      </w:pPr>
    </w:p>
    <w:p w14:paraId="623AEA65">
      <w:pPr>
        <w:spacing w:line="360" w:lineRule="auto"/>
        <w:ind w:firstLine="420" w:firstLineChars="200"/>
        <w:rPr>
          <w:rFonts w:ascii="宋体" w:hAnsi="宋体"/>
          <w:snapToGrid w:val="0"/>
          <w:kern w:val="0"/>
          <w:szCs w:val="21"/>
        </w:rPr>
      </w:pPr>
      <w:r>
        <w:rPr>
          <w:rFonts w:hint="eastAsia" w:ascii="宋体" w:hAnsi="宋体"/>
          <w:snapToGrid w:val="0"/>
          <w:kern w:val="0"/>
          <w:szCs w:val="21"/>
        </w:rPr>
        <w:t>签约时间：</w:t>
      </w:r>
      <w:r>
        <w:rPr>
          <w:rFonts w:hint="eastAsia" w:ascii="宋体" w:hAnsi="宋体"/>
          <w:snapToGrid w:val="0"/>
          <w:kern w:val="0"/>
          <w:szCs w:val="21"/>
          <w:u w:val="single"/>
        </w:rPr>
        <w:t xml:space="preserve">     </w:t>
      </w:r>
      <w:r>
        <w:rPr>
          <w:rFonts w:hint="eastAsia" w:ascii="宋体" w:hAnsi="宋体"/>
          <w:snapToGrid w:val="0"/>
          <w:kern w:val="0"/>
          <w:szCs w:val="21"/>
        </w:rPr>
        <w:t>年</w:t>
      </w:r>
      <w:r>
        <w:rPr>
          <w:rFonts w:hint="eastAsia" w:ascii="宋体" w:hAnsi="宋体"/>
          <w:snapToGrid w:val="0"/>
          <w:kern w:val="0"/>
          <w:szCs w:val="21"/>
          <w:u w:val="single"/>
        </w:rPr>
        <w:t xml:space="preserve">     </w:t>
      </w:r>
      <w:r>
        <w:rPr>
          <w:rFonts w:hint="eastAsia" w:ascii="宋体" w:hAnsi="宋体"/>
          <w:snapToGrid w:val="0"/>
          <w:kern w:val="0"/>
          <w:szCs w:val="21"/>
        </w:rPr>
        <w:t>月</w:t>
      </w:r>
      <w:r>
        <w:rPr>
          <w:rFonts w:hint="eastAsia" w:ascii="宋体" w:hAnsi="宋体"/>
          <w:snapToGrid w:val="0"/>
          <w:kern w:val="0"/>
          <w:szCs w:val="21"/>
          <w:u w:val="single"/>
        </w:rPr>
        <w:t xml:space="preserve">     </w:t>
      </w:r>
      <w:r>
        <w:rPr>
          <w:rFonts w:hint="eastAsia" w:ascii="宋体" w:hAnsi="宋体"/>
          <w:snapToGrid w:val="0"/>
          <w:kern w:val="0"/>
          <w:szCs w:val="21"/>
        </w:rPr>
        <w:t>日</w:t>
      </w:r>
    </w:p>
    <w:p w14:paraId="40FDABF3">
      <w:pPr>
        <w:spacing w:line="480" w:lineRule="auto"/>
        <w:rPr>
          <w:rFonts w:ascii="宋体" w:hAnsi="宋体"/>
          <w:szCs w:val="21"/>
        </w:rPr>
      </w:pPr>
      <w:r>
        <w:rPr>
          <w:rFonts w:hint="eastAsia" w:ascii="宋体" w:hAnsi="宋体"/>
          <w:szCs w:val="21"/>
        </w:rPr>
        <w:br w:type="page"/>
      </w:r>
      <w:r>
        <w:rPr>
          <w:rFonts w:hint="eastAsia" w:ascii="宋体" w:hAnsi="宋体"/>
          <w:szCs w:val="21"/>
        </w:rPr>
        <w:t>附件2：</w:t>
      </w:r>
    </w:p>
    <w:p w14:paraId="3F310D49">
      <w:pPr>
        <w:spacing w:before="156" w:beforeLines="50" w:after="156" w:afterLines="50" w:line="480" w:lineRule="auto"/>
        <w:jc w:val="center"/>
        <w:rPr>
          <w:rFonts w:ascii="宋体" w:hAnsi="宋体"/>
          <w:szCs w:val="21"/>
        </w:rPr>
      </w:pPr>
      <w:r>
        <w:rPr>
          <w:rFonts w:hint="eastAsia" w:ascii="宋体" w:hAnsi="宋体"/>
          <w:szCs w:val="21"/>
        </w:rPr>
        <w:t>主要建设工程文件目录</w:t>
      </w:r>
    </w:p>
    <w:tbl>
      <w:tblPr>
        <w:tblStyle w:val="4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14:paraId="2E941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14:paraId="19ACB7E5">
            <w:pPr>
              <w:spacing w:line="400" w:lineRule="exact"/>
              <w:jc w:val="center"/>
              <w:rPr>
                <w:rFonts w:ascii="宋体" w:hAnsi="宋体"/>
                <w:szCs w:val="21"/>
              </w:rPr>
            </w:pPr>
            <w:r>
              <w:rPr>
                <w:rFonts w:hint="eastAsia" w:ascii="宋体" w:hAnsi="宋体"/>
                <w:szCs w:val="21"/>
              </w:rPr>
              <w:t>文件名称</w:t>
            </w:r>
          </w:p>
        </w:tc>
        <w:tc>
          <w:tcPr>
            <w:tcW w:w="1418" w:type="dxa"/>
            <w:vAlign w:val="center"/>
          </w:tcPr>
          <w:p w14:paraId="218C174A">
            <w:pPr>
              <w:spacing w:line="400" w:lineRule="exact"/>
              <w:jc w:val="center"/>
              <w:rPr>
                <w:rFonts w:ascii="宋体" w:hAnsi="宋体"/>
                <w:szCs w:val="21"/>
              </w:rPr>
            </w:pPr>
            <w:r>
              <w:rPr>
                <w:rFonts w:hint="eastAsia" w:ascii="宋体" w:hAnsi="宋体"/>
                <w:szCs w:val="21"/>
              </w:rPr>
              <w:t>套数</w:t>
            </w:r>
          </w:p>
        </w:tc>
        <w:tc>
          <w:tcPr>
            <w:tcW w:w="1418" w:type="dxa"/>
          </w:tcPr>
          <w:p w14:paraId="3DCEB4C3">
            <w:pPr>
              <w:spacing w:line="400" w:lineRule="exact"/>
              <w:jc w:val="center"/>
              <w:rPr>
                <w:rFonts w:ascii="宋体" w:hAnsi="宋体"/>
                <w:szCs w:val="21"/>
              </w:rPr>
            </w:pPr>
            <w:r>
              <w:rPr>
                <w:rFonts w:hint="eastAsia" w:ascii="宋体" w:hAnsi="宋体"/>
                <w:szCs w:val="21"/>
              </w:rPr>
              <w:t>移交时间</w:t>
            </w:r>
          </w:p>
        </w:tc>
        <w:tc>
          <w:tcPr>
            <w:tcW w:w="2917" w:type="dxa"/>
          </w:tcPr>
          <w:p w14:paraId="3F582179">
            <w:pPr>
              <w:spacing w:line="400" w:lineRule="exact"/>
              <w:jc w:val="center"/>
              <w:rPr>
                <w:rFonts w:ascii="宋体" w:hAnsi="宋体"/>
                <w:szCs w:val="21"/>
              </w:rPr>
            </w:pPr>
            <w:r>
              <w:rPr>
                <w:rFonts w:hint="eastAsia" w:ascii="宋体" w:hAnsi="宋体"/>
                <w:szCs w:val="21"/>
              </w:rPr>
              <w:t>责任人</w:t>
            </w:r>
          </w:p>
        </w:tc>
      </w:tr>
      <w:tr w14:paraId="0867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0E49CA1E">
            <w:pPr>
              <w:spacing w:line="400" w:lineRule="exact"/>
              <w:ind w:firstLine="420" w:firstLineChars="200"/>
              <w:rPr>
                <w:rFonts w:ascii="宋体" w:hAnsi="宋体"/>
                <w:szCs w:val="21"/>
              </w:rPr>
            </w:pPr>
          </w:p>
        </w:tc>
        <w:tc>
          <w:tcPr>
            <w:tcW w:w="1418" w:type="dxa"/>
            <w:vAlign w:val="center"/>
          </w:tcPr>
          <w:p w14:paraId="3295CCA4">
            <w:pPr>
              <w:spacing w:line="400" w:lineRule="exact"/>
              <w:ind w:firstLine="420" w:firstLineChars="200"/>
              <w:rPr>
                <w:rFonts w:ascii="宋体" w:hAnsi="宋体"/>
                <w:szCs w:val="21"/>
              </w:rPr>
            </w:pPr>
          </w:p>
        </w:tc>
        <w:tc>
          <w:tcPr>
            <w:tcW w:w="1418" w:type="dxa"/>
            <w:vAlign w:val="center"/>
          </w:tcPr>
          <w:p w14:paraId="4B8D2D2D">
            <w:pPr>
              <w:spacing w:line="400" w:lineRule="exact"/>
              <w:ind w:firstLine="420" w:firstLineChars="200"/>
              <w:rPr>
                <w:rFonts w:ascii="宋体" w:hAnsi="宋体"/>
                <w:szCs w:val="21"/>
              </w:rPr>
            </w:pPr>
          </w:p>
        </w:tc>
        <w:tc>
          <w:tcPr>
            <w:tcW w:w="2917" w:type="dxa"/>
            <w:vAlign w:val="center"/>
          </w:tcPr>
          <w:p w14:paraId="371A89D1">
            <w:pPr>
              <w:spacing w:line="400" w:lineRule="exact"/>
              <w:ind w:firstLine="420" w:firstLineChars="200"/>
              <w:rPr>
                <w:rFonts w:ascii="宋体" w:hAnsi="宋体"/>
                <w:szCs w:val="21"/>
              </w:rPr>
            </w:pPr>
          </w:p>
        </w:tc>
      </w:tr>
      <w:tr w14:paraId="030A5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A107313">
            <w:pPr>
              <w:spacing w:line="400" w:lineRule="exact"/>
              <w:ind w:firstLine="420" w:firstLineChars="200"/>
              <w:rPr>
                <w:rFonts w:ascii="宋体" w:hAnsi="宋体"/>
                <w:szCs w:val="21"/>
              </w:rPr>
            </w:pPr>
          </w:p>
        </w:tc>
        <w:tc>
          <w:tcPr>
            <w:tcW w:w="1418" w:type="dxa"/>
            <w:vAlign w:val="center"/>
          </w:tcPr>
          <w:p w14:paraId="6E37C0A0">
            <w:pPr>
              <w:spacing w:line="400" w:lineRule="exact"/>
              <w:ind w:firstLine="420" w:firstLineChars="200"/>
              <w:rPr>
                <w:rFonts w:ascii="宋体" w:hAnsi="宋体"/>
                <w:szCs w:val="21"/>
              </w:rPr>
            </w:pPr>
          </w:p>
        </w:tc>
        <w:tc>
          <w:tcPr>
            <w:tcW w:w="1418" w:type="dxa"/>
            <w:vAlign w:val="center"/>
          </w:tcPr>
          <w:p w14:paraId="4FDC27BD">
            <w:pPr>
              <w:spacing w:line="400" w:lineRule="exact"/>
              <w:ind w:firstLine="420" w:firstLineChars="200"/>
              <w:rPr>
                <w:rFonts w:ascii="宋体" w:hAnsi="宋体"/>
                <w:szCs w:val="21"/>
              </w:rPr>
            </w:pPr>
          </w:p>
        </w:tc>
        <w:tc>
          <w:tcPr>
            <w:tcW w:w="2917" w:type="dxa"/>
            <w:vAlign w:val="center"/>
          </w:tcPr>
          <w:p w14:paraId="634594E2">
            <w:pPr>
              <w:spacing w:line="400" w:lineRule="exact"/>
              <w:ind w:firstLine="420" w:firstLineChars="200"/>
              <w:rPr>
                <w:rFonts w:ascii="宋体" w:hAnsi="宋体"/>
                <w:szCs w:val="21"/>
              </w:rPr>
            </w:pPr>
          </w:p>
        </w:tc>
      </w:tr>
      <w:tr w14:paraId="2042E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30C0BD56">
            <w:pPr>
              <w:spacing w:line="400" w:lineRule="exact"/>
              <w:ind w:firstLine="420" w:firstLineChars="200"/>
              <w:rPr>
                <w:rFonts w:ascii="宋体" w:hAnsi="宋体"/>
                <w:szCs w:val="21"/>
              </w:rPr>
            </w:pPr>
          </w:p>
        </w:tc>
        <w:tc>
          <w:tcPr>
            <w:tcW w:w="1418" w:type="dxa"/>
            <w:vAlign w:val="center"/>
          </w:tcPr>
          <w:p w14:paraId="3458F15B">
            <w:pPr>
              <w:spacing w:line="400" w:lineRule="exact"/>
              <w:ind w:firstLine="420" w:firstLineChars="200"/>
              <w:rPr>
                <w:rFonts w:ascii="宋体" w:hAnsi="宋体"/>
                <w:szCs w:val="21"/>
              </w:rPr>
            </w:pPr>
          </w:p>
        </w:tc>
        <w:tc>
          <w:tcPr>
            <w:tcW w:w="1418" w:type="dxa"/>
            <w:vAlign w:val="center"/>
          </w:tcPr>
          <w:p w14:paraId="7849A005">
            <w:pPr>
              <w:spacing w:line="400" w:lineRule="exact"/>
              <w:ind w:firstLine="420" w:firstLineChars="200"/>
              <w:rPr>
                <w:rFonts w:ascii="宋体" w:hAnsi="宋体"/>
                <w:szCs w:val="21"/>
              </w:rPr>
            </w:pPr>
          </w:p>
        </w:tc>
        <w:tc>
          <w:tcPr>
            <w:tcW w:w="2917" w:type="dxa"/>
            <w:vAlign w:val="center"/>
          </w:tcPr>
          <w:p w14:paraId="3233250D">
            <w:pPr>
              <w:spacing w:line="400" w:lineRule="exact"/>
              <w:ind w:firstLine="420" w:firstLineChars="200"/>
              <w:rPr>
                <w:rFonts w:ascii="宋体" w:hAnsi="宋体"/>
                <w:szCs w:val="21"/>
              </w:rPr>
            </w:pPr>
          </w:p>
        </w:tc>
      </w:tr>
      <w:tr w14:paraId="04C8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49B46E7">
            <w:pPr>
              <w:spacing w:line="400" w:lineRule="exact"/>
              <w:ind w:firstLine="420" w:firstLineChars="200"/>
              <w:rPr>
                <w:rFonts w:ascii="宋体" w:hAnsi="宋体"/>
                <w:szCs w:val="21"/>
              </w:rPr>
            </w:pPr>
          </w:p>
        </w:tc>
        <w:tc>
          <w:tcPr>
            <w:tcW w:w="1418" w:type="dxa"/>
            <w:vAlign w:val="center"/>
          </w:tcPr>
          <w:p w14:paraId="77A8831A">
            <w:pPr>
              <w:spacing w:line="400" w:lineRule="exact"/>
              <w:ind w:firstLine="420" w:firstLineChars="200"/>
              <w:rPr>
                <w:rFonts w:ascii="宋体" w:hAnsi="宋体"/>
                <w:szCs w:val="21"/>
              </w:rPr>
            </w:pPr>
          </w:p>
        </w:tc>
        <w:tc>
          <w:tcPr>
            <w:tcW w:w="1418" w:type="dxa"/>
            <w:vAlign w:val="center"/>
          </w:tcPr>
          <w:p w14:paraId="22E0903E">
            <w:pPr>
              <w:spacing w:line="400" w:lineRule="exact"/>
              <w:ind w:firstLine="420" w:firstLineChars="200"/>
              <w:rPr>
                <w:rFonts w:ascii="宋体" w:hAnsi="宋体"/>
                <w:szCs w:val="21"/>
              </w:rPr>
            </w:pPr>
          </w:p>
        </w:tc>
        <w:tc>
          <w:tcPr>
            <w:tcW w:w="2917" w:type="dxa"/>
            <w:vAlign w:val="center"/>
          </w:tcPr>
          <w:p w14:paraId="45A03391">
            <w:pPr>
              <w:spacing w:line="400" w:lineRule="exact"/>
              <w:ind w:firstLine="420" w:firstLineChars="200"/>
              <w:rPr>
                <w:rFonts w:ascii="宋体" w:hAnsi="宋体"/>
                <w:szCs w:val="21"/>
              </w:rPr>
            </w:pPr>
          </w:p>
        </w:tc>
      </w:tr>
      <w:tr w14:paraId="23CE5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22C81ECD">
            <w:pPr>
              <w:spacing w:line="400" w:lineRule="exact"/>
              <w:ind w:firstLine="420" w:firstLineChars="200"/>
              <w:rPr>
                <w:rFonts w:ascii="宋体" w:hAnsi="宋体"/>
                <w:szCs w:val="21"/>
              </w:rPr>
            </w:pPr>
          </w:p>
        </w:tc>
        <w:tc>
          <w:tcPr>
            <w:tcW w:w="1418" w:type="dxa"/>
            <w:vAlign w:val="center"/>
          </w:tcPr>
          <w:p w14:paraId="568E8166">
            <w:pPr>
              <w:spacing w:line="400" w:lineRule="exact"/>
              <w:ind w:firstLine="420" w:firstLineChars="200"/>
              <w:rPr>
                <w:rFonts w:ascii="宋体" w:hAnsi="宋体"/>
                <w:szCs w:val="21"/>
              </w:rPr>
            </w:pPr>
          </w:p>
        </w:tc>
        <w:tc>
          <w:tcPr>
            <w:tcW w:w="1418" w:type="dxa"/>
            <w:vAlign w:val="center"/>
          </w:tcPr>
          <w:p w14:paraId="76DAE9AD">
            <w:pPr>
              <w:spacing w:line="400" w:lineRule="exact"/>
              <w:ind w:firstLine="420" w:firstLineChars="200"/>
              <w:rPr>
                <w:rFonts w:ascii="宋体" w:hAnsi="宋体"/>
                <w:szCs w:val="21"/>
              </w:rPr>
            </w:pPr>
          </w:p>
        </w:tc>
        <w:tc>
          <w:tcPr>
            <w:tcW w:w="2917" w:type="dxa"/>
            <w:vAlign w:val="center"/>
          </w:tcPr>
          <w:p w14:paraId="180838F1">
            <w:pPr>
              <w:spacing w:line="400" w:lineRule="exact"/>
              <w:ind w:firstLine="420" w:firstLineChars="200"/>
              <w:rPr>
                <w:rFonts w:ascii="宋体" w:hAnsi="宋体"/>
                <w:szCs w:val="21"/>
              </w:rPr>
            </w:pPr>
          </w:p>
        </w:tc>
      </w:tr>
      <w:tr w14:paraId="7DF71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677C8EFC">
            <w:pPr>
              <w:spacing w:line="400" w:lineRule="exact"/>
              <w:ind w:firstLine="420" w:firstLineChars="200"/>
              <w:rPr>
                <w:rFonts w:ascii="宋体" w:hAnsi="宋体"/>
                <w:szCs w:val="21"/>
              </w:rPr>
            </w:pPr>
          </w:p>
        </w:tc>
        <w:tc>
          <w:tcPr>
            <w:tcW w:w="1418" w:type="dxa"/>
            <w:vAlign w:val="center"/>
          </w:tcPr>
          <w:p w14:paraId="5CBA8B5E">
            <w:pPr>
              <w:spacing w:line="400" w:lineRule="exact"/>
              <w:ind w:firstLine="420" w:firstLineChars="200"/>
              <w:rPr>
                <w:rFonts w:ascii="宋体" w:hAnsi="宋体"/>
                <w:szCs w:val="21"/>
              </w:rPr>
            </w:pPr>
          </w:p>
        </w:tc>
        <w:tc>
          <w:tcPr>
            <w:tcW w:w="1418" w:type="dxa"/>
            <w:vAlign w:val="center"/>
          </w:tcPr>
          <w:p w14:paraId="2F15140A">
            <w:pPr>
              <w:spacing w:line="400" w:lineRule="exact"/>
              <w:ind w:firstLine="420" w:firstLineChars="200"/>
              <w:rPr>
                <w:rFonts w:ascii="宋体" w:hAnsi="宋体"/>
                <w:szCs w:val="21"/>
              </w:rPr>
            </w:pPr>
          </w:p>
        </w:tc>
        <w:tc>
          <w:tcPr>
            <w:tcW w:w="2917" w:type="dxa"/>
            <w:vAlign w:val="center"/>
          </w:tcPr>
          <w:p w14:paraId="5685BCAF">
            <w:pPr>
              <w:spacing w:line="400" w:lineRule="exact"/>
              <w:ind w:firstLine="420" w:firstLineChars="200"/>
              <w:rPr>
                <w:rFonts w:ascii="宋体" w:hAnsi="宋体"/>
                <w:szCs w:val="21"/>
              </w:rPr>
            </w:pPr>
          </w:p>
        </w:tc>
      </w:tr>
      <w:tr w14:paraId="3FCAE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59C2C1A0">
            <w:pPr>
              <w:spacing w:line="400" w:lineRule="exact"/>
              <w:ind w:firstLine="420" w:firstLineChars="200"/>
              <w:rPr>
                <w:rFonts w:ascii="宋体" w:hAnsi="宋体"/>
                <w:szCs w:val="21"/>
              </w:rPr>
            </w:pPr>
          </w:p>
        </w:tc>
        <w:tc>
          <w:tcPr>
            <w:tcW w:w="1418" w:type="dxa"/>
            <w:vAlign w:val="center"/>
          </w:tcPr>
          <w:p w14:paraId="18FAB638">
            <w:pPr>
              <w:spacing w:line="400" w:lineRule="exact"/>
              <w:ind w:firstLine="420" w:firstLineChars="200"/>
              <w:rPr>
                <w:rFonts w:ascii="宋体" w:hAnsi="宋体"/>
                <w:szCs w:val="21"/>
              </w:rPr>
            </w:pPr>
          </w:p>
        </w:tc>
        <w:tc>
          <w:tcPr>
            <w:tcW w:w="1418" w:type="dxa"/>
            <w:vAlign w:val="center"/>
          </w:tcPr>
          <w:p w14:paraId="7EA6FF99">
            <w:pPr>
              <w:spacing w:line="400" w:lineRule="exact"/>
              <w:ind w:firstLine="420" w:firstLineChars="200"/>
              <w:rPr>
                <w:rFonts w:ascii="宋体" w:hAnsi="宋体"/>
                <w:szCs w:val="21"/>
              </w:rPr>
            </w:pPr>
          </w:p>
        </w:tc>
        <w:tc>
          <w:tcPr>
            <w:tcW w:w="2917" w:type="dxa"/>
            <w:vAlign w:val="center"/>
          </w:tcPr>
          <w:p w14:paraId="6A6EE853">
            <w:pPr>
              <w:spacing w:line="400" w:lineRule="exact"/>
              <w:ind w:firstLine="420" w:firstLineChars="200"/>
              <w:rPr>
                <w:rFonts w:ascii="宋体" w:hAnsi="宋体"/>
                <w:szCs w:val="21"/>
              </w:rPr>
            </w:pPr>
          </w:p>
        </w:tc>
      </w:tr>
      <w:tr w14:paraId="162A4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79001C1D">
            <w:pPr>
              <w:spacing w:line="400" w:lineRule="exact"/>
              <w:ind w:firstLine="420" w:firstLineChars="200"/>
              <w:rPr>
                <w:rFonts w:ascii="宋体" w:hAnsi="宋体"/>
                <w:szCs w:val="21"/>
              </w:rPr>
            </w:pPr>
          </w:p>
        </w:tc>
        <w:tc>
          <w:tcPr>
            <w:tcW w:w="1418" w:type="dxa"/>
            <w:vAlign w:val="center"/>
          </w:tcPr>
          <w:p w14:paraId="0B5A0D22">
            <w:pPr>
              <w:spacing w:line="400" w:lineRule="exact"/>
              <w:ind w:firstLine="420" w:firstLineChars="200"/>
              <w:rPr>
                <w:rFonts w:ascii="宋体" w:hAnsi="宋体"/>
                <w:szCs w:val="21"/>
              </w:rPr>
            </w:pPr>
          </w:p>
        </w:tc>
        <w:tc>
          <w:tcPr>
            <w:tcW w:w="1418" w:type="dxa"/>
            <w:vAlign w:val="center"/>
          </w:tcPr>
          <w:p w14:paraId="2A86D5B7">
            <w:pPr>
              <w:spacing w:line="400" w:lineRule="exact"/>
              <w:ind w:firstLine="420" w:firstLineChars="200"/>
              <w:rPr>
                <w:rFonts w:ascii="宋体" w:hAnsi="宋体"/>
                <w:szCs w:val="21"/>
              </w:rPr>
            </w:pPr>
          </w:p>
        </w:tc>
        <w:tc>
          <w:tcPr>
            <w:tcW w:w="2917" w:type="dxa"/>
            <w:vAlign w:val="center"/>
          </w:tcPr>
          <w:p w14:paraId="3669DA2D">
            <w:pPr>
              <w:spacing w:line="400" w:lineRule="exact"/>
              <w:ind w:firstLine="420" w:firstLineChars="200"/>
              <w:rPr>
                <w:rFonts w:ascii="宋体" w:hAnsi="宋体"/>
                <w:szCs w:val="21"/>
              </w:rPr>
            </w:pPr>
          </w:p>
        </w:tc>
      </w:tr>
      <w:tr w14:paraId="5490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2F2DD441">
            <w:pPr>
              <w:spacing w:line="400" w:lineRule="exact"/>
              <w:ind w:firstLine="420" w:firstLineChars="200"/>
              <w:rPr>
                <w:rFonts w:ascii="宋体" w:hAnsi="宋体"/>
                <w:szCs w:val="21"/>
              </w:rPr>
            </w:pPr>
          </w:p>
        </w:tc>
        <w:tc>
          <w:tcPr>
            <w:tcW w:w="1418" w:type="dxa"/>
          </w:tcPr>
          <w:p w14:paraId="169396E7">
            <w:pPr>
              <w:spacing w:line="400" w:lineRule="exact"/>
              <w:ind w:firstLine="420" w:firstLineChars="200"/>
              <w:rPr>
                <w:rFonts w:ascii="宋体" w:hAnsi="宋体"/>
                <w:szCs w:val="21"/>
              </w:rPr>
            </w:pPr>
          </w:p>
        </w:tc>
        <w:tc>
          <w:tcPr>
            <w:tcW w:w="1418" w:type="dxa"/>
          </w:tcPr>
          <w:p w14:paraId="701858BE">
            <w:pPr>
              <w:spacing w:line="400" w:lineRule="exact"/>
              <w:ind w:firstLine="420" w:firstLineChars="200"/>
              <w:rPr>
                <w:rFonts w:ascii="宋体" w:hAnsi="宋体"/>
                <w:szCs w:val="21"/>
              </w:rPr>
            </w:pPr>
          </w:p>
        </w:tc>
        <w:tc>
          <w:tcPr>
            <w:tcW w:w="2917" w:type="dxa"/>
          </w:tcPr>
          <w:p w14:paraId="7767693E">
            <w:pPr>
              <w:spacing w:line="400" w:lineRule="exact"/>
              <w:ind w:firstLine="420" w:firstLineChars="200"/>
              <w:rPr>
                <w:rFonts w:ascii="宋体" w:hAnsi="宋体"/>
                <w:szCs w:val="21"/>
              </w:rPr>
            </w:pPr>
          </w:p>
        </w:tc>
      </w:tr>
      <w:tr w14:paraId="4A53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14:paraId="1FEE0A8D">
            <w:pPr>
              <w:spacing w:line="400" w:lineRule="exact"/>
              <w:ind w:firstLine="420" w:firstLineChars="200"/>
              <w:rPr>
                <w:rFonts w:ascii="宋体" w:hAnsi="宋体"/>
                <w:szCs w:val="21"/>
              </w:rPr>
            </w:pPr>
          </w:p>
        </w:tc>
        <w:tc>
          <w:tcPr>
            <w:tcW w:w="1418" w:type="dxa"/>
            <w:vAlign w:val="center"/>
          </w:tcPr>
          <w:p w14:paraId="38B6B3D1">
            <w:pPr>
              <w:spacing w:line="400" w:lineRule="exact"/>
              <w:ind w:firstLine="420" w:firstLineChars="200"/>
              <w:rPr>
                <w:rFonts w:ascii="宋体" w:hAnsi="宋体"/>
                <w:szCs w:val="21"/>
              </w:rPr>
            </w:pPr>
          </w:p>
        </w:tc>
        <w:tc>
          <w:tcPr>
            <w:tcW w:w="1418" w:type="dxa"/>
            <w:vAlign w:val="center"/>
          </w:tcPr>
          <w:p w14:paraId="1BD7542C">
            <w:pPr>
              <w:spacing w:line="400" w:lineRule="exact"/>
              <w:ind w:firstLine="420" w:firstLineChars="200"/>
              <w:rPr>
                <w:rFonts w:ascii="宋体" w:hAnsi="宋体"/>
                <w:szCs w:val="21"/>
              </w:rPr>
            </w:pPr>
          </w:p>
        </w:tc>
        <w:tc>
          <w:tcPr>
            <w:tcW w:w="2917" w:type="dxa"/>
            <w:vAlign w:val="center"/>
          </w:tcPr>
          <w:p w14:paraId="3A544F87">
            <w:pPr>
              <w:spacing w:line="400" w:lineRule="exact"/>
              <w:ind w:firstLine="420" w:firstLineChars="200"/>
              <w:rPr>
                <w:rFonts w:ascii="宋体" w:hAnsi="宋体"/>
                <w:szCs w:val="21"/>
              </w:rPr>
            </w:pPr>
          </w:p>
        </w:tc>
      </w:tr>
      <w:tr w14:paraId="6BD0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4C337855">
            <w:pPr>
              <w:spacing w:line="400" w:lineRule="exact"/>
              <w:ind w:firstLine="420" w:firstLineChars="200"/>
              <w:rPr>
                <w:rFonts w:ascii="宋体" w:hAnsi="宋体"/>
                <w:szCs w:val="21"/>
              </w:rPr>
            </w:pPr>
          </w:p>
        </w:tc>
        <w:tc>
          <w:tcPr>
            <w:tcW w:w="1418" w:type="dxa"/>
          </w:tcPr>
          <w:p w14:paraId="3A5D4501">
            <w:pPr>
              <w:spacing w:line="400" w:lineRule="exact"/>
              <w:ind w:firstLine="420" w:firstLineChars="200"/>
              <w:rPr>
                <w:rFonts w:ascii="宋体" w:hAnsi="宋体"/>
                <w:szCs w:val="21"/>
              </w:rPr>
            </w:pPr>
          </w:p>
        </w:tc>
        <w:tc>
          <w:tcPr>
            <w:tcW w:w="1418" w:type="dxa"/>
          </w:tcPr>
          <w:p w14:paraId="521F64E1">
            <w:pPr>
              <w:spacing w:line="400" w:lineRule="exact"/>
              <w:ind w:firstLine="420" w:firstLineChars="200"/>
              <w:rPr>
                <w:rFonts w:ascii="宋体" w:hAnsi="宋体"/>
                <w:szCs w:val="21"/>
              </w:rPr>
            </w:pPr>
          </w:p>
        </w:tc>
        <w:tc>
          <w:tcPr>
            <w:tcW w:w="2917" w:type="dxa"/>
          </w:tcPr>
          <w:p w14:paraId="694ED7E0">
            <w:pPr>
              <w:spacing w:line="400" w:lineRule="exact"/>
              <w:ind w:firstLine="420" w:firstLineChars="200"/>
              <w:rPr>
                <w:rFonts w:ascii="宋体" w:hAnsi="宋体"/>
                <w:szCs w:val="21"/>
              </w:rPr>
            </w:pPr>
          </w:p>
        </w:tc>
      </w:tr>
      <w:tr w14:paraId="4543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060AED2">
            <w:pPr>
              <w:spacing w:line="400" w:lineRule="exact"/>
              <w:ind w:firstLine="420" w:firstLineChars="200"/>
              <w:rPr>
                <w:rFonts w:ascii="宋体" w:hAnsi="宋体"/>
                <w:szCs w:val="21"/>
              </w:rPr>
            </w:pPr>
          </w:p>
        </w:tc>
        <w:tc>
          <w:tcPr>
            <w:tcW w:w="1418" w:type="dxa"/>
          </w:tcPr>
          <w:p w14:paraId="53FF05CF">
            <w:pPr>
              <w:spacing w:line="400" w:lineRule="exact"/>
              <w:ind w:firstLine="420" w:firstLineChars="200"/>
              <w:rPr>
                <w:rFonts w:ascii="宋体" w:hAnsi="宋体"/>
                <w:szCs w:val="21"/>
              </w:rPr>
            </w:pPr>
          </w:p>
        </w:tc>
        <w:tc>
          <w:tcPr>
            <w:tcW w:w="1418" w:type="dxa"/>
          </w:tcPr>
          <w:p w14:paraId="066B68C4">
            <w:pPr>
              <w:spacing w:line="400" w:lineRule="exact"/>
              <w:ind w:firstLine="420" w:firstLineChars="200"/>
              <w:rPr>
                <w:rFonts w:ascii="宋体" w:hAnsi="宋体"/>
                <w:szCs w:val="21"/>
              </w:rPr>
            </w:pPr>
          </w:p>
        </w:tc>
        <w:tc>
          <w:tcPr>
            <w:tcW w:w="2917" w:type="dxa"/>
          </w:tcPr>
          <w:p w14:paraId="025C066B">
            <w:pPr>
              <w:spacing w:line="400" w:lineRule="exact"/>
              <w:ind w:firstLine="420" w:firstLineChars="200"/>
              <w:rPr>
                <w:rFonts w:ascii="宋体" w:hAnsi="宋体"/>
                <w:szCs w:val="21"/>
              </w:rPr>
            </w:pPr>
          </w:p>
        </w:tc>
      </w:tr>
      <w:tr w14:paraId="1A5C2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B101782">
            <w:pPr>
              <w:spacing w:line="400" w:lineRule="exact"/>
              <w:ind w:firstLine="420" w:firstLineChars="200"/>
              <w:rPr>
                <w:rFonts w:ascii="宋体" w:hAnsi="宋体"/>
                <w:szCs w:val="21"/>
              </w:rPr>
            </w:pPr>
          </w:p>
        </w:tc>
        <w:tc>
          <w:tcPr>
            <w:tcW w:w="1418" w:type="dxa"/>
          </w:tcPr>
          <w:p w14:paraId="23A38D0C">
            <w:pPr>
              <w:spacing w:line="400" w:lineRule="exact"/>
              <w:ind w:firstLine="420" w:firstLineChars="200"/>
              <w:rPr>
                <w:rFonts w:ascii="宋体" w:hAnsi="宋体"/>
                <w:szCs w:val="21"/>
              </w:rPr>
            </w:pPr>
          </w:p>
        </w:tc>
        <w:tc>
          <w:tcPr>
            <w:tcW w:w="1418" w:type="dxa"/>
          </w:tcPr>
          <w:p w14:paraId="53F0A0CE">
            <w:pPr>
              <w:spacing w:line="400" w:lineRule="exact"/>
              <w:ind w:firstLine="420" w:firstLineChars="200"/>
              <w:rPr>
                <w:rFonts w:ascii="宋体" w:hAnsi="宋体"/>
                <w:szCs w:val="21"/>
              </w:rPr>
            </w:pPr>
          </w:p>
        </w:tc>
        <w:tc>
          <w:tcPr>
            <w:tcW w:w="2917" w:type="dxa"/>
          </w:tcPr>
          <w:p w14:paraId="5AD736B2">
            <w:pPr>
              <w:spacing w:line="400" w:lineRule="exact"/>
              <w:ind w:firstLine="420" w:firstLineChars="200"/>
              <w:rPr>
                <w:rFonts w:ascii="宋体" w:hAnsi="宋体"/>
                <w:szCs w:val="21"/>
              </w:rPr>
            </w:pPr>
          </w:p>
        </w:tc>
      </w:tr>
      <w:tr w14:paraId="097E1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7225922C">
            <w:pPr>
              <w:spacing w:line="400" w:lineRule="exact"/>
              <w:ind w:firstLine="420" w:firstLineChars="200"/>
              <w:rPr>
                <w:rFonts w:ascii="宋体" w:hAnsi="宋体"/>
                <w:szCs w:val="21"/>
              </w:rPr>
            </w:pPr>
          </w:p>
        </w:tc>
        <w:tc>
          <w:tcPr>
            <w:tcW w:w="1418" w:type="dxa"/>
          </w:tcPr>
          <w:p w14:paraId="0C2241D4">
            <w:pPr>
              <w:spacing w:line="400" w:lineRule="exact"/>
              <w:ind w:firstLine="420" w:firstLineChars="200"/>
              <w:rPr>
                <w:rFonts w:ascii="宋体" w:hAnsi="宋体"/>
                <w:szCs w:val="21"/>
              </w:rPr>
            </w:pPr>
          </w:p>
        </w:tc>
        <w:tc>
          <w:tcPr>
            <w:tcW w:w="1418" w:type="dxa"/>
          </w:tcPr>
          <w:p w14:paraId="5BCEF076">
            <w:pPr>
              <w:spacing w:line="400" w:lineRule="exact"/>
              <w:ind w:firstLine="420" w:firstLineChars="200"/>
              <w:rPr>
                <w:rFonts w:ascii="宋体" w:hAnsi="宋体"/>
                <w:szCs w:val="21"/>
              </w:rPr>
            </w:pPr>
          </w:p>
        </w:tc>
        <w:tc>
          <w:tcPr>
            <w:tcW w:w="2917" w:type="dxa"/>
          </w:tcPr>
          <w:p w14:paraId="35732BEA">
            <w:pPr>
              <w:spacing w:line="400" w:lineRule="exact"/>
              <w:ind w:firstLine="420" w:firstLineChars="200"/>
              <w:rPr>
                <w:rFonts w:ascii="宋体" w:hAnsi="宋体"/>
                <w:szCs w:val="21"/>
              </w:rPr>
            </w:pPr>
          </w:p>
        </w:tc>
      </w:tr>
      <w:tr w14:paraId="04DB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17E2F44">
            <w:pPr>
              <w:spacing w:line="400" w:lineRule="exact"/>
              <w:ind w:firstLine="420" w:firstLineChars="200"/>
              <w:rPr>
                <w:rFonts w:ascii="宋体" w:hAnsi="宋体"/>
                <w:szCs w:val="21"/>
              </w:rPr>
            </w:pPr>
          </w:p>
        </w:tc>
        <w:tc>
          <w:tcPr>
            <w:tcW w:w="1418" w:type="dxa"/>
          </w:tcPr>
          <w:p w14:paraId="3F38A0E2">
            <w:pPr>
              <w:spacing w:line="400" w:lineRule="exact"/>
              <w:ind w:firstLine="420" w:firstLineChars="200"/>
              <w:rPr>
                <w:rFonts w:ascii="宋体" w:hAnsi="宋体"/>
                <w:szCs w:val="21"/>
              </w:rPr>
            </w:pPr>
          </w:p>
        </w:tc>
        <w:tc>
          <w:tcPr>
            <w:tcW w:w="1418" w:type="dxa"/>
          </w:tcPr>
          <w:p w14:paraId="10F74507">
            <w:pPr>
              <w:spacing w:line="400" w:lineRule="exact"/>
              <w:ind w:firstLine="420" w:firstLineChars="200"/>
              <w:rPr>
                <w:rFonts w:ascii="宋体" w:hAnsi="宋体"/>
                <w:szCs w:val="21"/>
              </w:rPr>
            </w:pPr>
          </w:p>
        </w:tc>
        <w:tc>
          <w:tcPr>
            <w:tcW w:w="2917" w:type="dxa"/>
          </w:tcPr>
          <w:p w14:paraId="4D0196A9">
            <w:pPr>
              <w:spacing w:line="400" w:lineRule="exact"/>
              <w:ind w:firstLine="420" w:firstLineChars="200"/>
              <w:rPr>
                <w:rFonts w:ascii="宋体" w:hAnsi="宋体"/>
                <w:szCs w:val="21"/>
              </w:rPr>
            </w:pPr>
          </w:p>
        </w:tc>
      </w:tr>
      <w:tr w14:paraId="3CA8F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14EBE904">
            <w:pPr>
              <w:spacing w:line="400" w:lineRule="exact"/>
              <w:ind w:firstLine="420" w:firstLineChars="200"/>
              <w:rPr>
                <w:rFonts w:ascii="宋体" w:hAnsi="宋体"/>
                <w:szCs w:val="21"/>
              </w:rPr>
            </w:pPr>
          </w:p>
        </w:tc>
        <w:tc>
          <w:tcPr>
            <w:tcW w:w="1418" w:type="dxa"/>
          </w:tcPr>
          <w:p w14:paraId="3B00D5A9">
            <w:pPr>
              <w:spacing w:line="400" w:lineRule="exact"/>
              <w:ind w:firstLine="420" w:firstLineChars="200"/>
              <w:rPr>
                <w:rFonts w:ascii="宋体" w:hAnsi="宋体"/>
                <w:szCs w:val="21"/>
              </w:rPr>
            </w:pPr>
          </w:p>
        </w:tc>
        <w:tc>
          <w:tcPr>
            <w:tcW w:w="1418" w:type="dxa"/>
          </w:tcPr>
          <w:p w14:paraId="1A5D0462">
            <w:pPr>
              <w:spacing w:line="400" w:lineRule="exact"/>
              <w:ind w:firstLine="420" w:firstLineChars="200"/>
              <w:rPr>
                <w:rFonts w:ascii="宋体" w:hAnsi="宋体"/>
                <w:szCs w:val="21"/>
              </w:rPr>
            </w:pPr>
          </w:p>
        </w:tc>
        <w:tc>
          <w:tcPr>
            <w:tcW w:w="2917" w:type="dxa"/>
          </w:tcPr>
          <w:p w14:paraId="08FED029">
            <w:pPr>
              <w:spacing w:line="400" w:lineRule="exact"/>
              <w:ind w:firstLine="420" w:firstLineChars="200"/>
              <w:rPr>
                <w:rFonts w:ascii="宋体" w:hAnsi="宋体"/>
                <w:szCs w:val="21"/>
              </w:rPr>
            </w:pPr>
          </w:p>
        </w:tc>
      </w:tr>
      <w:tr w14:paraId="287C2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39E2C2CC">
            <w:pPr>
              <w:spacing w:line="400" w:lineRule="exact"/>
              <w:ind w:firstLine="420" w:firstLineChars="200"/>
              <w:rPr>
                <w:rFonts w:ascii="宋体" w:hAnsi="宋体"/>
                <w:szCs w:val="21"/>
              </w:rPr>
            </w:pPr>
          </w:p>
        </w:tc>
        <w:tc>
          <w:tcPr>
            <w:tcW w:w="1418" w:type="dxa"/>
          </w:tcPr>
          <w:p w14:paraId="4A8F2846">
            <w:pPr>
              <w:spacing w:line="400" w:lineRule="exact"/>
              <w:ind w:firstLine="420" w:firstLineChars="200"/>
              <w:rPr>
                <w:rFonts w:ascii="宋体" w:hAnsi="宋体"/>
                <w:szCs w:val="21"/>
              </w:rPr>
            </w:pPr>
          </w:p>
        </w:tc>
        <w:tc>
          <w:tcPr>
            <w:tcW w:w="1418" w:type="dxa"/>
          </w:tcPr>
          <w:p w14:paraId="1C5A0A77">
            <w:pPr>
              <w:spacing w:line="400" w:lineRule="exact"/>
              <w:ind w:firstLine="420" w:firstLineChars="200"/>
              <w:rPr>
                <w:rFonts w:ascii="宋体" w:hAnsi="宋体"/>
                <w:szCs w:val="21"/>
              </w:rPr>
            </w:pPr>
          </w:p>
        </w:tc>
        <w:tc>
          <w:tcPr>
            <w:tcW w:w="2917" w:type="dxa"/>
          </w:tcPr>
          <w:p w14:paraId="780916E9">
            <w:pPr>
              <w:spacing w:line="400" w:lineRule="exact"/>
              <w:ind w:firstLine="420" w:firstLineChars="200"/>
              <w:rPr>
                <w:rFonts w:ascii="宋体" w:hAnsi="宋体"/>
                <w:szCs w:val="21"/>
              </w:rPr>
            </w:pPr>
          </w:p>
        </w:tc>
      </w:tr>
      <w:tr w14:paraId="1E23D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14:paraId="6796700E">
            <w:pPr>
              <w:spacing w:line="400" w:lineRule="exact"/>
              <w:ind w:firstLine="420" w:firstLineChars="200"/>
              <w:rPr>
                <w:rFonts w:ascii="宋体" w:hAnsi="宋体"/>
                <w:szCs w:val="21"/>
              </w:rPr>
            </w:pPr>
          </w:p>
        </w:tc>
        <w:tc>
          <w:tcPr>
            <w:tcW w:w="1418" w:type="dxa"/>
          </w:tcPr>
          <w:p w14:paraId="7F70461A">
            <w:pPr>
              <w:spacing w:line="400" w:lineRule="exact"/>
              <w:ind w:firstLine="420" w:firstLineChars="200"/>
              <w:rPr>
                <w:rFonts w:ascii="宋体" w:hAnsi="宋体"/>
                <w:szCs w:val="21"/>
              </w:rPr>
            </w:pPr>
          </w:p>
        </w:tc>
        <w:tc>
          <w:tcPr>
            <w:tcW w:w="1418" w:type="dxa"/>
          </w:tcPr>
          <w:p w14:paraId="5142636D">
            <w:pPr>
              <w:spacing w:line="400" w:lineRule="exact"/>
              <w:ind w:firstLine="420" w:firstLineChars="200"/>
              <w:rPr>
                <w:rFonts w:ascii="宋体" w:hAnsi="宋体"/>
                <w:szCs w:val="21"/>
              </w:rPr>
            </w:pPr>
          </w:p>
        </w:tc>
        <w:tc>
          <w:tcPr>
            <w:tcW w:w="2917" w:type="dxa"/>
          </w:tcPr>
          <w:p w14:paraId="23E9F826">
            <w:pPr>
              <w:spacing w:line="400" w:lineRule="exact"/>
              <w:ind w:firstLine="420" w:firstLineChars="200"/>
              <w:rPr>
                <w:rFonts w:ascii="宋体" w:hAnsi="宋体"/>
                <w:szCs w:val="21"/>
              </w:rPr>
            </w:pPr>
          </w:p>
        </w:tc>
      </w:tr>
    </w:tbl>
    <w:p w14:paraId="35BC4101">
      <w:pPr>
        <w:spacing w:line="360" w:lineRule="auto"/>
        <w:ind w:firstLine="420" w:firstLineChars="200"/>
        <w:rPr>
          <w:rFonts w:ascii="宋体" w:hAnsi="宋体"/>
          <w:szCs w:val="21"/>
        </w:rPr>
      </w:pPr>
    </w:p>
    <w:p w14:paraId="64B7A416">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782" w:name="_Toc296891056"/>
      <w:bookmarkStart w:id="1783" w:name="_Toc296891268"/>
      <w:bookmarkStart w:id="1784" w:name="_Toc296346729"/>
      <w:bookmarkStart w:id="1785" w:name="_Toc296347227"/>
      <w:bookmarkStart w:id="1786" w:name="_Toc296944567"/>
      <w:bookmarkStart w:id="1787" w:name="_Toc296503228"/>
      <w:bookmarkStart w:id="1788" w:name="_Toc267261699"/>
      <w:r>
        <w:rPr>
          <w:rFonts w:hint="eastAsia" w:ascii="宋体" w:hAnsi="宋体"/>
          <w:szCs w:val="21"/>
        </w:rPr>
        <w:t>件3：</w:t>
      </w:r>
    </w:p>
    <w:bookmarkEnd w:id="1782"/>
    <w:bookmarkEnd w:id="1783"/>
    <w:bookmarkEnd w:id="1784"/>
    <w:bookmarkEnd w:id="1785"/>
    <w:bookmarkEnd w:id="1786"/>
    <w:bookmarkEnd w:id="1787"/>
    <w:bookmarkEnd w:id="1788"/>
    <w:p w14:paraId="2A8125FE">
      <w:pPr>
        <w:spacing w:before="156" w:beforeLines="50" w:after="156" w:afterLines="50" w:line="480" w:lineRule="auto"/>
        <w:jc w:val="center"/>
        <w:rPr>
          <w:rFonts w:ascii="宋体" w:hAnsi="宋体"/>
          <w:szCs w:val="21"/>
        </w:rPr>
      </w:pPr>
      <w:r>
        <w:rPr>
          <w:rFonts w:hint="eastAsia" w:ascii="宋体" w:hAnsi="宋体"/>
          <w:szCs w:val="21"/>
        </w:rPr>
        <w:t>承包人项目管理机构组成表</w:t>
      </w:r>
    </w:p>
    <w:tbl>
      <w:tblPr>
        <w:tblStyle w:val="4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14:paraId="159F8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507F04A">
            <w:pPr>
              <w:spacing w:line="400" w:lineRule="exact"/>
              <w:jc w:val="center"/>
              <w:rPr>
                <w:rFonts w:ascii="宋体" w:hAnsi="宋体"/>
                <w:szCs w:val="21"/>
              </w:rPr>
            </w:pPr>
            <w:r>
              <w:rPr>
                <w:rFonts w:hint="eastAsia" w:ascii="宋体" w:hAnsi="宋体"/>
                <w:szCs w:val="21"/>
              </w:rPr>
              <w:t>名    称</w:t>
            </w:r>
          </w:p>
        </w:tc>
        <w:tc>
          <w:tcPr>
            <w:tcW w:w="1418" w:type="dxa"/>
            <w:vAlign w:val="center"/>
          </w:tcPr>
          <w:p w14:paraId="5FCD401E">
            <w:pPr>
              <w:spacing w:line="400" w:lineRule="exact"/>
              <w:jc w:val="center"/>
              <w:rPr>
                <w:rFonts w:ascii="宋体" w:hAnsi="宋体"/>
                <w:szCs w:val="21"/>
              </w:rPr>
            </w:pPr>
            <w:r>
              <w:rPr>
                <w:rFonts w:hint="eastAsia" w:ascii="宋体" w:hAnsi="宋体"/>
                <w:szCs w:val="21"/>
              </w:rPr>
              <w:t>姓名</w:t>
            </w:r>
          </w:p>
        </w:tc>
        <w:tc>
          <w:tcPr>
            <w:tcW w:w="1134" w:type="dxa"/>
            <w:vAlign w:val="center"/>
          </w:tcPr>
          <w:p w14:paraId="6E0ED1F7">
            <w:pPr>
              <w:spacing w:line="400" w:lineRule="exact"/>
              <w:jc w:val="center"/>
              <w:rPr>
                <w:rFonts w:ascii="宋体" w:hAnsi="宋体"/>
                <w:szCs w:val="21"/>
              </w:rPr>
            </w:pPr>
            <w:r>
              <w:rPr>
                <w:rFonts w:hint="eastAsia" w:ascii="宋体" w:hAnsi="宋体"/>
                <w:szCs w:val="21"/>
              </w:rPr>
              <w:t>职务</w:t>
            </w:r>
          </w:p>
        </w:tc>
        <w:tc>
          <w:tcPr>
            <w:tcW w:w="1134" w:type="dxa"/>
            <w:vAlign w:val="center"/>
          </w:tcPr>
          <w:p w14:paraId="539C80A2">
            <w:pPr>
              <w:spacing w:line="400" w:lineRule="exact"/>
              <w:jc w:val="center"/>
              <w:rPr>
                <w:rFonts w:ascii="宋体" w:hAnsi="宋体"/>
                <w:szCs w:val="21"/>
              </w:rPr>
            </w:pPr>
            <w:r>
              <w:rPr>
                <w:rFonts w:hint="eastAsia" w:ascii="宋体" w:hAnsi="宋体"/>
                <w:szCs w:val="21"/>
              </w:rPr>
              <w:t>职称</w:t>
            </w:r>
          </w:p>
        </w:tc>
        <w:tc>
          <w:tcPr>
            <w:tcW w:w="4252" w:type="dxa"/>
            <w:vAlign w:val="center"/>
          </w:tcPr>
          <w:p w14:paraId="2A27D73C">
            <w:pPr>
              <w:spacing w:line="400" w:lineRule="exact"/>
              <w:jc w:val="center"/>
              <w:rPr>
                <w:rFonts w:ascii="宋体" w:hAnsi="宋体"/>
                <w:szCs w:val="21"/>
              </w:rPr>
            </w:pPr>
            <w:r>
              <w:rPr>
                <w:rFonts w:hint="eastAsia" w:ascii="宋体" w:hAnsi="宋体"/>
                <w:szCs w:val="21"/>
              </w:rPr>
              <w:t>主要资历、经验及承担过的项目</w:t>
            </w:r>
          </w:p>
        </w:tc>
      </w:tr>
      <w:tr w14:paraId="3E92C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14:paraId="71E36F21">
            <w:pPr>
              <w:spacing w:line="400" w:lineRule="exact"/>
              <w:rPr>
                <w:rFonts w:ascii="宋体" w:hAnsi="宋体"/>
                <w:szCs w:val="21"/>
              </w:rPr>
            </w:pPr>
            <w:r>
              <w:rPr>
                <w:rFonts w:hint="eastAsia" w:ascii="宋体" w:hAnsi="宋体"/>
                <w:szCs w:val="21"/>
              </w:rPr>
              <w:t>一、总部人员</w:t>
            </w:r>
          </w:p>
        </w:tc>
      </w:tr>
      <w:tr w14:paraId="715BA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729D65F7">
            <w:pPr>
              <w:spacing w:line="400" w:lineRule="exact"/>
              <w:jc w:val="center"/>
              <w:rPr>
                <w:rFonts w:ascii="宋体" w:hAnsi="宋体"/>
                <w:szCs w:val="21"/>
              </w:rPr>
            </w:pPr>
            <w:r>
              <w:rPr>
                <w:rFonts w:hint="eastAsia" w:ascii="宋体" w:hAnsi="宋体"/>
                <w:szCs w:val="21"/>
              </w:rPr>
              <w:t>项目主管</w:t>
            </w:r>
          </w:p>
        </w:tc>
        <w:tc>
          <w:tcPr>
            <w:tcW w:w="1418" w:type="dxa"/>
            <w:vAlign w:val="center"/>
          </w:tcPr>
          <w:p w14:paraId="34C51799">
            <w:pPr>
              <w:spacing w:line="400" w:lineRule="exact"/>
              <w:ind w:firstLine="420" w:firstLineChars="200"/>
              <w:rPr>
                <w:rFonts w:ascii="宋体" w:hAnsi="宋体"/>
                <w:szCs w:val="21"/>
              </w:rPr>
            </w:pPr>
          </w:p>
        </w:tc>
        <w:tc>
          <w:tcPr>
            <w:tcW w:w="1134" w:type="dxa"/>
            <w:vAlign w:val="center"/>
          </w:tcPr>
          <w:p w14:paraId="6E617A4C">
            <w:pPr>
              <w:spacing w:line="400" w:lineRule="exact"/>
              <w:ind w:firstLine="420" w:firstLineChars="200"/>
              <w:rPr>
                <w:rFonts w:ascii="宋体" w:hAnsi="宋体"/>
                <w:szCs w:val="21"/>
              </w:rPr>
            </w:pPr>
          </w:p>
        </w:tc>
        <w:tc>
          <w:tcPr>
            <w:tcW w:w="1134" w:type="dxa"/>
            <w:vAlign w:val="center"/>
          </w:tcPr>
          <w:p w14:paraId="514547F3">
            <w:pPr>
              <w:spacing w:line="400" w:lineRule="exact"/>
              <w:ind w:firstLine="420" w:firstLineChars="200"/>
              <w:rPr>
                <w:rFonts w:ascii="宋体" w:hAnsi="宋体"/>
                <w:szCs w:val="21"/>
              </w:rPr>
            </w:pPr>
          </w:p>
        </w:tc>
        <w:tc>
          <w:tcPr>
            <w:tcW w:w="4252" w:type="dxa"/>
            <w:vAlign w:val="center"/>
          </w:tcPr>
          <w:p w14:paraId="7F1AF410">
            <w:pPr>
              <w:spacing w:line="400" w:lineRule="exact"/>
              <w:ind w:firstLine="420" w:firstLineChars="200"/>
              <w:rPr>
                <w:rFonts w:ascii="宋体" w:hAnsi="宋体"/>
                <w:szCs w:val="21"/>
              </w:rPr>
            </w:pPr>
          </w:p>
        </w:tc>
      </w:tr>
      <w:tr w14:paraId="34C9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ED61682">
            <w:pPr>
              <w:spacing w:line="400" w:lineRule="exact"/>
              <w:jc w:val="center"/>
              <w:rPr>
                <w:rFonts w:ascii="宋体" w:hAnsi="宋体"/>
                <w:szCs w:val="21"/>
              </w:rPr>
            </w:pPr>
          </w:p>
        </w:tc>
        <w:tc>
          <w:tcPr>
            <w:tcW w:w="1418" w:type="dxa"/>
            <w:vAlign w:val="center"/>
          </w:tcPr>
          <w:p w14:paraId="181539A4">
            <w:pPr>
              <w:spacing w:line="400" w:lineRule="exact"/>
              <w:ind w:firstLine="420" w:firstLineChars="200"/>
              <w:rPr>
                <w:rFonts w:ascii="宋体" w:hAnsi="宋体"/>
                <w:szCs w:val="21"/>
              </w:rPr>
            </w:pPr>
          </w:p>
        </w:tc>
        <w:tc>
          <w:tcPr>
            <w:tcW w:w="1134" w:type="dxa"/>
            <w:vAlign w:val="center"/>
          </w:tcPr>
          <w:p w14:paraId="1A6499B8">
            <w:pPr>
              <w:spacing w:line="400" w:lineRule="exact"/>
              <w:ind w:firstLine="420" w:firstLineChars="200"/>
              <w:rPr>
                <w:rFonts w:ascii="宋体" w:hAnsi="宋体"/>
                <w:szCs w:val="21"/>
              </w:rPr>
            </w:pPr>
          </w:p>
        </w:tc>
        <w:tc>
          <w:tcPr>
            <w:tcW w:w="1134" w:type="dxa"/>
            <w:vAlign w:val="center"/>
          </w:tcPr>
          <w:p w14:paraId="4DEAA5A1">
            <w:pPr>
              <w:spacing w:line="400" w:lineRule="exact"/>
              <w:ind w:firstLine="420" w:firstLineChars="200"/>
              <w:rPr>
                <w:rFonts w:ascii="宋体" w:hAnsi="宋体"/>
                <w:szCs w:val="21"/>
              </w:rPr>
            </w:pPr>
          </w:p>
        </w:tc>
        <w:tc>
          <w:tcPr>
            <w:tcW w:w="4252" w:type="dxa"/>
            <w:vAlign w:val="center"/>
          </w:tcPr>
          <w:p w14:paraId="03038B40">
            <w:pPr>
              <w:spacing w:line="400" w:lineRule="exact"/>
              <w:ind w:firstLine="420" w:firstLineChars="200"/>
              <w:rPr>
                <w:rFonts w:ascii="宋体" w:hAnsi="宋体"/>
                <w:szCs w:val="21"/>
              </w:rPr>
            </w:pPr>
          </w:p>
        </w:tc>
      </w:tr>
      <w:tr w14:paraId="56023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E3F3AFF">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54DB213D">
            <w:pPr>
              <w:spacing w:line="400" w:lineRule="exact"/>
              <w:ind w:firstLine="420" w:firstLineChars="200"/>
              <w:rPr>
                <w:rFonts w:ascii="宋体" w:hAnsi="宋体"/>
                <w:szCs w:val="21"/>
              </w:rPr>
            </w:pPr>
          </w:p>
        </w:tc>
        <w:tc>
          <w:tcPr>
            <w:tcW w:w="1134" w:type="dxa"/>
            <w:vAlign w:val="center"/>
          </w:tcPr>
          <w:p w14:paraId="391FD295">
            <w:pPr>
              <w:spacing w:line="400" w:lineRule="exact"/>
              <w:ind w:firstLine="420" w:firstLineChars="200"/>
              <w:rPr>
                <w:rFonts w:ascii="宋体" w:hAnsi="宋体"/>
                <w:szCs w:val="21"/>
              </w:rPr>
            </w:pPr>
          </w:p>
        </w:tc>
        <w:tc>
          <w:tcPr>
            <w:tcW w:w="1134" w:type="dxa"/>
            <w:vAlign w:val="center"/>
          </w:tcPr>
          <w:p w14:paraId="607D4D3E">
            <w:pPr>
              <w:spacing w:line="400" w:lineRule="exact"/>
              <w:ind w:firstLine="420" w:firstLineChars="200"/>
              <w:rPr>
                <w:rFonts w:ascii="宋体" w:hAnsi="宋体"/>
                <w:szCs w:val="21"/>
              </w:rPr>
            </w:pPr>
          </w:p>
        </w:tc>
        <w:tc>
          <w:tcPr>
            <w:tcW w:w="4252" w:type="dxa"/>
            <w:vAlign w:val="center"/>
          </w:tcPr>
          <w:p w14:paraId="44C34156">
            <w:pPr>
              <w:spacing w:line="400" w:lineRule="exact"/>
              <w:ind w:firstLine="420" w:firstLineChars="200"/>
              <w:rPr>
                <w:rFonts w:ascii="宋体" w:hAnsi="宋体"/>
                <w:szCs w:val="21"/>
              </w:rPr>
            </w:pPr>
          </w:p>
        </w:tc>
      </w:tr>
      <w:tr w14:paraId="1A4B6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CE78DB7">
            <w:pPr>
              <w:spacing w:line="400" w:lineRule="exact"/>
              <w:jc w:val="center"/>
              <w:rPr>
                <w:rFonts w:ascii="宋体" w:hAnsi="宋体"/>
                <w:szCs w:val="21"/>
              </w:rPr>
            </w:pPr>
          </w:p>
        </w:tc>
        <w:tc>
          <w:tcPr>
            <w:tcW w:w="1418" w:type="dxa"/>
            <w:vAlign w:val="center"/>
          </w:tcPr>
          <w:p w14:paraId="6131F9E0">
            <w:pPr>
              <w:spacing w:line="400" w:lineRule="exact"/>
              <w:ind w:firstLine="420" w:firstLineChars="200"/>
              <w:rPr>
                <w:rFonts w:ascii="宋体" w:hAnsi="宋体"/>
                <w:szCs w:val="21"/>
              </w:rPr>
            </w:pPr>
          </w:p>
        </w:tc>
        <w:tc>
          <w:tcPr>
            <w:tcW w:w="1134" w:type="dxa"/>
            <w:vAlign w:val="center"/>
          </w:tcPr>
          <w:p w14:paraId="1F0FC68C">
            <w:pPr>
              <w:spacing w:line="400" w:lineRule="exact"/>
              <w:ind w:firstLine="420" w:firstLineChars="200"/>
              <w:rPr>
                <w:rFonts w:ascii="宋体" w:hAnsi="宋体"/>
                <w:szCs w:val="21"/>
              </w:rPr>
            </w:pPr>
          </w:p>
        </w:tc>
        <w:tc>
          <w:tcPr>
            <w:tcW w:w="1134" w:type="dxa"/>
            <w:vAlign w:val="center"/>
          </w:tcPr>
          <w:p w14:paraId="09305177">
            <w:pPr>
              <w:spacing w:line="400" w:lineRule="exact"/>
              <w:ind w:firstLine="420" w:firstLineChars="200"/>
              <w:rPr>
                <w:rFonts w:ascii="宋体" w:hAnsi="宋体"/>
                <w:szCs w:val="21"/>
              </w:rPr>
            </w:pPr>
          </w:p>
        </w:tc>
        <w:tc>
          <w:tcPr>
            <w:tcW w:w="4252" w:type="dxa"/>
            <w:vAlign w:val="center"/>
          </w:tcPr>
          <w:p w14:paraId="75FB9FBB">
            <w:pPr>
              <w:spacing w:line="400" w:lineRule="exact"/>
              <w:ind w:firstLine="420" w:firstLineChars="200"/>
              <w:rPr>
                <w:rFonts w:ascii="宋体" w:hAnsi="宋体"/>
                <w:szCs w:val="21"/>
              </w:rPr>
            </w:pPr>
          </w:p>
        </w:tc>
      </w:tr>
      <w:tr w14:paraId="3CA5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14:paraId="2F86EC00">
            <w:pPr>
              <w:spacing w:line="400" w:lineRule="exact"/>
              <w:rPr>
                <w:rFonts w:ascii="宋体" w:hAnsi="宋体"/>
                <w:szCs w:val="21"/>
              </w:rPr>
            </w:pPr>
            <w:r>
              <w:rPr>
                <w:rFonts w:hint="eastAsia" w:ascii="宋体" w:hAnsi="宋体"/>
                <w:szCs w:val="21"/>
              </w:rPr>
              <w:t>二、现场人员</w:t>
            </w:r>
          </w:p>
        </w:tc>
      </w:tr>
      <w:tr w14:paraId="39E68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5A068C71">
            <w:pPr>
              <w:spacing w:line="400" w:lineRule="exact"/>
              <w:jc w:val="center"/>
              <w:rPr>
                <w:rFonts w:ascii="宋体" w:hAnsi="宋体"/>
                <w:szCs w:val="21"/>
              </w:rPr>
            </w:pPr>
            <w:r>
              <w:rPr>
                <w:rFonts w:hint="eastAsia" w:ascii="宋体" w:hAnsi="宋体"/>
                <w:szCs w:val="21"/>
              </w:rPr>
              <w:t>项目经理</w:t>
            </w:r>
          </w:p>
        </w:tc>
        <w:tc>
          <w:tcPr>
            <w:tcW w:w="1418" w:type="dxa"/>
            <w:vAlign w:val="center"/>
          </w:tcPr>
          <w:p w14:paraId="4F0D35AF">
            <w:pPr>
              <w:spacing w:line="400" w:lineRule="exact"/>
              <w:ind w:firstLine="420" w:firstLineChars="200"/>
              <w:rPr>
                <w:rFonts w:ascii="宋体" w:hAnsi="宋体"/>
                <w:szCs w:val="21"/>
              </w:rPr>
            </w:pPr>
          </w:p>
        </w:tc>
        <w:tc>
          <w:tcPr>
            <w:tcW w:w="1134" w:type="dxa"/>
            <w:vAlign w:val="center"/>
          </w:tcPr>
          <w:p w14:paraId="208DCE3D">
            <w:pPr>
              <w:spacing w:line="400" w:lineRule="exact"/>
              <w:ind w:firstLine="420" w:firstLineChars="200"/>
              <w:rPr>
                <w:rFonts w:ascii="宋体" w:hAnsi="宋体"/>
                <w:szCs w:val="21"/>
              </w:rPr>
            </w:pPr>
          </w:p>
        </w:tc>
        <w:tc>
          <w:tcPr>
            <w:tcW w:w="1134" w:type="dxa"/>
            <w:vAlign w:val="center"/>
          </w:tcPr>
          <w:p w14:paraId="3FED8A07">
            <w:pPr>
              <w:spacing w:line="400" w:lineRule="exact"/>
              <w:ind w:firstLine="420" w:firstLineChars="200"/>
              <w:rPr>
                <w:rFonts w:ascii="宋体" w:hAnsi="宋体"/>
                <w:szCs w:val="21"/>
              </w:rPr>
            </w:pPr>
          </w:p>
        </w:tc>
        <w:tc>
          <w:tcPr>
            <w:tcW w:w="4252" w:type="dxa"/>
            <w:vAlign w:val="center"/>
          </w:tcPr>
          <w:p w14:paraId="21F17954">
            <w:pPr>
              <w:spacing w:line="400" w:lineRule="exact"/>
              <w:ind w:firstLine="420" w:firstLineChars="200"/>
              <w:rPr>
                <w:rFonts w:ascii="宋体" w:hAnsi="宋体"/>
                <w:szCs w:val="21"/>
              </w:rPr>
            </w:pPr>
          </w:p>
        </w:tc>
      </w:tr>
      <w:tr w14:paraId="5C82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8D11A5E">
            <w:pPr>
              <w:spacing w:line="400" w:lineRule="exact"/>
              <w:jc w:val="center"/>
              <w:rPr>
                <w:rFonts w:ascii="宋体" w:hAnsi="宋体"/>
                <w:szCs w:val="21"/>
              </w:rPr>
            </w:pPr>
            <w:r>
              <w:rPr>
                <w:rFonts w:hint="eastAsia" w:ascii="宋体" w:hAnsi="宋体"/>
                <w:szCs w:val="21"/>
              </w:rPr>
              <w:t>项目副经理</w:t>
            </w:r>
          </w:p>
        </w:tc>
        <w:tc>
          <w:tcPr>
            <w:tcW w:w="1418" w:type="dxa"/>
            <w:vAlign w:val="center"/>
          </w:tcPr>
          <w:p w14:paraId="2896D2C2">
            <w:pPr>
              <w:spacing w:line="400" w:lineRule="exact"/>
              <w:ind w:firstLine="420" w:firstLineChars="200"/>
              <w:rPr>
                <w:rFonts w:ascii="宋体" w:hAnsi="宋体"/>
                <w:szCs w:val="21"/>
              </w:rPr>
            </w:pPr>
          </w:p>
        </w:tc>
        <w:tc>
          <w:tcPr>
            <w:tcW w:w="1134" w:type="dxa"/>
            <w:vAlign w:val="center"/>
          </w:tcPr>
          <w:p w14:paraId="6729EEE6">
            <w:pPr>
              <w:spacing w:line="400" w:lineRule="exact"/>
              <w:ind w:firstLine="420" w:firstLineChars="200"/>
              <w:rPr>
                <w:rFonts w:ascii="宋体" w:hAnsi="宋体"/>
                <w:szCs w:val="21"/>
              </w:rPr>
            </w:pPr>
          </w:p>
        </w:tc>
        <w:tc>
          <w:tcPr>
            <w:tcW w:w="1134" w:type="dxa"/>
            <w:vAlign w:val="center"/>
          </w:tcPr>
          <w:p w14:paraId="78C71F74">
            <w:pPr>
              <w:spacing w:line="400" w:lineRule="exact"/>
              <w:ind w:firstLine="420" w:firstLineChars="200"/>
              <w:rPr>
                <w:rFonts w:ascii="宋体" w:hAnsi="宋体"/>
                <w:szCs w:val="21"/>
              </w:rPr>
            </w:pPr>
          </w:p>
        </w:tc>
        <w:tc>
          <w:tcPr>
            <w:tcW w:w="4252" w:type="dxa"/>
            <w:vAlign w:val="center"/>
          </w:tcPr>
          <w:p w14:paraId="1C5374F4">
            <w:pPr>
              <w:spacing w:line="400" w:lineRule="exact"/>
              <w:ind w:firstLine="420" w:firstLineChars="200"/>
              <w:rPr>
                <w:rFonts w:ascii="宋体" w:hAnsi="宋体"/>
                <w:szCs w:val="21"/>
              </w:rPr>
            </w:pPr>
          </w:p>
        </w:tc>
      </w:tr>
      <w:tr w14:paraId="11042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23C2931A">
            <w:pPr>
              <w:spacing w:line="400" w:lineRule="exact"/>
              <w:jc w:val="center"/>
              <w:rPr>
                <w:rFonts w:ascii="宋体" w:hAnsi="宋体"/>
                <w:szCs w:val="21"/>
              </w:rPr>
            </w:pPr>
            <w:r>
              <w:rPr>
                <w:rFonts w:hint="eastAsia" w:ascii="宋体" w:hAnsi="宋体"/>
                <w:szCs w:val="21"/>
              </w:rPr>
              <w:t>技术负责人</w:t>
            </w:r>
          </w:p>
        </w:tc>
        <w:tc>
          <w:tcPr>
            <w:tcW w:w="1418" w:type="dxa"/>
            <w:vAlign w:val="center"/>
          </w:tcPr>
          <w:p w14:paraId="602327EA">
            <w:pPr>
              <w:spacing w:line="400" w:lineRule="exact"/>
              <w:ind w:firstLine="420" w:firstLineChars="200"/>
              <w:rPr>
                <w:rFonts w:ascii="宋体" w:hAnsi="宋体"/>
                <w:szCs w:val="21"/>
              </w:rPr>
            </w:pPr>
          </w:p>
        </w:tc>
        <w:tc>
          <w:tcPr>
            <w:tcW w:w="1134" w:type="dxa"/>
            <w:vAlign w:val="center"/>
          </w:tcPr>
          <w:p w14:paraId="2C906E5C">
            <w:pPr>
              <w:spacing w:line="400" w:lineRule="exact"/>
              <w:ind w:firstLine="420" w:firstLineChars="200"/>
              <w:rPr>
                <w:rFonts w:ascii="宋体" w:hAnsi="宋体"/>
                <w:szCs w:val="21"/>
              </w:rPr>
            </w:pPr>
          </w:p>
        </w:tc>
        <w:tc>
          <w:tcPr>
            <w:tcW w:w="1134" w:type="dxa"/>
            <w:vAlign w:val="center"/>
          </w:tcPr>
          <w:p w14:paraId="2113545C">
            <w:pPr>
              <w:spacing w:line="400" w:lineRule="exact"/>
              <w:ind w:firstLine="420" w:firstLineChars="200"/>
              <w:rPr>
                <w:rFonts w:ascii="宋体" w:hAnsi="宋体"/>
                <w:szCs w:val="21"/>
              </w:rPr>
            </w:pPr>
          </w:p>
        </w:tc>
        <w:tc>
          <w:tcPr>
            <w:tcW w:w="4252" w:type="dxa"/>
            <w:vAlign w:val="center"/>
          </w:tcPr>
          <w:p w14:paraId="4B89016E">
            <w:pPr>
              <w:spacing w:line="400" w:lineRule="exact"/>
              <w:ind w:firstLine="420" w:firstLineChars="200"/>
              <w:rPr>
                <w:rFonts w:ascii="宋体" w:hAnsi="宋体"/>
                <w:szCs w:val="21"/>
              </w:rPr>
            </w:pPr>
          </w:p>
        </w:tc>
      </w:tr>
      <w:tr w14:paraId="324CA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9993B0C">
            <w:pPr>
              <w:spacing w:line="400" w:lineRule="exact"/>
              <w:jc w:val="center"/>
              <w:rPr>
                <w:rFonts w:ascii="宋体" w:hAnsi="宋体"/>
                <w:szCs w:val="21"/>
              </w:rPr>
            </w:pPr>
            <w:r>
              <w:rPr>
                <w:rFonts w:hint="eastAsia" w:ascii="宋体" w:hAnsi="宋体"/>
                <w:szCs w:val="21"/>
              </w:rPr>
              <w:t>造价管理</w:t>
            </w:r>
          </w:p>
        </w:tc>
        <w:tc>
          <w:tcPr>
            <w:tcW w:w="1418" w:type="dxa"/>
            <w:vAlign w:val="center"/>
          </w:tcPr>
          <w:p w14:paraId="18C67F75">
            <w:pPr>
              <w:spacing w:line="400" w:lineRule="exact"/>
              <w:ind w:firstLine="420" w:firstLineChars="200"/>
              <w:rPr>
                <w:rFonts w:ascii="宋体" w:hAnsi="宋体"/>
                <w:szCs w:val="21"/>
              </w:rPr>
            </w:pPr>
          </w:p>
        </w:tc>
        <w:tc>
          <w:tcPr>
            <w:tcW w:w="1134" w:type="dxa"/>
            <w:vAlign w:val="center"/>
          </w:tcPr>
          <w:p w14:paraId="15815DB9">
            <w:pPr>
              <w:spacing w:line="400" w:lineRule="exact"/>
              <w:ind w:firstLine="420" w:firstLineChars="200"/>
              <w:rPr>
                <w:rFonts w:ascii="宋体" w:hAnsi="宋体"/>
                <w:szCs w:val="21"/>
              </w:rPr>
            </w:pPr>
          </w:p>
        </w:tc>
        <w:tc>
          <w:tcPr>
            <w:tcW w:w="1134" w:type="dxa"/>
            <w:vAlign w:val="center"/>
          </w:tcPr>
          <w:p w14:paraId="3949789D">
            <w:pPr>
              <w:spacing w:line="400" w:lineRule="exact"/>
              <w:ind w:firstLine="420" w:firstLineChars="200"/>
              <w:rPr>
                <w:rFonts w:ascii="宋体" w:hAnsi="宋体"/>
                <w:szCs w:val="21"/>
              </w:rPr>
            </w:pPr>
          </w:p>
        </w:tc>
        <w:tc>
          <w:tcPr>
            <w:tcW w:w="4252" w:type="dxa"/>
            <w:vAlign w:val="center"/>
          </w:tcPr>
          <w:p w14:paraId="282F6340">
            <w:pPr>
              <w:spacing w:line="400" w:lineRule="exact"/>
              <w:ind w:firstLine="420" w:firstLineChars="200"/>
              <w:rPr>
                <w:rFonts w:ascii="宋体" w:hAnsi="宋体"/>
                <w:szCs w:val="21"/>
              </w:rPr>
            </w:pPr>
          </w:p>
        </w:tc>
      </w:tr>
      <w:tr w14:paraId="405A7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A91AB17">
            <w:pPr>
              <w:spacing w:line="400" w:lineRule="exact"/>
              <w:jc w:val="center"/>
              <w:rPr>
                <w:rFonts w:ascii="宋体" w:hAnsi="宋体"/>
                <w:szCs w:val="21"/>
              </w:rPr>
            </w:pPr>
            <w:r>
              <w:rPr>
                <w:rFonts w:hint="eastAsia" w:ascii="宋体" w:hAnsi="宋体"/>
                <w:szCs w:val="21"/>
              </w:rPr>
              <w:t>质量管理</w:t>
            </w:r>
          </w:p>
        </w:tc>
        <w:tc>
          <w:tcPr>
            <w:tcW w:w="1418" w:type="dxa"/>
            <w:vAlign w:val="center"/>
          </w:tcPr>
          <w:p w14:paraId="5E57E16D">
            <w:pPr>
              <w:spacing w:line="400" w:lineRule="exact"/>
              <w:ind w:firstLine="420" w:firstLineChars="200"/>
              <w:rPr>
                <w:rFonts w:ascii="宋体" w:hAnsi="宋体"/>
                <w:szCs w:val="21"/>
              </w:rPr>
            </w:pPr>
          </w:p>
        </w:tc>
        <w:tc>
          <w:tcPr>
            <w:tcW w:w="1134" w:type="dxa"/>
            <w:vAlign w:val="center"/>
          </w:tcPr>
          <w:p w14:paraId="64E6ECA1">
            <w:pPr>
              <w:spacing w:line="400" w:lineRule="exact"/>
              <w:ind w:firstLine="420" w:firstLineChars="200"/>
              <w:rPr>
                <w:rFonts w:ascii="宋体" w:hAnsi="宋体"/>
                <w:szCs w:val="21"/>
              </w:rPr>
            </w:pPr>
          </w:p>
        </w:tc>
        <w:tc>
          <w:tcPr>
            <w:tcW w:w="1134" w:type="dxa"/>
            <w:vAlign w:val="center"/>
          </w:tcPr>
          <w:p w14:paraId="7428C8FB">
            <w:pPr>
              <w:spacing w:line="400" w:lineRule="exact"/>
              <w:ind w:firstLine="420" w:firstLineChars="200"/>
              <w:rPr>
                <w:rFonts w:ascii="宋体" w:hAnsi="宋体"/>
                <w:szCs w:val="21"/>
              </w:rPr>
            </w:pPr>
          </w:p>
        </w:tc>
        <w:tc>
          <w:tcPr>
            <w:tcW w:w="4252" w:type="dxa"/>
            <w:vAlign w:val="center"/>
          </w:tcPr>
          <w:p w14:paraId="4142BA78">
            <w:pPr>
              <w:spacing w:line="400" w:lineRule="exact"/>
              <w:ind w:firstLine="420" w:firstLineChars="200"/>
              <w:rPr>
                <w:rFonts w:ascii="宋体" w:hAnsi="宋体"/>
                <w:szCs w:val="21"/>
              </w:rPr>
            </w:pPr>
          </w:p>
        </w:tc>
      </w:tr>
      <w:tr w14:paraId="71095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6F86FF89">
            <w:pPr>
              <w:spacing w:line="400" w:lineRule="exact"/>
              <w:jc w:val="center"/>
              <w:rPr>
                <w:rFonts w:ascii="宋体" w:hAnsi="宋体"/>
                <w:szCs w:val="21"/>
              </w:rPr>
            </w:pPr>
            <w:r>
              <w:rPr>
                <w:rFonts w:hint="eastAsia" w:ascii="宋体" w:hAnsi="宋体"/>
                <w:szCs w:val="21"/>
              </w:rPr>
              <w:t>材料管理</w:t>
            </w:r>
          </w:p>
        </w:tc>
        <w:tc>
          <w:tcPr>
            <w:tcW w:w="1418" w:type="dxa"/>
            <w:vAlign w:val="center"/>
          </w:tcPr>
          <w:p w14:paraId="00F56504">
            <w:pPr>
              <w:spacing w:line="400" w:lineRule="exact"/>
              <w:ind w:firstLine="420" w:firstLineChars="200"/>
              <w:rPr>
                <w:rFonts w:ascii="宋体" w:hAnsi="宋体"/>
                <w:szCs w:val="21"/>
              </w:rPr>
            </w:pPr>
          </w:p>
        </w:tc>
        <w:tc>
          <w:tcPr>
            <w:tcW w:w="1134" w:type="dxa"/>
            <w:vAlign w:val="center"/>
          </w:tcPr>
          <w:p w14:paraId="06FF600D">
            <w:pPr>
              <w:spacing w:line="400" w:lineRule="exact"/>
              <w:ind w:firstLine="420" w:firstLineChars="200"/>
              <w:rPr>
                <w:rFonts w:ascii="宋体" w:hAnsi="宋体"/>
                <w:szCs w:val="21"/>
              </w:rPr>
            </w:pPr>
          </w:p>
        </w:tc>
        <w:tc>
          <w:tcPr>
            <w:tcW w:w="1134" w:type="dxa"/>
            <w:vAlign w:val="center"/>
          </w:tcPr>
          <w:p w14:paraId="3AD6E895">
            <w:pPr>
              <w:spacing w:line="400" w:lineRule="exact"/>
              <w:ind w:firstLine="420" w:firstLineChars="200"/>
              <w:rPr>
                <w:rFonts w:ascii="宋体" w:hAnsi="宋体"/>
                <w:szCs w:val="21"/>
              </w:rPr>
            </w:pPr>
          </w:p>
        </w:tc>
        <w:tc>
          <w:tcPr>
            <w:tcW w:w="4252" w:type="dxa"/>
            <w:vAlign w:val="center"/>
          </w:tcPr>
          <w:p w14:paraId="47E96A67">
            <w:pPr>
              <w:spacing w:line="400" w:lineRule="exact"/>
              <w:ind w:firstLine="420" w:firstLineChars="200"/>
              <w:rPr>
                <w:rFonts w:ascii="宋体" w:hAnsi="宋体"/>
                <w:szCs w:val="21"/>
              </w:rPr>
            </w:pPr>
          </w:p>
        </w:tc>
      </w:tr>
      <w:tr w14:paraId="0C44B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0CABC171">
            <w:pPr>
              <w:spacing w:line="400" w:lineRule="exact"/>
              <w:jc w:val="center"/>
              <w:rPr>
                <w:rFonts w:ascii="宋体" w:hAnsi="宋体"/>
                <w:szCs w:val="21"/>
              </w:rPr>
            </w:pPr>
            <w:r>
              <w:rPr>
                <w:rFonts w:hint="eastAsia" w:ascii="宋体" w:hAnsi="宋体"/>
                <w:szCs w:val="21"/>
              </w:rPr>
              <w:t>计划管理</w:t>
            </w:r>
          </w:p>
        </w:tc>
        <w:tc>
          <w:tcPr>
            <w:tcW w:w="1418" w:type="dxa"/>
            <w:vAlign w:val="center"/>
          </w:tcPr>
          <w:p w14:paraId="326F6331">
            <w:pPr>
              <w:spacing w:line="400" w:lineRule="exact"/>
              <w:ind w:firstLine="420" w:firstLineChars="200"/>
              <w:rPr>
                <w:rFonts w:ascii="宋体" w:hAnsi="宋体"/>
                <w:szCs w:val="21"/>
              </w:rPr>
            </w:pPr>
          </w:p>
        </w:tc>
        <w:tc>
          <w:tcPr>
            <w:tcW w:w="1134" w:type="dxa"/>
            <w:vAlign w:val="center"/>
          </w:tcPr>
          <w:p w14:paraId="2552A665">
            <w:pPr>
              <w:spacing w:line="400" w:lineRule="exact"/>
              <w:ind w:firstLine="420" w:firstLineChars="200"/>
              <w:rPr>
                <w:rFonts w:ascii="宋体" w:hAnsi="宋体"/>
                <w:szCs w:val="21"/>
              </w:rPr>
            </w:pPr>
          </w:p>
        </w:tc>
        <w:tc>
          <w:tcPr>
            <w:tcW w:w="1134" w:type="dxa"/>
            <w:vAlign w:val="center"/>
          </w:tcPr>
          <w:p w14:paraId="27675820">
            <w:pPr>
              <w:spacing w:line="400" w:lineRule="exact"/>
              <w:ind w:firstLine="420" w:firstLineChars="200"/>
              <w:rPr>
                <w:rFonts w:ascii="宋体" w:hAnsi="宋体"/>
                <w:szCs w:val="21"/>
              </w:rPr>
            </w:pPr>
          </w:p>
        </w:tc>
        <w:tc>
          <w:tcPr>
            <w:tcW w:w="4252" w:type="dxa"/>
            <w:vAlign w:val="center"/>
          </w:tcPr>
          <w:p w14:paraId="645BD099">
            <w:pPr>
              <w:spacing w:line="400" w:lineRule="exact"/>
              <w:ind w:firstLine="420" w:firstLineChars="200"/>
              <w:rPr>
                <w:rFonts w:ascii="宋体" w:hAnsi="宋体"/>
                <w:szCs w:val="21"/>
              </w:rPr>
            </w:pPr>
          </w:p>
        </w:tc>
      </w:tr>
      <w:tr w14:paraId="15017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14:paraId="3D4F7EC2">
            <w:pPr>
              <w:spacing w:line="400" w:lineRule="exact"/>
              <w:jc w:val="center"/>
              <w:rPr>
                <w:rFonts w:ascii="宋体" w:hAnsi="宋体"/>
                <w:szCs w:val="21"/>
              </w:rPr>
            </w:pPr>
            <w:r>
              <w:rPr>
                <w:rFonts w:hint="eastAsia" w:ascii="宋体" w:hAnsi="宋体"/>
                <w:szCs w:val="21"/>
              </w:rPr>
              <w:t>安全管理</w:t>
            </w:r>
          </w:p>
        </w:tc>
        <w:tc>
          <w:tcPr>
            <w:tcW w:w="1418" w:type="dxa"/>
            <w:vAlign w:val="center"/>
          </w:tcPr>
          <w:p w14:paraId="57B63D0A">
            <w:pPr>
              <w:spacing w:line="400" w:lineRule="exact"/>
              <w:ind w:firstLine="420" w:firstLineChars="200"/>
              <w:rPr>
                <w:rFonts w:ascii="宋体" w:hAnsi="宋体"/>
                <w:szCs w:val="21"/>
              </w:rPr>
            </w:pPr>
          </w:p>
        </w:tc>
        <w:tc>
          <w:tcPr>
            <w:tcW w:w="1134" w:type="dxa"/>
            <w:vAlign w:val="center"/>
          </w:tcPr>
          <w:p w14:paraId="0871E083">
            <w:pPr>
              <w:spacing w:line="400" w:lineRule="exact"/>
              <w:ind w:firstLine="420" w:firstLineChars="200"/>
              <w:rPr>
                <w:rFonts w:ascii="宋体" w:hAnsi="宋体"/>
                <w:szCs w:val="21"/>
              </w:rPr>
            </w:pPr>
          </w:p>
        </w:tc>
        <w:tc>
          <w:tcPr>
            <w:tcW w:w="1134" w:type="dxa"/>
            <w:vAlign w:val="center"/>
          </w:tcPr>
          <w:p w14:paraId="66C14F82">
            <w:pPr>
              <w:spacing w:line="400" w:lineRule="exact"/>
              <w:ind w:firstLine="420" w:firstLineChars="200"/>
              <w:rPr>
                <w:rFonts w:ascii="宋体" w:hAnsi="宋体"/>
                <w:szCs w:val="21"/>
              </w:rPr>
            </w:pPr>
          </w:p>
        </w:tc>
        <w:tc>
          <w:tcPr>
            <w:tcW w:w="4252" w:type="dxa"/>
            <w:vAlign w:val="center"/>
          </w:tcPr>
          <w:p w14:paraId="4D59E84A">
            <w:pPr>
              <w:spacing w:line="400" w:lineRule="exact"/>
              <w:ind w:firstLine="420" w:firstLineChars="200"/>
              <w:rPr>
                <w:rFonts w:ascii="宋体" w:hAnsi="宋体"/>
                <w:szCs w:val="21"/>
              </w:rPr>
            </w:pPr>
          </w:p>
        </w:tc>
      </w:tr>
      <w:tr w14:paraId="249BE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14:paraId="6B18E47E">
            <w:pPr>
              <w:spacing w:line="400" w:lineRule="exact"/>
              <w:jc w:val="center"/>
              <w:rPr>
                <w:rFonts w:ascii="宋体" w:hAnsi="宋体"/>
                <w:szCs w:val="21"/>
              </w:rPr>
            </w:pPr>
            <w:r>
              <w:rPr>
                <w:rFonts w:hint="eastAsia" w:ascii="宋体" w:hAnsi="宋体"/>
                <w:szCs w:val="21"/>
              </w:rPr>
              <w:t>其他人员</w:t>
            </w:r>
          </w:p>
        </w:tc>
        <w:tc>
          <w:tcPr>
            <w:tcW w:w="1418" w:type="dxa"/>
            <w:vAlign w:val="center"/>
          </w:tcPr>
          <w:p w14:paraId="53FF33D0">
            <w:pPr>
              <w:spacing w:line="400" w:lineRule="exact"/>
              <w:ind w:firstLine="420" w:firstLineChars="200"/>
              <w:rPr>
                <w:rFonts w:ascii="宋体" w:hAnsi="宋体"/>
                <w:szCs w:val="21"/>
              </w:rPr>
            </w:pPr>
          </w:p>
        </w:tc>
        <w:tc>
          <w:tcPr>
            <w:tcW w:w="1134" w:type="dxa"/>
            <w:vAlign w:val="center"/>
          </w:tcPr>
          <w:p w14:paraId="046EF4E2">
            <w:pPr>
              <w:spacing w:line="400" w:lineRule="exact"/>
              <w:ind w:firstLine="420" w:firstLineChars="200"/>
              <w:rPr>
                <w:rFonts w:ascii="宋体" w:hAnsi="宋体"/>
                <w:szCs w:val="21"/>
              </w:rPr>
            </w:pPr>
          </w:p>
        </w:tc>
        <w:tc>
          <w:tcPr>
            <w:tcW w:w="1134" w:type="dxa"/>
            <w:vAlign w:val="center"/>
          </w:tcPr>
          <w:p w14:paraId="7EACBB77">
            <w:pPr>
              <w:spacing w:line="400" w:lineRule="exact"/>
              <w:ind w:firstLine="420" w:firstLineChars="200"/>
              <w:rPr>
                <w:rFonts w:ascii="宋体" w:hAnsi="宋体"/>
                <w:szCs w:val="21"/>
              </w:rPr>
            </w:pPr>
          </w:p>
        </w:tc>
        <w:tc>
          <w:tcPr>
            <w:tcW w:w="4252" w:type="dxa"/>
            <w:vAlign w:val="center"/>
          </w:tcPr>
          <w:p w14:paraId="52BB50D8">
            <w:pPr>
              <w:spacing w:line="400" w:lineRule="exact"/>
              <w:ind w:firstLine="420" w:firstLineChars="200"/>
              <w:rPr>
                <w:rFonts w:ascii="宋体" w:hAnsi="宋体"/>
                <w:szCs w:val="21"/>
              </w:rPr>
            </w:pPr>
          </w:p>
        </w:tc>
      </w:tr>
      <w:tr w14:paraId="463E0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15D96ACB">
            <w:pPr>
              <w:spacing w:line="400" w:lineRule="exact"/>
              <w:ind w:firstLine="420" w:firstLineChars="200"/>
              <w:rPr>
                <w:rFonts w:ascii="宋体" w:hAnsi="宋体"/>
                <w:szCs w:val="21"/>
              </w:rPr>
            </w:pPr>
          </w:p>
        </w:tc>
        <w:tc>
          <w:tcPr>
            <w:tcW w:w="1418" w:type="dxa"/>
            <w:vAlign w:val="center"/>
          </w:tcPr>
          <w:p w14:paraId="5DC4DBDC">
            <w:pPr>
              <w:spacing w:line="400" w:lineRule="exact"/>
              <w:ind w:firstLine="420" w:firstLineChars="200"/>
              <w:rPr>
                <w:rFonts w:ascii="宋体" w:hAnsi="宋体"/>
                <w:szCs w:val="21"/>
              </w:rPr>
            </w:pPr>
          </w:p>
        </w:tc>
        <w:tc>
          <w:tcPr>
            <w:tcW w:w="1134" w:type="dxa"/>
            <w:vAlign w:val="center"/>
          </w:tcPr>
          <w:p w14:paraId="13893D28">
            <w:pPr>
              <w:spacing w:line="400" w:lineRule="exact"/>
              <w:ind w:firstLine="420" w:firstLineChars="200"/>
              <w:rPr>
                <w:rFonts w:ascii="宋体" w:hAnsi="宋体"/>
                <w:szCs w:val="21"/>
              </w:rPr>
            </w:pPr>
          </w:p>
        </w:tc>
        <w:tc>
          <w:tcPr>
            <w:tcW w:w="1134" w:type="dxa"/>
            <w:vAlign w:val="center"/>
          </w:tcPr>
          <w:p w14:paraId="3B9033B8">
            <w:pPr>
              <w:spacing w:line="400" w:lineRule="exact"/>
              <w:ind w:firstLine="420" w:firstLineChars="200"/>
              <w:rPr>
                <w:rFonts w:ascii="宋体" w:hAnsi="宋体"/>
                <w:szCs w:val="21"/>
              </w:rPr>
            </w:pPr>
          </w:p>
        </w:tc>
        <w:tc>
          <w:tcPr>
            <w:tcW w:w="4252" w:type="dxa"/>
            <w:vAlign w:val="center"/>
          </w:tcPr>
          <w:p w14:paraId="1D8B6485">
            <w:pPr>
              <w:spacing w:line="400" w:lineRule="exact"/>
              <w:ind w:firstLine="420" w:firstLineChars="200"/>
              <w:rPr>
                <w:rFonts w:ascii="宋体" w:hAnsi="宋体"/>
                <w:szCs w:val="21"/>
              </w:rPr>
            </w:pPr>
          </w:p>
        </w:tc>
      </w:tr>
      <w:tr w14:paraId="4E6F0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14:paraId="00A83B09">
            <w:pPr>
              <w:spacing w:line="400" w:lineRule="exact"/>
              <w:ind w:firstLine="420" w:firstLineChars="200"/>
              <w:rPr>
                <w:rFonts w:ascii="宋体" w:hAnsi="宋体"/>
                <w:szCs w:val="21"/>
              </w:rPr>
            </w:pPr>
          </w:p>
        </w:tc>
        <w:tc>
          <w:tcPr>
            <w:tcW w:w="1418" w:type="dxa"/>
            <w:vAlign w:val="center"/>
          </w:tcPr>
          <w:p w14:paraId="549EFAD3">
            <w:pPr>
              <w:spacing w:line="400" w:lineRule="exact"/>
              <w:ind w:firstLine="420" w:firstLineChars="200"/>
              <w:rPr>
                <w:rFonts w:ascii="宋体" w:hAnsi="宋体"/>
                <w:szCs w:val="21"/>
              </w:rPr>
            </w:pPr>
          </w:p>
        </w:tc>
        <w:tc>
          <w:tcPr>
            <w:tcW w:w="1134" w:type="dxa"/>
            <w:vAlign w:val="center"/>
          </w:tcPr>
          <w:p w14:paraId="2D545EE6">
            <w:pPr>
              <w:spacing w:line="400" w:lineRule="exact"/>
              <w:ind w:firstLine="420" w:firstLineChars="200"/>
              <w:rPr>
                <w:rFonts w:ascii="宋体" w:hAnsi="宋体"/>
                <w:szCs w:val="21"/>
              </w:rPr>
            </w:pPr>
          </w:p>
        </w:tc>
        <w:tc>
          <w:tcPr>
            <w:tcW w:w="1134" w:type="dxa"/>
            <w:vAlign w:val="center"/>
          </w:tcPr>
          <w:p w14:paraId="77274CB2">
            <w:pPr>
              <w:spacing w:line="400" w:lineRule="exact"/>
              <w:ind w:firstLine="420" w:firstLineChars="200"/>
              <w:rPr>
                <w:rFonts w:ascii="宋体" w:hAnsi="宋体"/>
                <w:szCs w:val="21"/>
              </w:rPr>
            </w:pPr>
          </w:p>
        </w:tc>
        <w:tc>
          <w:tcPr>
            <w:tcW w:w="4252" w:type="dxa"/>
            <w:vAlign w:val="center"/>
          </w:tcPr>
          <w:p w14:paraId="52162367">
            <w:pPr>
              <w:spacing w:line="400" w:lineRule="exact"/>
              <w:ind w:firstLine="420" w:firstLineChars="200"/>
              <w:rPr>
                <w:rFonts w:ascii="宋体" w:hAnsi="宋体"/>
                <w:szCs w:val="21"/>
              </w:rPr>
            </w:pPr>
          </w:p>
        </w:tc>
      </w:tr>
      <w:tr w14:paraId="4FCBB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14:paraId="1A96CCCF">
            <w:pPr>
              <w:spacing w:line="400" w:lineRule="exact"/>
              <w:ind w:firstLine="420" w:firstLineChars="200"/>
              <w:rPr>
                <w:rFonts w:ascii="宋体" w:hAnsi="宋体"/>
                <w:szCs w:val="21"/>
              </w:rPr>
            </w:pPr>
          </w:p>
        </w:tc>
        <w:tc>
          <w:tcPr>
            <w:tcW w:w="1418" w:type="dxa"/>
            <w:vAlign w:val="center"/>
          </w:tcPr>
          <w:p w14:paraId="4D7A3D79">
            <w:pPr>
              <w:spacing w:line="400" w:lineRule="exact"/>
              <w:ind w:firstLine="420" w:firstLineChars="200"/>
              <w:rPr>
                <w:rFonts w:ascii="宋体" w:hAnsi="宋体"/>
                <w:szCs w:val="21"/>
              </w:rPr>
            </w:pPr>
          </w:p>
        </w:tc>
        <w:tc>
          <w:tcPr>
            <w:tcW w:w="1134" w:type="dxa"/>
            <w:vAlign w:val="center"/>
          </w:tcPr>
          <w:p w14:paraId="440BE437">
            <w:pPr>
              <w:spacing w:line="400" w:lineRule="exact"/>
              <w:ind w:firstLine="420" w:firstLineChars="200"/>
              <w:rPr>
                <w:rFonts w:ascii="宋体" w:hAnsi="宋体"/>
                <w:szCs w:val="21"/>
              </w:rPr>
            </w:pPr>
          </w:p>
        </w:tc>
        <w:tc>
          <w:tcPr>
            <w:tcW w:w="1134" w:type="dxa"/>
            <w:vAlign w:val="center"/>
          </w:tcPr>
          <w:p w14:paraId="64853465">
            <w:pPr>
              <w:spacing w:line="400" w:lineRule="exact"/>
              <w:ind w:firstLine="420" w:firstLineChars="200"/>
              <w:rPr>
                <w:rFonts w:ascii="宋体" w:hAnsi="宋体"/>
                <w:szCs w:val="21"/>
              </w:rPr>
            </w:pPr>
          </w:p>
        </w:tc>
        <w:tc>
          <w:tcPr>
            <w:tcW w:w="4252" w:type="dxa"/>
            <w:vAlign w:val="center"/>
          </w:tcPr>
          <w:p w14:paraId="61CE6588">
            <w:pPr>
              <w:spacing w:line="400" w:lineRule="exact"/>
              <w:ind w:firstLine="420" w:firstLineChars="200"/>
              <w:rPr>
                <w:rFonts w:ascii="宋体" w:hAnsi="宋体"/>
                <w:szCs w:val="21"/>
              </w:rPr>
            </w:pPr>
          </w:p>
        </w:tc>
      </w:tr>
      <w:tr w14:paraId="60951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14:paraId="05CC3AE7">
            <w:pPr>
              <w:spacing w:line="400" w:lineRule="exact"/>
              <w:ind w:firstLine="420" w:firstLineChars="200"/>
              <w:rPr>
                <w:rFonts w:ascii="宋体" w:hAnsi="宋体"/>
                <w:szCs w:val="21"/>
              </w:rPr>
            </w:pPr>
          </w:p>
        </w:tc>
        <w:tc>
          <w:tcPr>
            <w:tcW w:w="1418" w:type="dxa"/>
            <w:vAlign w:val="center"/>
          </w:tcPr>
          <w:p w14:paraId="2A36FE86">
            <w:pPr>
              <w:spacing w:line="400" w:lineRule="exact"/>
              <w:ind w:firstLine="420" w:firstLineChars="200"/>
              <w:rPr>
                <w:rFonts w:ascii="宋体" w:hAnsi="宋体"/>
                <w:szCs w:val="21"/>
              </w:rPr>
            </w:pPr>
          </w:p>
        </w:tc>
        <w:tc>
          <w:tcPr>
            <w:tcW w:w="1134" w:type="dxa"/>
            <w:vAlign w:val="center"/>
          </w:tcPr>
          <w:p w14:paraId="573F6D94">
            <w:pPr>
              <w:spacing w:line="400" w:lineRule="exact"/>
              <w:ind w:firstLine="420" w:firstLineChars="200"/>
              <w:rPr>
                <w:rFonts w:ascii="宋体" w:hAnsi="宋体"/>
                <w:szCs w:val="21"/>
              </w:rPr>
            </w:pPr>
          </w:p>
        </w:tc>
        <w:tc>
          <w:tcPr>
            <w:tcW w:w="1134" w:type="dxa"/>
            <w:vAlign w:val="center"/>
          </w:tcPr>
          <w:p w14:paraId="50DC475F">
            <w:pPr>
              <w:spacing w:line="400" w:lineRule="exact"/>
              <w:ind w:firstLine="420" w:firstLineChars="200"/>
              <w:rPr>
                <w:rFonts w:ascii="宋体" w:hAnsi="宋体"/>
                <w:szCs w:val="21"/>
              </w:rPr>
            </w:pPr>
          </w:p>
        </w:tc>
        <w:tc>
          <w:tcPr>
            <w:tcW w:w="4252" w:type="dxa"/>
            <w:vAlign w:val="center"/>
          </w:tcPr>
          <w:p w14:paraId="24A2CA50">
            <w:pPr>
              <w:spacing w:line="400" w:lineRule="exact"/>
              <w:ind w:firstLine="420" w:firstLineChars="200"/>
              <w:rPr>
                <w:rFonts w:ascii="宋体" w:hAnsi="宋体"/>
                <w:szCs w:val="21"/>
              </w:rPr>
            </w:pPr>
          </w:p>
        </w:tc>
      </w:tr>
    </w:tbl>
    <w:p w14:paraId="260F9192">
      <w:pPr>
        <w:spacing w:line="480" w:lineRule="auto"/>
        <w:rPr>
          <w:rFonts w:ascii="宋体" w:hAnsi="宋体"/>
          <w:szCs w:val="21"/>
        </w:rPr>
      </w:pPr>
      <w:r>
        <w:rPr>
          <w:rFonts w:hint="eastAsia" w:ascii="宋体" w:hAnsi="宋体"/>
          <w:szCs w:val="21"/>
        </w:rPr>
        <w:br w:type="page"/>
      </w:r>
      <w:bookmarkStart w:id="1789" w:name="_Toc267261701"/>
      <w:r>
        <w:rPr>
          <w:rFonts w:hint="eastAsia" w:ascii="宋体" w:hAnsi="宋体"/>
          <w:szCs w:val="21"/>
        </w:rPr>
        <w:t>附</w:t>
      </w:r>
      <w:bookmarkStart w:id="1790" w:name="_Toc296944570"/>
      <w:bookmarkStart w:id="1791" w:name="_Toc296891271"/>
      <w:bookmarkStart w:id="1792" w:name="_Toc296891059"/>
      <w:bookmarkStart w:id="1793" w:name="_Toc296347230"/>
      <w:bookmarkStart w:id="1794" w:name="_Toc296346732"/>
      <w:bookmarkStart w:id="1795" w:name="_Toc296503231"/>
      <w:r>
        <w:rPr>
          <w:rFonts w:hint="eastAsia" w:ascii="宋体" w:hAnsi="宋体"/>
          <w:szCs w:val="21"/>
        </w:rPr>
        <w:t>件4：</w:t>
      </w:r>
    </w:p>
    <w:bookmarkEnd w:id="1789"/>
    <w:bookmarkEnd w:id="1790"/>
    <w:bookmarkEnd w:id="1791"/>
    <w:bookmarkEnd w:id="1792"/>
    <w:bookmarkEnd w:id="1793"/>
    <w:bookmarkEnd w:id="1794"/>
    <w:bookmarkEnd w:id="1795"/>
    <w:p w14:paraId="4FBED6FB">
      <w:pPr>
        <w:spacing w:before="156" w:beforeLines="50" w:after="156" w:afterLines="50" w:line="480" w:lineRule="auto"/>
        <w:jc w:val="center"/>
        <w:rPr>
          <w:rFonts w:ascii="宋体" w:hAnsi="宋体"/>
          <w:szCs w:val="21"/>
        </w:rPr>
      </w:pPr>
      <w:r>
        <w:rPr>
          <w:rFonts w:hint="eastAsia" w:ascii="宋体" w:hAnsi="宋体"/>
          <w:szCs w:val="21"/>
        </w:rPr>
        <w:t>履约担保（如有）</w:t>
      </w:r>
    </w:p>
    <w:p w14:paraId="3716F4BE">
      <w:pPr>
        <w:spacing w:line="360" w:lineRule="auto"/>
        <w:ind w:firstLine="420" w:firstLineChars="200"/>
        <w:rPr>
          <w:rFonts w:ascii="宋体" w:hAnsi="宋体"/>
          <w:szCs w:val="21"/>
        </w:rPr>
      </w:pP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（发包人名称）：</w:t>
      </w:r>
    </w:p>
    <w:p w14:paraId="11CBE3BA">
      <w:pPr>
        <w:spacing w:line="360" w:lineRule="auto"/>
        <w:ind w:firstLine="420" w:firstLineChars="200"/>
        <w:rPr>
          <w:rFonts w:ascii="宋体" w:hAnsi="宋体"/>
          <w:szCs w:val="21"/>
        </w:rPr>
      </w:pPr>
    </w:p>
    <w:p w14:paraId="293DCFF1">
      <w:pPr>
        <w:spacing w:line="360" w:lineRule="auto"/>
        <w:ind w:firstLine="420" w:firstLineChars="200"/>
        <w:rPr>
          <w:rFonts w:ascii="宋体" w:hAnsi="宋体"/>
          <w:szCs w:val="21"/>
        </w:rPr>
      </w:pPr>
      <w:r>
        <w:rPr>
          <w:rFonts w:hint="eastAsia" w:ascii="宋体" w:hAnsi="宋体"/>
          <w:szCs w:val="21"/>
        </w:rPr>
        <w:t>鉴于</w:t>
      </w:r>
      <w:r>
        <w:rPr>
          <w:rFonts w:hint="eastAsia" w:ascii="宋体" w:hAnsi="宋体"/>
          <w:szCs w:val="21"/>
          <w:u w:val="single"/>
        </w:rPr>
        <w:t xml:space="preserve">                </w:t>
      </w:r>
      <w:r>
        <w:rPr>
          <w:rFonts w:hint="eastAsia" w:ascii="宋体" w:hAnsi="宋体"/>
          <w:szCs w:val="21"/>
        </w:rPr>
        <w:t>（发包人名称，以下简称“发包人”）与</w:t>
      </w:r>
    </w:p>
    <w:p w14:paraId="7EFE9A95">
      <w:pPr>
        <w:spacing w:line="360" w:lineRule="auto"/>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（承包人名称）（以下称“承包人”）于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日就</w:t>
      </w:r>
      <w:r>
        <w:rPr>
          <w:rFonts w:hint="eastAsia" w:ascii="宋体" w:hAnsi="宋体"/>
          <w:szCs w:val="21"/>
          <w:u w:val="single"/>
        </w:rPr>
        <w:t xml:space="preserve">                         </w:t>
      </w:r>
      <w:r>
        <w:rPr>
          <w:rFonts w:hint="eastAsia" w:ascii="宋体" w:hAnsi="宋体"/>
          <w:szCs w:val="21"/>
        </w:rPr>
        <w:t>（工程名称）施工及有关事项协商一致共同签订《建设工程施工合同》。我方愿意无条件地、不可撤销地就承包人履行与你方签订的合同，向你方提供连带责任担保。</w:t>
      </w:r>
    </w:p>
    <w:p w14:paraId="588DA754">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43D1EF40">
      <w:pPr>
        <w:spacing w:line="360" w:lineRule="auto"/>
        <w:ind w:firstLine="420" w:firstLineChars="200"/>
        <w:rPr>
          <w:rFonts w:ascii="宋体" w:hAnsi="宋体"/>
          <w:szCs w:val="21"/>
        </w:rPr>
      </w:pPr>
      <w:r>
        <w:rPr>
          <w:rFonts w:hint="eastAsia" w:ascii="宋体" w:hAnsi="宋体"/>
          <w:szCs w:val="21"/>
        </w:rPr>
        <w:t>2. 担保有效期：</w:t>
      </w:r>
      <w:r>
        <w:rPr>
          <w:rFonts w:hint="eastAsia" w:ascii="宋体" w:hAnsi="宋体"/>
          <w:szCs w:val="21"/>
          <w:u w:val="single"/>
        </w:rPr>
        <w:t>自</w:t>
      </w:r>
      <w:r>
        <w:rPr>
          <w:rStyle w:val="54"/>
          <w:rFonts w:hint="eastAsia"/>
        </w:rPr>
        <w:t>我</w:t>
      </w:r>
      <w:r>
        <w:rPr>
          <w:rFonts w:hint="eastAsia" w:ascii="宋体" w:hAnsi="宋体"/>
          <w:szCs w:val="21"/>
          <w:u w:val="single"/>
        </w:rPr>
        <w:t>方法定代表人（或其委托代理人）签字并加盖公章之日起至你方签发或应签发工程接收证书之日止</w:t>
      </w:r>
      <w:r>
        <w:rPr>
          <w:rFonts w:hint="eastAsia" w:ascii="宋体" w:hAnsi="宋体"/>
          <w:szCs w:val="21"/>
        </w:rPr>
        <w:t>。</w:t>
      </w:r>
    </w:p>
    <w:p w14:paraId="6FB8D017">
      <w:pPr>
        <w:spacing w:line="360" w:lineRule="auto"/>
        <w:ind w:firstLine="420" w:firstLineChars="200"/>
        <w:rPr>
          <w:rFonts w:ascii="宋体" w:hAnsi="宋体"/>
          <w:szCs w:val="21"/>
        </w:rPr>
      </w:pPr>
      <w:r>
        <w:rPr>
          <w:rFonts w:hint="eastAsia" w:ascii="宋体" w:hAnsi="宋体"/>
          <w:szCs w:val="21"/>
        </w:rPr>
        <w:t>3. 在本担保有效期内，因承包人违反合同约定的义务给你方造成经济损失时，我方在收到你方以书面形式提出的在担保金额内的赔偿要求后，在7天内无条件支付。</w:t>
      </w:r>
    </w:p>
    <w:p w14:paraId="48BB5B29">
      <w:pPr>
        <w:spacing w:line="360" w:lineRule="auto"/>
        <w:ind w:firstLine="420" w:firstLineChars="200"/>
        <w:rPr>
          <w:rFonts w:ascii="宋体" w:hAnsi="宋体"/>
          <w:szCs w:val="21"/>
        </w:rPr>
      </w:pPr>
      <w:r>
        <w:rPr>
          <w:rFonts w:hint="eastAsia" w:ascii="宋体" w:hAnsi="宋体"/>
          <w:szCs w:val="21"/>
        </w:rPr>
        <w:t>4. 你方和承包人按合同约定变更合同时，我方承担本担保规定的义务不变。</w:t>
      </w:r>
    </w:p>
    <w:p w14:paraId="45ABD205">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0DA59996">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73419037">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9D1F71C">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33B4309C">
      <w:pPr>
        <w:spacing w:line="360" w:lineRule="auto"/>
        <w:rPr>
          <w:rFonts w:ascii="宋体" w:hAnsi="宋体"/>
          <w:szCs w:val="21"/>
        </w:rPr>
      </w:pPr>
    </w:p>
    <w:p w14:paraId="76A74393">
      <w:pPr>
        <w:spacing w:line="360" w:lineRule="auto"/>
        <w:rPr>
          <w:rFonts w:ascii="宋体" w:hAnsi="宋体"/>
          <w:szCs w:val="21"/>
        </w:rPr>
      </w:pPr>
    </w:p>
    <w:p w14:paraId="786209E6">
      <w:pPr>
        <w:spacing w:line="360" w:lineRule="auto"/>
        <w:ind w:firstLine="420" w:firstLineChars="200"/>
        <w:rPr>
          <w:rFonts w:ascii="宋体" w:hAnsi="宋体"/>
          <w:szCs w:val="21"/>
        </w:rPr>
      </w:pPr>
      <w:r>
        <w:rPr>
          <w:rFonts w:hint="eastAsia" w:ascii="宋体" w:hAnsi="宋体"/>
          <w:szCs w:val="21"/>
        </w:rPr>
        <w:t>担 保 人：</w:t>
      </w:r>
      <w:r>
        <w:rPr>
          <w:rFonts w:hint="eastAsia" w:ascii="宋体" w:hAnsi="宋体"/>
          <w:szCs w:val="21"/>
          <w:u w:val="single"/>
        </w:rPr>
        <w:t xml:space="preserve">                           </w:t>
      </w:r>
      <w:r>
        <w:rPr>
          <w:rFonts w:hint="eastAsia" w:ascii="宋体" w:hAnsi="宋体"/>
          <w:szCs w:val="21"/>
        </w:rPr>
        <w:t>（盖单位章）</w:t>
      </w:r>
    </w:p>
    <w:p w14:paraId="297211A8">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1CE8D9AB">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20759729">
      <w:pPr>
        <w:spacing w:line="360" w:lineRule="auto"/>
        <w:ind w:firstLine="420" w:firstLineChars="200"/>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584F20A2">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 xml:space="preserve">                                      </w:t>
      </w:r>
    </w:p>
    <w:p w14:paraId="688C5EB6">
      <w:pPr>
        <w:spacing w:line="360" w:lineRule="auto"/>
        <w:ind w:firstLine="420" w:firstLineChars="200"/>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627B748C">
      <w:pPr>
        <w:spacing w:line="360" w:lineRule="auto"/>
        <w:ind w:right="840"/>
        <w:rPr>
          <w:rFonts w:ascii="宋体" w:hAnsi="宋体"/>
          <w:szCs w:val="21"/>
          <w:u w:val="single"/>
        </w:rPr>
      </w:pPr>
    </w:p>
    <w:p w14:paraId="736F83F2">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1ECCCFD">
      <w:pPr>
        <w:widowControl/>
        <w:spacing w:line="360" w:lineRule="auto"/>
        <w:jc w:val="left"/>
        <w:rPr>
          <w:rFonts w:ascii="宋体" w:hAnsi="宋体"/>
          <w:szCs w:val="21"/>
        </w:rPr>
      </w:pPr>
      <w:r>
        <w:rPr>
          <w:rFonts w:ascii="宋体" w:hAnsi="宋体"/>
          <w:szCs w:val="21"/>
        </w:rPr>
        <w:br w:type="page"/>
      </w:r>
    </w:p>
    <w:p w14:paraId="27F78F99">
      <w:pPr>
        <w:spacing w:line="480" w:lineRule="auto"/>
        <w:rPr>
          <w:rFonts w:ascii="宋体" w:hAnsi="宋体"/>
          <w:szCs w:val="21"/>
        </w:rPr>
      </w:pPr>
      <w:r>
        <w:rPr>
          <w:rFonts w:hint="eastAsia" w:ascii="宋体" w:hAnsi="宋体"/>
          <w:szCs w:val="21"/>
        </w:rPr>
        <w:t>附</w:t>
      </w:r>
      <w:bookmarkStart w:id="1796" w:name="_Toc296503232"/>
      <w:bookmarkStart w:id="1797" w:name="_Toc296891060"/>
      <w:bookmarkStart w:id="1798" w:name="_Toc267261702"/>
      <w:bookmarkStart w:id="1799" w:name="_Toc296347231"/>
      <w:bookmarkStart w:id="1800" w:name="_Toc296891272"/>
      <w:bookmarkStart w:id="1801" w:name="_Toc296944571"/>
      <w:bookmarkStart w:id="1802" w:name="_Toc296346733"/>
      <w:r>
        <w:rPr>
          <w:rFonts w:hint="eastAsia" w:ascii="宋体" w:hAnsi="宋体"/>
          <w:szCs w:val="21"/>
        </w:rPr>
        <w:t>件</w:t>
      </w:r>
      <w:r>
        <w:rPr>
          <w:rFonts w:ascii="宋体" w:hAnsi="宋体"/>
          <w:szCs w:val="21"/>
        </w:rPr>
        <w:t>5</w:t>
      </w:r>
      <w:r>
        <w:rPr>
          <w:rFonts w:hint="eastAsia" w:ascii="宋体" w:hAnsi="宋体"/>
          <w:szCs w:val="21"/>
        </w:rPr>
        <w:t>：</w:t>
      </w:r>
    </w:p>
    <w:bookmarkEnd w:id="1796"/>
    <w:bookmarkEnd w:id="1797"/>
    <w:bookmarkEnd w:id="1798"/>
    <w:bookmarkEnd w:id="1799"/>
    <w:bookmarkEnd w:id="1800"/>
    <w:bookmarkEnd w:id="1801"/>
    <w:bookmarkEnd w:id="1802"/>
    <w:p w14:paraId="14D120B6">
      <w:pPr>
        <w:spacing w:before="156" w:beforeLines="50" w:after="156" w:afterLines="50" w:line="480" w:lineRule="auto"/>
        <w:jc w:val="center"/>
        <w:rPr>
          <w:rFonts w:ascii="宋体" w:hAnsi="宋体"/>
          <w:szCs w:val="21"/>
        </w:rPr>
      </w:pPr>
      <w:r>
        <w:rPr>
          <w:rFonts w:hint="eastAsia" w:ascii="宋体" w:hAnsi="宋体"/>
          <w:szCs w:val="21"/>
        </w:rPr>
        <w:t>预付款担保（如有）</w:t>
      </w:r>
    </w:p>
    <w:p w14:paraId="2F03F4CF">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 xml:space="preserve"> </w:t>
      </w:r>
      <w:r>
        <w:rPr>
          <w:rFonts w:hint="eastAsia" w:ascii="宋体" w:hAnsi="宋体"/>
          <w:szCs w:val="21"/>
        </w:rPr>
        <w:t xml:space="preserve"> （发包人名称）：</w:t>
      </w:r>
    </w:p>
    <w:p w14:paraId="672F6D08">
      <w:pPr>
        <w:spacing w:line="360" w:lineRule="auto"/>
        <w:ind w:firstLine="420" w:firstLineChars="200"/>
        <w:rPr>
          <w:rFonts w:ascii="宋体" w:hAnsi="宋体"/>
          <w:szCs w:val="21"/>
        </w:rPr>
      </w:pPr>
      <w:r>
        <w:rPr>
          <w:rFonts w:hint="eastAsia" w:ascii="宋体" w:hAnsi="宋体"/>
          <w:szCs w:val="21"/>
        </w:rPr>
        <w:t>根据</w:t>
      </w:r>
      <w:r>
        <w:rPr>
          <w:rFonts w:hint="eastAsia" w:ascii="宋体" w:hAnsi="宋体"/>
          <w:szCs w:val="21"/>
          <w:u w:val="single"/>
        </w:rPr>
        <w:t xml:space="preserve">       </w:t>
      </w:r>
      <w:r>
        <w:rPr>
          <w:rFonts w:hint="eastAsia" w:ascii="宋体" w:hAnsi="宋体"/>
          <w:szCs w:val="21"/>
        </w:rPr>
        <w:t>（承包人名称）（以下称“承包人”）与</w:t>
      </w:r>
      <w:r>
        <w:rPr>
          <w:rFonts w:hint="eastAsia" w:ascii="宋体" w:hAnsi="宋体"/>
          <w:szCs w:val="21"/>
          <w:u w:val="single"/>
        </w:rPr>
        <w:t xml:space="preserve">         </w:t>
      </w:r>
      <w:r>
        <w:rPr>
          <w:rFonts w:hint="eastAsia" w:ascii="宋体" w:hAnsi="宋体"/>
          <w:szCs w:val="21"/>
        </w:rPr>
        <w:t>（发包人名称）（以下简称“发包人”）于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日签订的</w:t>
      </w:r>
      <w:r>
        <w:rPr>
          <w:rFonts w:hint="eastAsia" w:ascii="宋体" w:hAnsi="宋体"/>
          <w:szCs w:val="21"/>
          <w:u w:val="single"/>
        </w:rPr>
        <w:t xml:space="preserve">            </w:t>
      </w:r>
      <w:r>
        <w:rPr>
          <w:rFonts w:hint="eastAsia" w:ascii="宋体" w:hAnsi="宋体"/>
          <w:szCs w:val="21"/>
        </w:rPr>
        <w:t>（工程名称）《建设工程施工合同》，承包人按约定的金额向你方提交一份预付款担保，即有权得到你方支付相等金额的预付款。我方愿意就你方提供给承包人的预付款为承包人提供连带责任担保。</w:t>
      </w:r>
    </w:p>
    <w:p w14:paraId="05779554">
      <w:pPr>
        <w:spacing w:line="360" w:lineRule="auto"/>
        <w:ind w:firstLine="420" w:firstLineChars="200"/>
        <w:rPr>
          <w:rFonts w:ascii="宋体" w:hAnsi="宋体"/>
          <w:szCs w:val="21"/>
        </w:rPr>
      </w:pPr>
      <w:r>
        <w:rPr>
          <w:rFonts w:hint="eastAsia" w:ascii="宋体" w:hAnsi="宋体"/>
          <w:szCs w:val="21"/>
        </w:rPr>
        <w:t>1. 担保金额人民币（大写）</w:t>
      </w:r>
      <w:r>
        <w:rPr>
          <w:rFonts w:hint="eastAsia" w:ascii="宋体" w:hAnsi="宋体"/>
          <w:szCs w:val="21"/>
          <w:u w:val="single"/>
        </w:rPr>
        <w:t xml:space="preserve">        </w:t>
      </w:r>
      <w:r>
        <w:rPr>
          <w:rFonts w:hint="eastAsia" w:ascii="宋体" w:hAnsi="宋体"/>
          <w:szCs w:val="21"/>
        </w:rPr>
        <w:t>元（¥</w:t>
      </w:r>
      <w:r>
        <w:rPr>
          <w:rFonts w:hint="eastAsia" w:ascii="宋体" w:hAnsi="宋体"/>
          <w:szCs w:val="21"/>
          <w:u w:val="single"/>
        </w:rPr>
        <w:t xml:space="preserve">        </w:t>
      </w:r>
      <w:r>
        <w:rPr>
          <w:rFonts w:hint="eastAsia" w:ascii="宋体" w:hAnsi="宋体"/>
          <w:szCs w:val="21"/>
        </w:rPr>
        <w:t>）。</w:t>
      </w:r>
    </w:p>
    <w:p w14:paraId="31034DA9">
      <w:pPr>
        <w:spacing w:line="360" w:lineRule="auto"/>
        <w:ind w:firstLine="420" w:firstLineChars="200"/>
        <w:rPr>
          <w:rFonts w:ascii="宋体" w:hAnsi="宋体"/>
          <w:szCs w:val="21"/>
        </w:rPr>
      </w:pPr>
      <w:r>
        <w:rPr>
          <w:rFonts w:hint="eastAsia" w:ascii="宋体" w:hAnsi="宋体"/>
          <w:szCs w:val="21"/>
        </w:rPr>
        <w:t>2. 担保有效期自预付款支付给承包人起生效，至你方签发的进度款支付证书说明已完全扣清止。</w:t>
      </w:r>
    </w:p>
    <w:p w14:paraId="31F60FF6">
      <w:pPr>
        <w:spacing w:line="360" w:lineRule="auto"/>
        <w:ind w:firstLine="420" w:firstLineChars="200"/>
        <w:rPr>
          <w:rFonts w:ascii="宋体" w:hAnsi="宋体"/>
          <w:szCs w:val="21"/>
        </w:rPr>
      </w:pPr>
      <w:r>
        <w:rPr>
          <w:rFonts w:hint="eastAsia" w:ascii="宋体" w:hAnsi="宋体"/>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4108C983">
      <w:pPr>
        <w:spacing w:line="360" w:lineRule="auto"/>
        <w:ind w:firstLine="420" w:firstLineChars="200"/>
        <w:rPr>
          <w:rFonts w:ascii="宋体" w:hAnsi="宋体"/>
          <w:szCs w:val="21"/>
        </w:rPr>
      </w:pPr>
      <w:r>
        <w:rPr>
          <w:rFonts w:hint="eastAsia" w:ascii="宋体" w:hAnsi="宋体"/>
          <w:szCs w:val="21"/>
        </w:rPr>
        <w:t>4. 你方和承包人按合同约定变更合同时，我方承担本保函规定的义务不变。</w:t>
      </w:r>
    </w:p>
    <w:p w14:paraId="6B774C59">
      <w:pPr>
        <w:spacing w:line="360" w:lineRule="auto"/>
        <w:ind w:firstLine="420" w:firstLineChars="200"/>
        <w:rPr>
          <w:rFonts w:ascii="宋体" w:hAnsi="宋体"/>
          <w:szCs w:val="21"/>
        </w:rPr>
      </w:pPr>
      <w:r>
        <w:rPr>
          <w:rFonts w:hint="eastAsia" w:ascii="宋体" w:hAnsi="宋体"/>
          <w:szCs w:val="21"/>
        </w:rPr>
        <w:t>5. 因本保函发生的纠纷，可由双方协商解决，协商不成的，按下列第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270FDDD0">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6286C626">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2B307AD9">
      <w:pPr>
        <w:spacing w:line="360" w:lineRule="auto"/>
        <w:ind w:firstLine="420" w:firstLineChars="200"/>
        <w:rPr>
          <w:rFonts w:ascii="宋体" w:hAnsi="宋体"/>
          <w:szCs w:val="21"/>
        </w:rPr>
      </w:pPr>
      <w:r>
        <w:rPr>
          <w:rFonts w:hint="eastAsia" w:ascii="宋体" w:hAnsi="宋体"/>
          <w:szCs w:val="21"/>
        </w:rPr>
        <w:t>6. 本保函自我方法定代表人（或其委托代理人）签字并加盖公章之日起生效。</w:t>
      </w:r>
    </w:p>
    <w:p w14:paraId="112CB9FD">
      <w:pPr>
        <w:pStyle w:val="2"/>
        <w:spacing w:line="360" w:lineRule="auto"/>
        <w:ind w:firstLine="420" w:firstLineChars="200"/>
        <w:rPr>
          <w:rFonts w:ascii="宋体" w:hAnsi="宋体"/>
          <w:szCs w:val="21"/>
        </w:rPr>
      </w:pPr>
    </w:p>
    <w:p w14:paraId="7789F824">
      <w:pPr>
        <w:spacing w:line="360" w:lineRule="auto"/>
        <w:ind w:firstLine="420" w:firstLineChars="200"/>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（盖单位章）</w:t>
      </w:r>
    </w:p>
    <w:p w14:paraId="025CD417">
      <w:pPr>
        <w:spacing w:line="360" w:lineRule="auto"/>
        <w:ind w:firstLine="420" w:firstLineChars="200"/>
        <w:rPr>
          <w:rFonts w:ascii="宋体" w:hAnsi="宋体"/>
          <w:szCs w:val="21"/>
        </w:rPr>
      </w:pPr>
      <w:r>
        <w:rPr>
          <w:rFonts w:hint="eastAsia" w:ascii="宋体" w:hAnsi="宋体"/>
          <w:szCs w:val="21"/>
        </w:rPr>
        <w:t>法定代表人或其委托代理人：</w:t>
      </w:r>
      <w:r>
        <w:rPr>
          <w:rFonts w:hint="eastAsia" w:ascii="宋体" w:hAnsi="宋体"/>
          <w:szCs w:val="21"/>
          <w:u w:val="single"/>
        </w:rPr>
        <w:t xml:space="preserve">          </w:t>
      </w:r>
      <w:r>
        <w:rPr>
          <w:rFonts w:hint="eastAsia" w:ascii="宋体" w:hAnsi="宋体"/>
          <w:szCs w:val="21"/>
        </w:rPr>
        <w:t>（签字）</w:t>
      </w:r>
    </w:p>
    <w:p w14:paraId="64CA8FCE">
      <w:pPr>
        <w:spacing w:line="360" w:lineRule="auto"/>
        <w:ind w:firstLine="420" w:firstLineChars="200"/>
        <w:rPr>
          <w:rFonts w:ascii="宋体" w:hAnsi="宋体"/>
          <w:szCs w:val="21"/>
        </w:rPr>
      </w:pPr>
      <w:r>
        <w:rPr>
          <w:rFonts w:hint="eastAsia" w:ascii="宋体" w:hAnsi="宋体"/>
          <w:szCs w:val="21"/>
        </w:rPr>
        <w:t>地    址：</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768CA13">
      <w:pPr>
        <w:spacing w:line="360" w:lineRule="auto"/>
        <w:ind w:firstLine="420" w:firstLineChars="200"/>
        <w:rPr>
          <w:rFonts w:ascii="宋体" w:hAnsi="宋体"/>
          <w:szCs w:val="21"/>
          <w:u w:val="single"/>
        </w:rPr>
      </w:pPr>
      <w:r>
        <w:rPr>
          <w:rFonts w:hint="eastAsia" w:ascii="宋体" w:hAnsi="宋体"/>
          <w:szCs w:val="21"/>
        </w:rPr>
        <w:t>邮政编码：</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7F808C7E">
      <w:pPr>
        <w:spacing w:line="360" w:lineRule="auto"/>
        <w:ind w:firstLine="420" w:firstLineChars="200"/>
        <w:rPr>
          <w:rFonts w:ascii="宋体" w:hAnsi="宋体"/>
          <w:szCs w:val="21"/>
          <w:u w:val="single"/>
        </w:rPr>
      </w:pPr>
      <w:r>
        <w:rPr>
          <w:rFonts w:hint="eastAsia" w:ascii="宋体" w:hAnsi="宋体"/>
          <w:szCs w:val="21"/>
        </w:rPr>
        <w:t>电    话：</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01836321">
      <w:pPr>
        <w:spacing w:line="360" w:lineRule="auto"/>
        <w:ind w:firstLine="420" w:firstLineChars="200"/>
        <w:rPr>
          <w:rFonts w:ascii="宋体" w:hAnsi="宋体"/>
          <w:szCs w:val="21"/>
          <w:u w:val="single"/>
        </w:rPr>
      </w:pPr>
      <w:r>
        <w:rPr>
          <w:rFonts w:hint="eastAsia" w:ascii="宋体" w:hAnsi="宋体"/>
          <w:szCs w:val="21"/>
        </w:rPr>
        <w:t>传    真：</w:t>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r>
        <w:rPr>
          <w:rFonts w:hint="eastAsia" w:ascii="宋体" w:hAnsi="宋体"/>
          <w:szCs w:val="21"/>
          <w:u w:val="single"/>
        </w:rPr>
        <w:tab/>
      </w:r>
    </w:p>
    <w:p w14:paraId="200F5A14">
      <w:pPr>
        <w:spacing w:line="360" w:lineRule="auto"/>
        <w:ind w:firstLine="420" w:firstLineChars="200"/>
        <w:rPr>
          <w:rFonts w:ascii="宋体" w:hAnsi="宋体"/>
          <w:szCs w:val="21"/>
          <w:u w:val="single"/>
        </w:rPr>
      </w:pPr>
    </w:p>
    <w:p w14:paraId="586DB8E6">
      <w:pPr>
        <w:spacing w:line="360" w:lineRule="auto"/>
        <w:ind w:firstLine="420" w:firstLineChars="200"/>
        <w:jc w:val="right"/>
        <w:rPr>
          <w:rFonts w:ascii="宋体" w:hAnsi="宋体"/>
          <w:szCs w:val="21"/>
        </w:rPr>
      </w:pP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ECA004B">
      <w:pPr>
        <w:spacing w:line="480" w:lineRule="auto"/>
        <w:rPr>
          <w:rFonts w:ascii="宋体" w:hAnsi="宋体"/>
          <w:szCs w:val="21"/>
        </w:rPr>
      </w:pPr>
      <w:r>
        <w:rPr>
          <w:rFonts w:hint="eastAsia" w:ascii="宋体" w:hAnsi="宋体"/>
          <w:szCs w:val="21"/>
        </w:rPr>
        <w:br w:type="page"/>
      </w:r>
      <w:r>
        <w:rPr>
          <w:rFonts w:hint="eastAsia" w:ascii="宋体" w:hAnsi="宋体"/>
          <w:szCs w:val="21"/>
        </w:rPr>
        <w:t>附</w:t>
      </w:r>
      <w:bookmarkStart w:id="1803" w:name="_Toc296891061"/>
      <w:bookmarkStart w:id="1804" w:name="_Toc296346734"/>
      <w:bookmarkStart w:id="1805" w:name="_Toc296891273"/>
      <w:bookmarkStart w:id="1806" w:name="_Toc296944572"/>
      <w:bookmarkStart w:id="1807" w:name="_Toc296347232"/>
      <w:bookmarkStart w:id="1808" w:name="_Toc296503233"/>
      <w:r>
        <w:rPr>
          <w:rFonts w:hint="eastAsia" w:ascii="宋体" w:hAnsi="宋体"/>
          <w:szCs w:val="21"/>
        </w:rPr>
        <w:t>件</w:t>
      </w:r>
      <w:r>
        <w:rPr>
          <w:rFonts w:ascii="宋体" w:hAnsi="宋体"/>
          <w:szCs w:val="21"/>
        </w:rPr>
        <w:t>6</w:t>
      </w:r>
      <w:r>
        <w:rPr>
          <w:rFonts w:hint="eastAsia" w:ascii="宋体" w:hAnsi="宋体"/>
          <w:szCs w:val="21"/>
        </w:rPr>
        <w:t>：</w:t>
      </w:r>
    </w:p>
    <w:bookmarkEnd w:id="1803"/>
    <w:bookmarkEnd w:id="1804"/>
    <w:bookmarkEnd w:id="1805"/>
    <w:bookmarkEnd w:id="1806"/>
    <w:bookmarkEnd w:id="1807"/>
    <w:bookmarkEnd w:id="1808"/>
    <w:p w14:paraId="5C114843">
      <w:pPr>
        <w:spacing w:line="360" w:lineRule="auto"/>
        <w:ind w:firstLine="420" w:firstLineChars="200"/>
        <w:jc w:val="center"/>
        <w:rPr>
          <w:rFonts w:ascii="宋体" w:hAnsi="宋体"/>
          <w:szCs w:val="21"/>
        </w:rPr>
      </w:pPr>
      <w:r>
        <w:rPr>
          <w:rFonts w:hint="eastAsia" w:ascii="宋体" w:hAnsi="宋体"/>
          <w:szCs w:val="21"/>
        </w:rPr>
        <w:t>支付担保（如有）</w:t>
      </w:r>
    </w:p>
    <w:p w14:paraId="1E79FF13">
      <w:pPr>
        <w:spacing w:line="360" w:lineRule="auto"/>
        <w:ind w:firstLine="420" w:firstLineChars="200"/>
        <w:rPr>
          <w:rFonts w:ascii="宋体" w:hAnsi="宋体"/>
          <w:szCs w:val="21"/>
        </w:rPr>
      </w:pPr>
      <w:r>
        <w:rPr>
          <w:rFonts w:hint="eastAsia" w:ascii="宋体" w:hAnsi="宋体"/>
          <w:szCs w:val="21"/>
          <w:u w:val="single"/>
        </w:rPr>
        <w:t xml:space="preserve">             </w:t>
      </w:r>
      <w:r>
        <w:rPr>
          <w:rFonts w:hint="eastAsia" w:ascii="宋体" w:hAnsi="宋体"/>
          <w:szCs w:val="21"/>
        </w:rPr>
        <w:t>（承包人）：</w:t>
      </w:r>
    </w:p>
    <w:p w14:paraId="5DFD4A14">
      <w:pPr>
        <w:spacing w:line="360" w:lineRule="auto"/>
        <w:ind w:firstLine="420" w:firstLineChars="200"/>
        <w:rPr>
          <w:rFonts w:ascii="宋体" w:hAnsi="宋体"/>
          <w:szCs w:val="21"/>
        </w:rPr>
      </w:pPr>
      <w:r>
        <w:rPr>
          <w:rFonts w:hint="eastAsia" w:ascii="宋体" w:hAnsi="宋体"/>
          <w:szCs w:val="21"/>
        </w:rPr>
        <w:t xml:space="preserve">鉴于你方作为承包人已经与 </w:t>
      </w:r>
      <w:r>
        <w:rPr>
          <w:rFonts w:hint="eastAsia" w:ascii="宋体" w:hAnsi="宋体"/>
          <w:szCs w:val="21"/>
          <w:u w:val="single"/>
        </w:rPr>
        <w:t xml:space="preserve">            </w:t>
      </w:r>
      <w:r>
        <w:rPr>
          <w:rFonts w:hint="eastAsia" w:ascii="宋体" w:hAnsi="宋体"/>
          <w:szCs w:val="21"/>
        </w:rPr>
        <w:t>（发包人名称）（以下称“发包人”）于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日签订了</w:t>
      </w:r>
      <w:r>
        <w:rPr>
          <w:rFonts w:hint="eastAsia" w:ascii="宋体" w:hAnsi="宋体"/>
          <w:szCs w:val="21"/>
          <w:u w:val="single"/>
        </w:rPr>
        <w:t xml:space="preserve">             </w:t>
      </w:r>
      <w:r>
        <w:rPr>
          <w:rFonts w:hint="eastAsia" w:ascii="宋体" w:hAnsi="宋体"/>
          <w:szCs w:val="21"/>
        </w:rPr>
        <w:t>（工程名称）《建设工程施工合同》（以下称“主合同”），应发包人的申请，我方愿就发包人履行主合同约定的工程款支付义务以保证的方式向你方提供如下担保：</w:t>
      </w:r>
    </w:p>
    <w:p w14:paraId="13452119">
      <w:pPr>
        <w:spacing w:line="360" w:lineRule="auto"/>
        <w:ind w:firstLine="420" w:firstLineChars="200"/>
        <w:rPr>
          <w:rFonts w:ascii="宋体" w:hAnsi="宋体"/>
          <w:szCs w:val="21"/>
        </w:rPr>
      </w:pPr>
      <w:bookmarkStart w:id="1809" w:name="_Toc532375692"/>
      <w:r>
        <w:rPr>
          <w:rFonts w:hint="eastAsia" w:ascii="宋体" w:hAnsi="宋体"/>
          <w:szCs w:val="21"/>
        </w:rPr>
        <w:t>一、保证的范围及保证金额</w:t>
      </w:r>
      <w:bookmarkEnd w:id="1809"/>
    </w:p>
    <w:p w14:paraId="54445EF7">
      <w:pPr>
        <w:spacing w:line="360" w:lineRule="auto"/>
        <w:ind w:firstLine="420" w:firstLineChars="200"/>
        <w:rPr>
          <w:rFonts w:ascii="宋体" w:hAnsi="宋体"/>
          <w:szCs w:val="21"/>
        </w:rPr>
      </w:pPr>
      <w:r>
        <w:rPr>
          <w:rFonts w:hint="eastAsia" w:ascii="宋体" w:hAnsi="宋体"/>
          <w:szCs w:val="21"/>
        </w:rPr>
        <w:t>1. 我方的保证范围是主合同约定的工程款。</w:t>
      </w:r>
    </w:p>
    <w:p w14:paraId="4807D294">
      <w:pPr>
        <w:spacing w:line="360" w:lineRule="auto"/>
        <w:ind w:firstLine="420" w:firstLineChars="200"/>
        <w:rPr>
          <w:rFonts w:ascii="宋体" w:hAnsi="宋体"/>
          <w:szCs w:val="21"/>
        </w:rPr>
      </w:pPr>
      <w:r>
        <w:rPr>
          <w:rFonts w:hint="eastAsia" w:ascii="宋体" w:hAnsi="宋体"/>
          <w:szCs w:val="21"/>
        </w:rPr>
        <w:t>2. 本保函所称主合同约定的工程款是指主合同约定的除工程质量保证金以外的合同价款。</w:t>
      </w:r>
    </w:p>
    <w:p w14:paraId="29A0965A">
      <w:pPr>
        <w:spacing w:line="360" w:lineRule="auto"/>
        <w:ind w:firstLine="420" w:firstLineChars="200"/>
        <w:rPr>
          <w:rFonts w:ascii="宋体" w:hAnsi="宋体"/>
          <w:szCs w:val="21"/>
        </w:rPr>
      </w:pPr>
      <w:r>
        <w:rPr>
          <w:rFonts w:hint="eastAsia" w:ascii="宋体" w:hAnsi="宋体"/>
          <w:szCs w:val="21"/>
        </w:rPr>
        <w:t>3. 我方保证的金额是主合同约定的工程款的</w:t>
      </w:r>
      <w:r>
        <w:rPr>
          <w:rFonts w:hint="eastAsia" w:ascii="宋体" w:hAnsi="宋体"/>
          <w:szCs w:val="21"/>
          <w:u w:val="single"/>
        </w:rPr>
        <w:t xml:space="preserve">      </w:t>
      </w:r>
      <w:r>
        <w:rPr>
          <w:rFonts w:hint="eastAsia" w:ascii="宋体" w:hAnsi="宋体"/>
          <w:szCs w:val="21"/>
        </w:rPr>
        <w:t xml:space="preserve"> %，数额最高不超过人民币元（大写：</w:t>
      </w:r>
      <w:r>
        <w:rPr>
          <w:rFonts w:hint="eastAsia" w:ascii="宋体" w:hAnsi="宋体"/>
          <w:szCs w:val="21"/>
          <w:u w:val="single"/>
        </w:rPr>
        <w:t xml:space="preserve">      </w:t>
      </w:r>
      <w:r>
        <w:rPr>
          <w:rFonts w:hint="eastAsia" w:ascii="宋体" w:hAnsi="宋体"/>
          <w:szCs w:val="21"/>
        </w:rPr>
        <w:t>）。</w:t>
      </w:r>
    </w:p>
    <w:p w14:paraId="35391B03">
      <w:pPr>
        <w:spacing w:line="360" w:lineRule="auto"/>
        <w:ind w:firstLine="420" w:firstLineChars="200"/>
        <w:rPr>
          <w:rFonts w:ascii="宋体" w:hAnsi="宋体"/>
          <w:szCs w:val="21"/>
        </w:rPr>
      </w:pPr>
      <w:bookmarkStart w:id="1810" w:name="_Toc532375693"/>
      <w:r>
        <w:rPr>
          <w:rFonts w:hint="eastAsia" w:ascii="宋体" w:hAnsi="宋体"/>
          <w:szCs w:val="21"/>
        </w:rPr>
        <w:t>二、保证的方式及保证期间</w:t>
      </w:r>
      <w:bookmarkEnd w:id="1810"/>
    </w:p>
    <w:p w14:paraId="0BD1BE53">
      <w:pPr>
        <w:spacing w:line="360" w:lineRule="auto"/>
        <w:ind w:firstLine="420" w:firstLineChars="200"/>
        <w:rPr>
          <w:rFonts w:ascii="宋体" w:hAnsi="宋体"/>
          <w:szCs w:val="21"/>
        </w:rPr>
      </w:pPr>
      <w:r>
        <w:rPr>
          <w:rFonts w:hint="eastAsia" w:ascii="宋体" w:hAnsi="宋体"/>
          <w:szCs w:val="21"/>
        </w:rPr>
        <w:t>1. 我方保证的方式为：连带责任保证。</w:t>
      </w:r>
    </w:p>
    <w:p w14:paraId="7924CB13">
      <w:pPr>
        <w:spacing w:line="360" w:lineRule="auto"/>
        <w:ind w:firstLine="420" w:firstLineChars="200"/>
        <w:rPr>
          <w:rFonts w:ascii="宋体" w:hAnsi="宋体"/>
          <w:szCs w:val="21"/>
        </w:rPr>
      </w:pPr>
      <w:r>
        <w:rPr>
          <w:rFonts w:hint="eastAsia" w:ascii="宋体" w:hAnsi="宋体"/>
          <w:szCs w:val="21"/>
        </w:rPr>
        <w:t>2. 我方保证的期间为：自合同生效之日起至主合同约定的工程款支付完毕之日后</w:t>
      </w:r>
      <w:r>
        <w:rPr>
          <w:rFonts w:hint="eastAsia" w:ascii="宋体" w:hAnsi="宋体"/>
          <w:szCs w:val="21"/>
          <w:u w:val="single"/>
        </w:rPr>
        <w:t xml:space="preserve">    </w:t>
      </w:r>
      <w:r>
        <w:rPr>
          <w:rFonts w:hint="eastAsia" w:ascii="宋体" w:hAnsi="宋体"/>
          <w:szCs w:val="21"/>
        </w:rPr>
        <w:t>日内。</w:t>
      </w:r>
    </w:p>
    <w:p w14:paraId="1E10CE43">
      <w:pPr>
        <w:spacing w:line="360" w:lineRule="auto"/>
        <w:ind w:firstLine="420" w:firstLineChars="200"/>
        <w:rPr>
          <w:rFonts w:ascii="宋体" w:hAnsi="宋体"/>
          <w:szCs w:val="21"/>
        </w:rPr>
      </w:pPr>
      <w:r>
        <w:rPr>
          <w:rFonts w:hint="eastAsia" w:ascii="宋体" w:hAnsi="宋体"/>
          <w:szCs w:val="21"/>
        </w:rPr>
        <w:t>3. 你方与发包人协议变更工程款支付日期的，经我方书面同意后，保证期间按照变更后的支付日期做相应调整。</w:t>
      </w:r>
    </w:p>
    <w:p w14:paraId="52FCE21C">
      <w:pPr>
        <w:spacing w:line="360" w:lineRule="auto"/>
        <w:ind w:firstLine="420" w:firstLineChars="200"/>
        <w:rPr>
          <w:rFonts w:ascii="宋体" w:hAnsi="宋体"/>
          <w:szCs w:val="21"/>
        </w:rPr>
      </w:pPr>
      <w:bookmarkStart w:id="1811" w:name="_Toc532375694"/>
      <w:r>
        <w:rPr>
          <w:rFonts w:hint="eastAsia" w:ascii="宋体" w:hAnsi="宋体"/>
          <w:szCs w:val="21"/>
        </w:rPr>
        <w:t>三、承担保证责任的形式</w:t>
      </w:r>
      <w:bookmarkEnd w:id="1811"/>
    </w:p>
    <w:p w14:paraId="18681525">
      <w:pPr>
        <w:spacing w:line="360" w:lineRule="auto"/>
        <w:ind w:firstLine="420" w:firstLineChars="200"/>
        <w:rPr>
          <w:rFonts w:ascii="宋体" w:hAnsi="宋体"/>
          <w:szCs w:val="21"/>
        </w:rPr>
      </w:pPr>
      <w:r>
        <w:rPr>
          <w:rFonts w:hint="eastAsia" w:ascii="宋体" w:hAnsi="宋体"/>
          <w:szCs w:val="21"/>
        </w:rPr>
        <w:t>我方承担保证责任的形式是代为支付。发包人未按主合同约定向你方支付工程款的，由我方在保证金额内代为支付。</w:t>
      </w:r>
    </w:p>
    <w:p w14:paraId="17309DD4">
      <w:pPr>
        <w:spacing w:line="360" w:lineRule="auto"/>
        <w:ind w:firstLine="420" w:firstLineChars="200"/>
        <w:rPr>
          <w:rFonts w:ascii="宋体" w:hAnsi="宋体"/>
          <w:szCs w:val="21"/>
        </w:rPr>
      </w:pPr>
      <w:bookmarkStart w:id="1812" w:name="_Toc532375695"/>
      <w:r>
        <w:rPr>
          <w:rFonts w:hint="eastAsia" w:ascii="宋体" w:hAnsi="宋体"/>
          <w:szCs w:val="21"/>
        </w:rPr>
        <w:t>四、代偿的安排</w:t>
      </w:r>
      <w:bookmarkEnd w:id="1812"/>
    </w:p>
    <w:p w14:paraId="0EC05653">
      <w:pPr>
        <w:spacing w:line="360" w:lineRule="auto"/>
        <w:ind w:firstLine="420" w:firstLineChars="200"/>
        <w:rPr>
          <w:rFonts w:ascii="宋体" w:hAnsi="宋体"/>
          <w:szCs w:val="21"/>
        </w:rPr>
      </w:pPr>
      <w:r>
        <w:rPr>
          <w:rFonts w:hint="eastAsia" w:ascii="宋体" w:hAnsi="宋体"/>
          <w:szCs w:val="21"/>
        </w:rPr>
        <w:t>1. 你方要求我方承担保证责任的，应向我方发出书面索赔通知及发包人未支付主合同约定工程款的证明材料。索赔通知应写明要求索赔的金额，支付款项应到达的账号。</w:t>
      </w:r>
    </w:p>
    <w:p w14:paraId="7EDBE60F">
      <w:pPr>
        <w:spacing w:line="360" w:lineRule="auto"/>
        <w:ind w:firstLine="420" w:firstLineChars="200"/>
        <w:rPr>
          <w:rFonts w:ascii="宋体" w:hAnsi="宋体"/>
          <w:szCs w:val="21"/>
        </w:rPr>
      </w:pPr>
      <w:r>
        <w:rPr>
          <w:rFonts w:hint="eastAsia" w:ascii="宋体" w:hAnsi="宋体"/>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5D44C124">
      <w:pPr>
        <w:spacing w:line="360" w:lineRule="auto"/>
        <w:ind w:firstLine="420" w:firstLineChars="200"/>
        <w:rPr>
          <w:rFonts w:ascii="宋体" w:hAnsi="宋体"/>
          <w:szCs w:val="21"/>
        </w:rPr>
      </w:pPr>
      <w:r>
        <w:rPr>
          <w:rFonts w:hint="eastAsia" w:ascii="宋体" w:hAnsi="宋体"/>
          <w:szCs w:val="21"/>
        </w:rPr>
        <w:t>3. 我方收到你方的书面索赔通知及相应的证明材料后７天内无条件支付。</w:t>
      </w:r>
    </w:p>
    <w:p w14:paraId="258D165F">
      <w:pPr>
        <w:spacing w:line="360" w:lineRule="auto"/>
        <w:ind w:firstLine="420" w:firstLineChars="200"/>
        <w:rPr>
          <w:rFonts w:ascii="宋体" w:hAnsi="宋体"/>
          <w:szCs w:val="21"/>
        </w:rPr>
      </w:pPr>
      <w:bookmarkStart w:id="1813" w:name="_Toc532375696"/>
      <w:r>
        <w:rPr>
          <w:rFonts w:hint="eastAsia" w:ascii="宋体" w:hAnsi="宋体"/>
          <w:szCs w:val="21"/>
        </w:rPr>
        <w:t>五、保证责任的解除</w:t>
      </w:r>
      <w:bookmarkEnd w:id="1813"/>
    </w:p>
    <w:p w14:paraId="4B586DF7">
      <w:pPr>
        <w:spacing w:line="360" w:lineRule="auto"/>
        <w:ind w:firstLine="420" w:firstLineChars="200"/>
        <w:rPr>
          <w:rFonts w:ascii="宋体" w:hAnsi="宋体"/>
          <w:szCs w:val="21"/>
        </w:rPr>
      </w:pPr>
      <w:r>
        <w:rPr>
          <w:rFonts w:hint="eastAsia" w:ascii="宋体" w:hAnsi="宋体"/>
          <w:szCs w:val="21"/>
        </w:rPr>
        <w:t>1. 在本保函承诺的保证期间内，你方未书面向我方主张保证责任的，自保证期间届满次日起，我方保证责任解除。</w:t>
      </w:r>
    </w:p>
    <w:p w14:paraId="41781F11">
      <w:pPr>
        <w:spacing w:line="360" w:lineRule="auto"/>
        <w:ind w:firstLine="420" w:firstLineChars="200"/>
        <w:rPr>
          <w:rFonts w:ascii="宋体" w:hAnsi="宋体"/>
          <w:szCs w:val="21"/>
        </w:rPr>
      </w:pPr>
      <w:r>
        <w:rPr>
          <w:rFonts w:hint="eastAsia" w:ascii="宋体" w:hAnsi="宋体"/>
          <w:szCs w:val="21"/>
        </w:rPr>
        <w:t>2. 发包人按主合同约定履行了工程款的全部支付义务的，自本保函承诺的保证期间届满次日起，我方保证责任解除。</w:t>
      </w:r>
    </w:p>
    <w:p w14:paraId="3AE8CFAC">
      <w:pPr>
        <w:spacing w:line="360" w:lineRule="auto"/>
        <w:ind w:firstLine="420" w:firstLineChars="200"/>
        <w:rPr>
          <w:rFonts w:ascii="宋体" w:hAnsi="宋体"/>
          <w:szCs w:val="21"/>
        </w:rPr>
      </w:pPr>
      <w:r>
        <w:rPr>
          <w:rFonts w:hint="eastAsia" w:ascii="宋体" w:hAnsi="宋体"/>
          <w:szCs w:val="21"/>
        </w:rPr>
        <w:t>3. 我方按照本保函向你方履行保证责任所支付金额达到本保函保证金额时，自我方向你方支付（支付款项从我方账户划出）之日起，保证责任即解除。</w:t>
      </w:r>
    </w:p>
    <w:p w14:paraId="012D03AF">
      <w:pPr>
        <w:spacing w:line="360" w:lineRule="auto"/>
        <w:ind w:firstLine="420" w:firstLineChars="200"/>
        <w:rPr>
          <w:rFonts w:ascii="宋体" w:hAnsi="宋体"/>
          <w:szCs w:val="21"/>
        </w:rPr>
      </w:pPr>
      <w:r>
        <w:rPr>
          <w:rFonts w:hint="eastAsia" w:ascii="宋体" w:hAnsi="宋体"/>
          <w:szCs w:val="21"/>
        </w:rPr>
        <w:t>4. 按照法律法规的规定或出现应解除我方保证责任的其他情形的，我方在本保函项下的保证责任亦解除。</w:t>
      </w:r>
    </w:p>
    <w:p w14:paraId="06B0895D">
      <w:pPr>
        <w:spacing w:line="360" w:lineRule="auto"/>
        <w:ind w:firstLine="420" w:firstLineChars="200"/>
        <w:rPr>
          <w:rFonts w:ascii="宋体" w:hAnsi="宋体"/>
          <w:szCs w:val="21"/>
        </w:rPr>
      </w:pPr>
      <w:r>
        <w:rPr>
          <w:rFonts w:hint="eastAsia" w:ascii="宋体" w:hAnsi="宋体"/>
          <w:szCs w:val="21"/>
        </w:rPr>
        <w:t>5. 我方解除保证责任后，你方应自我方保证责任解除之日起  个工作日内，将本保函原件返还我方。</w:t>
      </w:r>
    </w:p>
    <w:p w14:paraId="445E3D9A">
      <w:pPr>
        <w:spacing w:line="360" w:lineRule="auto"/>
        <w:ind w:firstLine="420" w:firstLineChars="200"/>
        <w:rPr>
          <w:rFonts w:ascii="宋体" w:hAnsi="宋体"/>
          <w:szCs w:val="21"/>
        </w:rPr>
      </w:pPr>
      <w:bookmarkStart w:id="1814" w:name="_Toc532375697"/>
      <w:r>
        <w:rPr>
          <w:rFonts w:hint="eastAsia" w:ascii="宋体" w:hAnsi="宋体"/>
          <w:szCs w:val="21"/>
        </w:rPr>
        <w:t>六、免责条款</w:t>
      </w:r>
      <w:bookmarkEnd w:id="1814"/>
    </w:p>
    <w:p w14:paraId="2BDDA478">
      <w:pPr>
        <w:spacing w:line="360" w:lineRule="auto"/>
        <w:ind w:firstLine="420" w:firstLineChars="200"/>
        <w:rPr>
          <w:rFonts w:ascii="宋体" w:hAnsi="宋体"/>
          <w:szCs w:val="21"/>
        </w:rPr>
      </w:pPr>
      <w:r>
        <w:rPr>
          <w:rFonts w:hint="eastAsia" w:ascii="宋体" w:hAnsi="宋体"/>
          <w:szCs w:val="21"/>
        </w:rPr>
        <w:t>1. 因你方违约致使发包人不能履行义务的，我方不承担保证责任。</w:t>
      </w:r>
    </w:p>
    <w:p w14:paraId="0091F289">
      <w:pPr>
        <w:spacing w:line="360" w:lineRule="auto"/>
        <w:ind w:firstLine="420" w:firstLineChars="200"/>
        <w:rPr>
          <w:rFonts w:ascii="宋体" w:hAnsi="宋体"/>
          <w:szCs w:val="21"/>
        </w:rPr>
      </w:pPr>
      <w:r>
        <w:rPr>
          <w:rFonts w:hint="eastAsia" w:ascii="宋体" w:hAnsi="宋体"/>
          <w:szCs w:val="21"/>
        </w:rPr>
        <w:t>2. 依照法律法规的规定或你方与发包人的另行约定，免除发包人部分或全部义务的，我方亦免除其相应的保证责任。</w:t>
      </w:r>
    </w:p>
    <w:p w14:paraId="32EA7026">
      <w:pPr>
        <w:spacing w:line="360" w:lineRule="auto"/>
        <w:ind w:firstLine="420" w:firstLineChars="200"/>
        <w:rPr>
          <w:rFonts w:ascii="宋体" w:hAnsi="宋体"/>
          <w:szCs w:val="21"/>
        </w:rPr>
      </w:pPr>
      <w:r>
        <w:rPr>
          <w:rFonts w:hint="eastAsia" w:ascii="宋体" w:hAnsi="宋体"/>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749D83AB">
      <w:pPr>
        <w:spacing w:line="360" w:lineRule="auto"/>
        <w:ind w:firstLine="420" w:firstLineChars="200"/>
        <w:rPr>
          <w:rFonts w:ascii="宋体" w:hAnsi="宋体"/>
          <w:szCs w:val="21"/>
        </w:rPr>
      </w:pPr>
      <w:r>
        <w:rPr>
          <w:rFonts w:hint="eastAsia" w:ascii="宋体" w:hAnsi="宋体"/>
          <w:szCs w:val="21"/>
        </w:rPr>
        <w:t>4. 因不可抗力造成发包人不能履行义务的，我方不承担保证责任。</w:t>
      </w:r>
    </w:p>
    <w:p w14:paraId="20AB999D">
      <w:pPr>
        <w:spacing w:line="360" w:lineRule="auto"/>
        <w:ind w:firstLine="420" w:firstLineChars="200"/>
        <w:rPr>
          <w:rFonts w:ascii="宋体" w:hAnsi="宋体"/>
          <w:szCs w:val="21"/>
        </w:rPr>
      </w:pPr>
      <w:bookmarkStart w:id="1815" w:name="_Toc532375698"/>
      <w:r>
        <w:rPr>
          <w:rFonts w:hint="eastAsia" w:ascii="宋体" w:hAnsi="宋体"/>
          <w:szCs w:val="21"/>
        </w:rPr>
        <w:t>七、争议解决</w:t>
      </w:r>
      <w:bookmarkEnd w:id="1815"/>
    </w:p>
    <w:p w14:paraId="5951FFA1">
      <w:pPr>
        <w:spacing w:line="360" w:lineRule="auto"/>
        <w:ind w:firstLine="420" w:firstLineChars="200"/>
        <w:rPr>
          <w:rFonts w:ascii="宋体" w:hAnsi="宋体"/>
          <w:szCs w:val="21"/>
        </w:rPr>
      </w:pPr>
      <w:r>
        <w:rPr>
          <w:rFonts w:hint="eastAsia" w:ascii="宋体" w:hAnsi="宋体"/>
          <w:szCs w:val="21"/>
        </w:rPr>
        <w:t>因本保函或本保函相关事项发生的纠纷，可由双方协商解决，协商不成的，按下列第</w:t>
      </w:r>
      <w:r>
        <w:rPr>
          <w:rFonts w:hint="eastAsia" w:ascii="宋体" w:hAnsi="宋体"/>
          <w:szCs w:val="21"/>
          <w:u w:val="single"/>
        </w:rPr>
        <w:t xml:space="preserve">    </w:t>
      </w:r>
      <w:r>
        <w:rPr>
          <w:rFonts w:hint="eastAsia" w:ascii="宋体" w:hAnsi="宋体"/>
          <w:szCs w:val="21"/>
        </w:rPr>
        <w:t>种方式解决：</w:t>
      </w:r>
    </w:p>
    <w:p w14:paraId="321B247E">
      <w:pPr>
        <w:spacing w:line="360" w:lineRule="auto"/>
        <w:ind w:firstLine="420" w:firstLineChars="200"/>
        <w:rPr>
          <w:rFonts w:ascii="宋体" w:hAnsi="宋体"/>
          <w:szCs w:val="21"/>
        </w:rPr>
      </w:pPr>
      <w:r>
        <w:rPr>
          <w:rFonts w:hint="eastAsia" w:ascii="宋体" w:hAnsi="宋体"/>
          <w:szCs w:val="21"/>
        </w:rPr>
        <w:t>（1）向</w:t>
      </w:r>
      <w:r>
        <w:rPr>
          <w:rFonts w:hint="eastAsia" w:ascii="宋体" w:hAnsi="宋体"/>
          <w:szCs w:val="21"/>
          <w:u w:val="single"/>
        </w:rPr>
        <w:t xml:space="preserve">                     </w:t>
      </w:r>
      <w:r>
        <w:rPr>
          <w:rFonts w:hint="eastAsia" w:ascii="宋体" w:hAnsi="宋体"/>
          <w:szCs w:val="21"/>
        </w:rPr>
        <w:t>仲裁委员会申请仲裁；</w:t>
      </w:r>
    </w:p>
    <w:p w14:paraId="789F51B4">
      <w:pPr>
        <w:spacing w:line="360" w:lineRule="auto"/>
        <w:ind w:firstLine="420" w:firstLineChars="200"/>
        <w:rPr>
          <w:rFonts w:ascii="宋体" w:hAnsi="宋体"/>
          <w:szCs w:val="21"/>
        </w:rPr>
      </w:pPr>
      <w:r>
        <w:rPr>
          <w:rFonts w:hint="eastAsia" w:ascii="宋体" w:hAnsi="宋体"/>
          <w:szCs w:val="21"/>
        </w:rPr>
        <w:t>（2）向</w:t>
      </w:r>
      <w:r>
        <w:rPr>
          <w:rFonts w:hint="eastAsia" w:ascii="宋体" w:hAnsi="宋体"/>
          <w:szCs w:val="21"/>
          <w:u w:val="single"/>
        </w:rPr>
        <w:t xml:space="preserve">                     </w:t>
      </w:r>
      <w:r>
        <w:rPr>
          <w:rFonts w:hint="eastAsia" w:ascii="宋体" w:hAnsi="宋体"/>
          <w:szCs w:val="21"/>
        </w:rPr>
        <w:t>人民法院起诉。</w:t>
      </w:r>
    </w:p>
    <w:p w14:paraId="02077970">
      <w:pPr>
        <w:spacing w:line="360" w:lineRule="auto"/>
        <w:ind w:firstLine="420" w:firstLineChars="200"/>
        <w:rPr>
          <w:rFonts w:ascii="宋体" w:hAnsi="宋体"/>
          <w:szCs w:val="21"/>
        </w:rPr>
      </w:pPr>
      <w:bookmarkStart w:id="1816" w:name="_Toc532375699"/>
      <w:r>
        <w:rPr>
          <w:rFonts w:hint="eastAsia" w:ascii="宋体" w:hAnsi="宋体"/>
          <w:szCs w:val="21"/>
        </w:rPr>
        <w:t>八、保函的生效</w:t>
      </w:r>
      <w:bookmarkEnd w:id="1816"/>
    </w:p>
    <w:p w14:paraId="36BF08E8">
      <w:pPr>
        <w:spacing w:line="360" w:lineRule="auto"/>
        <w:ind w:firstLine="420" w:firstLineChars="200"/>
        <w:rPr>
          <w:rFonts w:ascii="宋体" w:hAnsi="宋体"/>
          <w:szCs w:val="21"/>
        </w:rPr>
      </w:pPr>
      <w:r>
        <w:rPr>
          <w:rFonts w:hint="eastAsia" w:ascii="宋体" w:hAnsi="宋体"/>
          <w:szCs w:val="21"/>
        </w:rPr>
        <w:t>本保函自我方法定代表人（或其委托代理人）签字并加盖公章之日起生效。</w:t>
      </w:r>
    </w:p>
    <w:p w14:paraId="0221D56E">
      <w:pPr>
        <w:spacing w:line="360" w:lineRule="auto"/>
        <w:ind w:firstLine="420" w:firstLineChars="200"/>
        <w:jc w:val="left"/>
        <w:rPr>
          <w:rFonts w:ascii="宋体" w:hAnsi="宋体"/>
          <w:szCs w:val="21"/>
        </w:rPr>
      </w:pPr>
    </w:p>
    <w:p w14:paraId="3E38431E">
      <w:pPr>
        <w:spacing w:line="360" w:lineRule="auto"/>
        <w:ind w:firstLine="420" w:firstLineChars="200"/>
        <w:jc w:val="left"/>
        <w:rPr>
          <w:rFonts w:ascii="宋体" w:hAnsi="宋体"/>
          <w:szCs w:val="21"/>
        </w:rPr>
      </w:pPr>
    </w:p>
    <w:p w14:paraId="61D13D19">
      <w:pPr>
        <w:spacing w:line="360" w:lineRule="auto"/>
        <w:ind w:firstLine="420" w:firstLineChars="200"/>
        <w:jc w:val="left"/>
        <w:rPr>
          <w:rFonts w:ascii="宋体" w:hAnsi="宋体"/>
          <w:szCs w:val="21"/>
        </w:rPr>
      </w:pPr>
      <w:r>
        <w:rPr>
          <w:rFonts w:hint="eastAsia" w:ascii="宋体" w:hAnsi="宋体"/>
          <w:szCs w:val="21"/>
        </w:rPr>
        <w:t>担保人：</w:t>
      </w:r>
      <w:r>
        <w:rPr>
          <w:rFonts w:hint="eastAsia" w:ascii="宋体" w:hAnsi="宋体"/>
          <w:szCs w:val="21"/>
          <w:u w:val="single"/>
        </w:rPr>
        <w:t xml:space="preserve">                                   </w:t>
      </w:r>
      <w:r>
        <w:rPr>
          <w:rFonts w:hint="eastAsia" w:ascii="宋体" w:hAnsi="宋体"/>
          <w:szCs w:val="21"/>
        </w:rPr>
        <w:t>（盖章）</w:t>
      </w:r>
    </w:p>
    <w:p w14:paraId="56BCA2D4">
      <w:pPr>
        <w:spacing w:line="360" w:lineRule="auto"/>
        <w:ind w:firstLine="420" w:firstLineChars="200"/>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（签字）</w:t>
      </w:r>
    </w:p>
    <w:p w14:paraId="6E4602AD">
      <w:pPr>
        <w:spacing w:line="360" w:lineRule="auto"/>
        <w:ind w:firstLine="420" w:firstLineChars="200"/>
        <w:jc w:val="left"/>
        <w:rPr>
          <w:rFonts w:ascii="宋体" w:hAnsi="宋体"/>
          <w:szCs w:val="21"/>
        </w:rPr>
      </w:pPr>
      <w:r>
        <w:rPr>
          <w:rFonts w:hint="eastAsia" w:ascii="宋体" w:hAnsi="宋体"/>
          <w:szCs w:val="21"/>
        </w:rPr>
        <w:t>地    址：</w:t>
      </w:r>
      <w:r>
        <w:rPr>
          <w:rFonts w:hint="eastAsia" w:ascii="宋体" w:hAnsi="宋体"/>
          <w:szCs w:val="21"/>
          <w:u w:val="single"/>
        </w:rPr>
        <w:t xml:space="preserve">                                        </w:t>
      </w:r>
    </w:p>
    <w:p w14:paraId="1A20EDE6">
      <w:pPr>
        <w:spacing w:line="360" w:lineRule="auto"/>
        <w:ind w:firstLine="420" w:firstLineChars="200"/>
        <w:jc w:val="left"/>
        <w:rPr>
          <w:rFonts w:ascii="宋体" w:hAnsi="宋体"/>
          <w:szCs w:val="21"/>
        </w:rPr>
      </w:pPr>
      <w:r>
        <w:rPr>
          <w:rFonts w:hint="eastAsia" w:ascii="宋体" w:hAnsi="宋体"/>
          <w:szCs w:val="21"/>
        </w:rPr>
        <w:t>邮政编码：</w:t>
      </w:r>
      <w:r>
        <w:rPr>
          <w:rFonts w:hint="eastAsia" w:ascii="宋体" w:hAnsi="宋体"/>
          <w:szCs w:val="21"/>
          <w:u w:val="single"/>
        </w:rPr>
        <w:t xml:space="preserve">                                        </w:t>
      </w:r>
    </w:p>
    <w:p w14:paraId="4D094CFC">
      <w:pPr>
        <w:spacing w:line="360" w:lineRule="auto"/>
        <w:ind w:firstLine="420" w:firstLineChars="200"/>
        <w:jc w:val="left"/>
        <w:rPr>
          <w:rFonts w:ascii="宋体" w:hAnsi="宋体"/>
          <w:szCs w:val="21"/>
        </w:rPr>
      </w:pPr>
      <w:r>
        <w:rPr>
          <w:rFonts w:hint="eastAsia" w:ascii="宋体" w:hAnsi="宋体"/>
          <w:szCs w:val="21"/>
        </w:rPr>
        <w:t>传    真：</w:t>
      </w:r>
      <w:r>
        <w:rPr>
          <w:rFonts w:hint="eastAsia" w:ascii="宋体" w:hAnsi="宋体"/>
          <w:szCs w:val="21"/>
          <w:u w:val="single"/>
        </w:rPr>
        <w:t xml:space="preserve">                                        </w:t>
      </w:r>
    </w:p>
    <w:p w14:paraId="06E436B1">
      <w:pPr>
        <w:spacing w:line="360" w:lineRule="auto"/>
        <w:ind w:firstLine="420" w:firstLineChars="200"/>
        <w:rPr>
          <w:rFonts w:ascii="宋体" w:hAnsi="宋体"/>
          <w:szCs w:val="21"/>
        </w:rPr>
      </w:pPr>
      <w:r>
        <w:rPr>
          <w:rFonts w:hint="eastAsia" w:ascii="宋体" w:hAnsi="宋体"/>
          <w:szCs w:val="21"/>
        </w:rPr>
        <w:t xml:space="preserve">           </w:t>
      </w:r>
    </w:p>
    <w:p w14:paraId="42D2FE47">
      <w:pPr>
        <w:spacing w:line="360" w:lineRule="auto"/>
        <w:ind w:firstLine="420" w:firstLineChars="200"/>
        <w:jc w:val="left"/>
        <w:rPr>
          <w:rFonts w:ascii="宋体" w:hAnsi="宋体"/>
          <w:szCs w:val="21"/>
        </w:rPr>
      </w:pP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r>
        <w:rPr>
          <w:rFonts w:hint="eastAsia" w:ascii="宋体" w:hAnsi="宋体"/>
          <w:szCs w:val="21"/>
        </w:rPr>
        <w:br w:type="page"/>
      </w:r>
    </w:p>
    <w:p w14:paraId="4A7EAE8B">
      <w:pPr>
        <w:spacing w:line="480" w:lineRule="auto"/>
        <w:rPr>
          <w:rFonts w:ascii="宋体" w:hAnsi="宋体"/>
          <w:szCs w:val="21"/>
        </w:rPr>
      </w:pPr>
      <w:r>
        <w:rPr>
          <w:rFonts w:hint="eastAsia" w:ascii="宋体" w:hAnsi="宋体"/>
          <w:szCs w:val="21"/>
        </w:rPr>
        <w:t>附件</w:t>
      </w:r>
      <w:r>
        <w:rPr>
          <w:rFonts w:ascii="宋体" w:hAnsi="宋体"/>
          <w:szCs w:val="21"/>
        </w:rPr>
        <w:t>7</w:t>
      </w:r>
      <w:r>
        <w:rPr>
          <w:rFonts w:hint="eastAsia" w:ascii="宋体" w:hAnsi="宋体"/>
          <w:szCs w:val="21"/>
        </w:rPr>
        <w:t>：</w:t>
      </w:r>
    </w:p>
    <w:p w14:paraId="4AD2A435">
      <w:pPr>
        <w:spacing w:before="156" w:beforeLines="50" w:after="156" w:afterLines="50" w:line="480" w:lineRule="auto"/>
        <w:jc w:val="center"/>
        <w:rPr>
          <w:rFonts w:ascii="宋体" w:hAnsi="宋体"/>
          <w:szCs w:val="21"/>
        </w:rPr>
      </w:pPr>
      <w:r>
        <w:rPr>
          <w:rFonts w:hint="eastAsia" w:ascii="宋体" w:hAnsi="宋体"/>
          <w:szCs w:val="21"/>
        </w:rPr>
        <w:t>专业工程暂估价表</w:t>
      </w:r>
    </w:p>
    <w:tbl>
      <w:tblPr>
        <w:tblStyle w:val="4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14:paraId="08565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442C996">
            <w:pPr>
              <w:spacing w:line="400" w:lineRule="exact"/>
              <w:jc w:val="center"/>
              <w:rPr>
                <w:rFonts w:ascii="宋体" w:hAnsi="宋体"/>
                <w:szCs w:val="21"/>
              </w:rPr>
            </w:pPr>
            <w:r>
              <w:rPr>
                <w:rFonts w:hint="eastAsia" w:ascii="宋体" w:hAnsi="宋体"/>
                <w:szCs w:val="21"/>
              </w:rPr>
              <w:t>序号</w:t>
            </w:r>
          </w:p>
        </w:tc>
        <w:tc>
          <w:tcPr>
            <w:tcW w:w="1984" w:type="dxa"/>
          </w:tcPr>
          <w:p w14:paraId="40B6B513">
            <w:pPr>
              <w:spacing w:line="400" w:lineRule="exact"/>
              <w:jc w:val="center"/>
              <w:rPr>
                <w:rFonts w:ascii="宋体" w:hAnsi="宋体"/>
                <w:szCs w:val="21"/>
              </w:rPr>
            </w:pPr>
            <w:r>
              <w:rPr>
                <w:rFonts w:hint="eastAsia" w:ascii="宋体" w:hAnsi="宋体"/>
                <w:szCs w:val="21"/>
              </w:rPr>
              <w:t>专业工程名称</w:t>
            </w:r>
          </w:p>
        </w:tc>
        <w:tc>
          <w:tcPr>
            <w:tcW w:w="5103" w:type="dxa"/>
          </w:tcPr>
          <w:p w14:paraId="43808B55">
            <w:pPr>
              <w:spacing w:line="400" w:lineRule="exact"/>
              <w:jc w:val="center"/>
              <w:rPr>
                <w:rFonts w:ascii="宋体" w:hAnsi="宋体"/>
                <w:szCs w:val="21"/>
              </w:rPr>
            </w:pPr>
            <w:r>
              <w:rPr>
                <w:rFonts w:hint="eastAsia" w:ascii="宋体" w:hAnsi="宋体"/>
                <w:szCs w:val="21"/>
              </w:rPr>
              <w:t>工程内容</w:t>
            </w:r>
          </w:p>
        </w:tc>
        <w:tc>
          <w:tcPr>
            <w:tcW w:w="1560" w:type="dxa"/>
          </w:tcPr>
          <w:p w14:paraId="00B9F594">
            <w:pPr>
              <w:spacing w:line="400" w:lineRule="exact"/>
              <w:jc w:val="center"/>
              <w:rPr>
                <w:rFonts w:ascii="宋体" w:hAnsi="宋体"/>
                <w:szCs w:val="21"/>
              </w:rPr>
            </w:pPr>
            <w:r>
              <w:rPr>
                <w:rFonts w:hint="eastAsia" w:ascii="宋体" w:hAnsi="宋体"/>
                <w:szCs w:val="21"/>
              </w:rPr>
              <w:t>金额</w:t>
            </w:r>
          </w:p>
        </w:tc>
      </w:tr>
      <w:tr w14:paraId="5539D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1FB29A7C">
            <w:pPr>
              <w:spacing w:line="400" w:lineRule="exact"/>
              <w:ind w:firstLine="420" w:firstLineChars="200"/>
              <w:rPr>
                <w:rFonts w:ascii="宋体" w:hAnsi="宋体"/>
                <w:szCs w:val="21"/>
              </w:rPr>
            </w:pPr>
          </w:p>
        </w:tc>
        <w:tc>
          <w:tcPr>
            <w:tcW w:w="1984" w:type="dxa"/>
          </w:tcPr>
          <w:p w14:paraId="0E6AC2D8">
            <w:pPr>
              <w:spacing w:line="400" w:lineRule="exact"/>
              <w:ind w:firstLine="420" w:firstLineChars="200"/>
              <w:rPr>
                <w:rFonts w:ascii="宋体" w:hAnsi="宋体"/>
                <w:szCs w:val="21"/>
              </w:rPr>
            </w:pPr>
          </w:p>
        </w:tc>
        <w:tc>
          <w:tcPr>
            <w:tcW w:w="5103" w:type="dxa"/>
          </w:tcPr>
          <w:p w14:paraId="7CDD3149">
            <w:pPr>
              <w:spacing w:line="400" w:lineRule="exact"/>
              <w:ind w:firstLine="420" w:firstLineChars="200"/>
              <w:rPr>
                <w:rFonts w:ascii="宋体" w:hAnsi="宋体"/>
                <w:szCs w:val="21"/>
              </w:rPr>
            </w:pPr>
          </w:p>
        </w:tc>
        <w:tc>
          <w:tcPr>
            <w:tcW w:w="1560" w:type="dxa"/>
          </w:tcPr>
          <w:p w14:paraId="6CDD9217">
            <w:pPr>
              <w:spacing w:line="400" w:lineRule="exact"/>
              <w:ind w:firstLine="420" w:firstLineChars="200"/>
              <w:rPr>
                <w:rFonts w:ascii="宋体" w:hAnsi="宋体"/>
                <w:szCs w:val="21"/>
              </w:rPr>
            </w:pPr>
          </w:p>
        </w:tc>
      </w:tr>
      <w:tr w14:paraId="15A6B4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61EE585">
            <w:pPr>
              <w:spacing w:line="400" w:lineRule="exact"/>
              <w:ind w:firstLine="420" w:firstLineChars="200"/>
              <w:rPr>
                <w:rFonts w:ascii="宋体" w:hAnsi="宋体"/>
                <w:szCs w:val="21"/>
              </w:rPr>
            </w:pPr>
          </w:p>
        </w:tc>
        <w:tc>
          <w:tcPr>
            <w:tcW w:w="1984" w:type="dxa"/>
          </w:tcPr>
          <w:p w14:paraId="0CCD08E0">
            <w:pPr>
              <w:spacing w:line="400" w:lineRule="exact"/>
              <w:ind w:firstLine="420" w:firstLineChars="200"/>
              <w:rPr>
                <w:rFonts w:ascii="宋体" w:hAnsi="宋体"/>
                <w:szCs w:val="21"/>
              </w:rPr>
            </w:pPr>
          </w:p>
        </w:tc>
        <w:tc>
          <w:tcPr>
            <w:tcW w:w="5103" w:type="dxa"/>
          </w:tcPr>
          <w:p w14:paraId="5535BB32">
            <w:pPr>
              <w:spacing w:line="400" w:lineRule="exact"/>
              <w:ind w:firstLine="420" w:firstLineChars="200"/>
              <w:rPr>
                <w:rFonts w:ascii="宋体" w:hAnsi="宋体"/>
                <w:szCs w:val="21"/>
              </w:rPr>
            </w:pPr>
          </w:p>
        </w:tc>
        <w:tc>
          <w:tcPr>
            <w:tcW w:w="1560" w:type="dxa"/>
          </w:tcPr>
          <w:p w14:paraId="075D40BE">
            <w:pPr>
              <w:spacing w:line="400" w:lineRule="exact"/>
              <w:ind w:firstLine="420" w:firstLineChars="200"/>
              <w:rPr>
                <w:rFonts w:ascii="宋体" w:hAnsi="宋体"/>
                <w:szCs w:val="21"/>
              </w:rPr>
            </w:pPr>
          </w:p>
        </w:tc>
      </w:tr>
      <w:tr w14:paraId="2EB10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B757FC4">
            <w:pPr>
              <w:spacing w:line="400" w:lineRule="exact"/>
              <w:ind w:firstLine="420" w:firstLineChars="200"/>
              <w:rPr>
                <w:rFonts w:ascii="宋体" w:hAnsi="宋体"/>
                <w:szCs w:val="21"/>
              </w:rPr>
            </w:pPr>
          </w:p>
        </w:tc>
        <w:tc>
          <w:tcPr>
            <w:tcW w:w="1984" w:type="dxa"/>
          </w:tcPr>
          <w:p w14:paraId="717F4589">
            <w:pPr>
              <w:spacing w:line="400" w:lineRule="exact"/>
              <w:ind w:firstLine="420" w:firstLineChars="200"/>
              <w:rPr>
                <w:rFonts w:ascii="宋体" w:hAnsi="宋体"/>
                <w:szCs w:val="21"/>
              </w:rPr>
            </w:pPr>
          </w:p>
        </w:tc>
        <w:tc>
          <w:tcPr>
            <w:tcW w:w="5103" w:type="dxa"/>
          </w:tcPr>
          <w:p w14:paraId="5EBD6FCF">
            <w:pPr>
              <w:spacing w:line="400" w:lineRule="exact"/>
              <w:ind w:firstLine="420" w:firstLineChars="200"/>
              <w:rPr>
                <w:rFonts w:ascii="宋体" w:hAnsi="宋体"/>
                <w:szCs w:val="21"/>
              </w:rPr>
            </w:pPr>
          </w:p>
        </w:tc>
        <w:tc>
          <w:tcPr>
            <w:tcW w:w="1560" w:type="dxa"/>
          </w:tcPr>
          <w:p w14:paraId="2F375856">
            <w:pPr>
              <w:spacing w:line="400" w:lineRule="exact"/>
              <w:ind w:firstLine="420" w:firstLineChars="200"/>
              <w:rPr>
                <w:rFonts w:ascii="宋体" w:hAnsi="宋体"/>
                <w:szCs w:val="21"/>
              </w:rPr>
            </w:pPr>
          </w:p>
        </w:tc>
      </w:tr>
      <w:tr w14:paraId="50737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01E1D40">
            <w:pPr>
              <w:spacing w:line="400" w:lineRule="exact"/>
              <w:ind w:firstLine="420" w:firstLineChars="200"/>
              <w:rPr>
                <w:rFonts w:ascii="宋体" w:hAnsi="宋体"/>
                <w:szCs w:val="21"/>
              </w:rPr>
            </w:pPr>
          </w:p>
        </w:tc>
        <w:tc>
          <w:tcPr>
            <w:tcW w:w="1984" w:type="dxa"/>
          </w:tcPr>
          <w:p w14:paraId="22BB2543">
            <w:pPr>
              <w:spacing w:line="400" w:lineRule="exact"/>
              <w:ind w:firstLine="420" w:firstLineChars="200"/>
              <w:rPr>
                <w:rFonts w:ascii="宋体" w:hAnsi="宋体"/>
                <w:szCs w:val="21"/>
              </w:rPr>
            </w:pPr>
          </w:p>
        </w:tc>
        <w:tc>
          <w:tcPr>
            <w:tcW w:w="5103" w:type="dxa"/>
          </w:tcPr>
          <w:p w14:paraId="5AC96DD2">
            <w:pPr>
              <w:spacing w:line="400" w:lineRule="exact"/>
              <w:ind w:firstLine="420" w:firstLineChars="200"/>
              <w:rPr>
                <w:rFonts w:ascii="宋体" w:hAnsi="宋体"/>
                <w:szCs w:val="21"/>
              </w:rPr>
            </w:pPr>
          </w:p>
        </w:tc>
        <w:tc>
          <w:tcPr>
            <w:tcW w:w="1560" w:type="dxa"/>
          </w:tcPr>
          <w:p w14:paraId="5AE589C0">
            <w:pPr>
              <w:spacing w:line="400" w:lineRule="exact"/>
              <w:ind w:firstLine="420" w:firstLineChars="200"/>
              <w:rPr>
                <w:rFonts w:ascii="宋体" w:hAnsi="宋体"/>
                <w:szCs w:val="21"/>
              </w:rPr>
            </w:pPr>
          </w:p>
        </w:tc>
      </w:tr>
      <w:tr w14:paraId="52804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7231E31">
            <w:pPr>
              <w:spacing w:line="400" w:lineRule="exact"/>
              <w:ind w:firstLine="420" w:firstLineChars="200"/>
              <w:rPr>
                <w:rFonts w:ascii="宋体" w:hAnsi="宋体"/>
                <w:szCs w:val="21"/>
              </w:rPr>
            </w:pPr>
          </w:p>
        </w:tc>
        <w:tc>
          <w:tcPr>
            <w:tcW w:w="1984" w:type="dxa"/>
          </w:tcPr>
          <w:p w14:paraId="459C900A">
            <w:pPr>
              <w:spacing w:line="400" w:lineRule="exact"/>
              <w:ind w:firstLine="420" w:firstLineChars="200"/>
              <w:rPr>
                <w:rFonts w:ascii="宋体" w:hAnsi="宋体"/>
                <w:szCs w:val="21"/>
              </w:rPr>
            </w:pPr>
          </w:p>
        </w:tc>
        <w:tc>
          <w:tcPr>
            <w:tcW w:w="5103" w:type="dxa"/>
          </w:tcPr>
          <w:p w14:paraId="188DFA8C">
            <w:pPr>
              <w:spacing w:line="400" w:lineRule="exact"/>
              <w:ind w:firstLine="420" w:firstLineChars="200"/>
              <w:rPr>
                <w:rFonts w:ascii="宋体" w:hAnsi="宋体"/>
                <w:szCs w:val="21"/>
              </w:rPr>
            </w:pPr>
          </w:p>
        </w:tc>
        <w:tc>
          <w:tcPr>
            <w:tcW w:w="1560" w:type="dxa"/>
          </w:tcPr>
          <w:p w14:paraId="23610A52">
            <w:pPr>
              <w:spacing w:line="400" w:lineRule="exact"/>
              <w:ind w:firstLine="420" w:firstLineChars="200"/>
              <w:rPr>
                <w:rFonts w:ascii="宋体" w:hAnsi="宋体"/>
                <w:szCs w:val="21"/>
              </w:rPr>
            </w:pPr>
          </w:p>
        </w:tc>
      </w:tr>
      <w:tr w14:paraId="68788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C4F18F1">
            <w:pPr>
              <w:spacing w:line="400" w:lineRule="exact"/>
              <w:ind w:firstLine="420" w:firstLineChars="200"/>
              <w:rPr>
                <w:rFonts w:ascii="宋体" w:hAnsi="宋体"/>
                <w:szCs w:val="21"/>
              </w:rPr>
            </w:pPr>
          </w:p>
        </w:tc>
        <w:tc>
          <w:tcPr>
            <w:tcW w:w="1984" w:type="dxa"/>
          </w:tcPr>
          <w:p w14:paraId="11416A05">
            <w:pPr>
              <w:spacing w:line="400" w:lineRule="exact"/>
              <w:ind w:firstLine="420" w:firstLineChars="200"/>
              <w:rPr>
                <w:rFonts w:ascii="宋体" w:hAnsi="宋体"/>
                <w:szCs w:val="21"/>
              </w:rPr>
            </w:pPr>
          </w:p>
        </w:tc>
        <w:tc>
          <w:tcPr>
            <w:tcW w:w="5103" w:type="dxa"/>
          </w:tcPr>
          <w:p w14:paraId="7408BE97">
            <w:pPr>
              <w:spacing w:line="400" w:lineRule="exact"/>
              <w:ind w:firstLine="420" w:firstLineChars="200"/>
              <w:rPr>
                <w:rFonts w:ascii="宋体" w:hAnsi="宋体"/>
                <w:szCs w:val="21"/>
              </w:rPr>
            </w:pPr>
          </w:p>
        </w:tc>
        <w:tc>
          <w:tcPr>
            <w:tcW w:w="1560" w:type="dxa"/>
          </w:tcPr>
          <w:p w14:paraId="69FA201F">
            <w:pPr>
              <w:spacing w:line="400" w:lineRule="exact"/>
              <w:ind w:firstLine="420" w:firstLineChars="200"/>
              <w:rPr>
                <w:rFonts w:ascii="宋体" w:hAnsi="宋体"/>
                <w:szCs w:val="21"/>
              </w:rPr>
            </w:pPr>
          </w:p>
        </w:tc>
      </w:tr>
      <w:tr w14:paraId="57326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F0456BC">
            <w:pPr>
              <w:spacing w:line="400" w:lineRule="exact"/>
              <w:ind w:firstLine="420" w:firstLineChars="200"/>
              <w:rPr>
                <w:rFonts w:ascii="宋体" w:hAnsi="宋体"/>
                <w:szCs w:val="21"/>
              </w:rPr>
            </w:pPr>
          </w:p>
        </w:tc>
        <w:tc>
          <w:tcPr>
            <w:tcW w:w="1984" w:type="dxa"/>
          </w:tcPr>
          <w:p w14:paraId="1D13BB76">
            <w:pPr>
              <w:spacing w:line="400" w:lineRule="exact"/>
              <w:ind w:firstLine="420" w:firstLineChars="200"/>
              <w:rPr>
                <w:rFonts w:ascii="宋体" w:hAnsi="宋体"/>
                <w:szCs w:val="21"/>
              </w:rPr>
            </w:pPr>
          </w:p>
        </w:tc>
        <w:tc>
          <w:tcPr>
            <w:tcW w:w="5103" w:type="dxa"/>
          </w:tcPr>
          <w:p w14:paraId="726CD2EB">
            <w:pPr>
              <w:spacing w:line="400" w:lineRule="exact"/>
              <w:ind w:firstLine="420" w:firstLineChars="200"/>
              <w:rPr>
                <w:rFonts w:ascii="宋体" w:hAnsi="宋体"/>
                <w:szCs w:val="21"/>
              </w:rPr>
            </w:pPr>
          </w:p>
        </w:tc>
        <w:tc>
          <w:tcPr>
            <w:tcW w:w="1560" w:type="dxa"/>
          </w:tcPr>
          <w:p w14:paraId="43068772">
            <w:pPr>
              <w:spacing w:line="400" w:lineRule="exact"/>
              <w:ind w:firstLine="420" w:firstLineChars="200"/>
              <w:rPr>
                <w:rFonts w:ascii="宋体" w:hAnsi="宋体"/>
                <w:szCs w:val="21"/>
              </w:rPr>
            </w:pPr>
          </w:p>
        </w:tc>
      </w:tr>
      <w:tr w14:paraId="75BEC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642F7B8">
            <w:pPr>
              <w:spacing w:line="400" w:lineRule="exact"/>
              <w:ind w:firstLine="420" w:firstLineChars="200"/>
              <w:rPr>
                <w:rFonts w:ascii="宋体" w:hAnsi="宋体"/>
                <w:szCs w:val="21"/>
              </w:rPr>
            </w:pPr>
          </w:p>
        </w:tc>
        <w:tc>
          <w:tcPr>
            <w:tcW w:w="1984" w:type="dxa"/>
          </w:tcPr>
          <w:p w14:paraId="7B2582D1">
            <w:pPr>
              <w:spacing w:line="400" w:lineRule="exact"/>
              <w:ind w:firstLine="420" w:firstLineChars="200"/>
              <w:rPr>
                <w:rFonts w:ascii="宋体" w:hAnsi="宋体"/>
                <w:szCs w:val="21"/>
              </w:rPr>
            </w:pPr>
          </w:p>
        </w:tc>
        <w:tc>
          <w:tcPr>
            <w:tcW w:w="5103" w:type="dxa"/>
          </w:tcPr>
          <w:p w14:paraId="70A7E305">
            <w:pPr>
              <w:spacing w:line="400" w:lineRule="exact"/>
              <w:ind w:firstLine="420" w:firstLineChars="200"/>
              <w:rPr>
                <w:rFonts w:ascii="宋体" w:hAnsi="宋体"/>
                <w:szCs w:val="21"/>
              </w:rPr>
            </w:pPr>
          </w:p>
        </w:tc>
        <w:tc>
          <w:tcPr>
            <w:tcW w:w="1560" w:type="dxa"/>
          </w:tcPr>
          <w:p w14:paraId="5FA555E7">
            <w:pPr>
              <w:spacing w:line="400" w:lineRule="exact"/>
              <w:ind w:firstLine="420" w:firstLineChars="200"/>
              <w:rPr>
                <w:rFonts w:ascii="宋体" w:hAnsi="宋体"/>
                <w:szCs w:val="21"/>
              </w:rPr>
            </w:pPr>
          </w:p>
        </w:tc>
      </w:tr>
      <w:tr w14:paraId="10B2E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65A2FC8">
            <w:pPr>
              <w:spacing w:line="400" w:lineRule="exact"/>
              <w:ind w:firstLine="420" w:firstLineChars="200"/>
              <w:rPr>
                <w:rFonts w:ascii="宋体" w:hAnsi="宋体"/>
                <w:szCs w:val="21"/>
              </w:rPr>
            </w:pPr>
          </w:p>
        </w:tc>
        <w:tc>
          <w:tcPr>
            <w:tcW w:w="1984" w:type="dxa"/>
          </w:tcPr>
          <w:p w14:paraId="1E1DFF9B">
            <w:pPr>
              <w:spacing w:line="400" w:lineRule="exact"/>
              <w:ind w:firstLine="420" w:firstLineChars="200"/>
              <w:rPr>
                <w:rFonts w:ascii="宋体" w:hAnsi="宋体"/>
                <w:szCs w:val="21"/>
              </w:rPr>
            </w:pPr>
          </w:p>
        </w:tc>
        <w:tc>
          <w:tcPr>
            <w:tcW w:w="5103" w:type="dxa"/>
          </w:tcPr>
          <w:p w14:paraId="47FA0C3E">
            <w:pPr>
              <w:spacing w:line="400" w:lineRule="exact"/>
              <w:ind w:firstLine="420" w:firstLineChars="200"/>
              <w:rPr>
                <w:rFonts w:ascii="宋体" w:hAnsi="宋体"/>
                <w:szCs w:val="21"/>
              </w:rPr>
            </w:pPr>
          </w:p>
        </w:tc>
        <w:tc>
          <w:tcPr>
            <w:tcW w:w="1560" w:type="dxa"/>
          </w:tcPr>
          <w:p w14:paraId="478A3A0D">
            <w:pPr>
              <w:spacing w:line="400" w:lineRule="exact"/>
              <w:ind w:firstLine="420" w:firstLineChars="200"/>
              <w:rPr>
                <w:rFonts w:ascii="宋体" w:hAnsi="宋体"/>
                <w:szCs w:val="21"/>
              </w:rPr>
            </w:pPr>
          </w:p>
        </w:tc>
      </w:tr>
      <w:tr w14:paraId="2CB5C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2B36C22D">
            <w:pPr>
              <w:spacing w:line="400" w:lineRule="exact"/>
              <w:ind w:firstLine="420" w:firstLineChars="200"/>
              <w:rPr>
                <w:rFonts w:ascii="宋体" w:hAnsi="宋体"/>
                <w:szCs w:val="21"/>
              </w:rPr>
            </w:pPr>
          </w:p>
        </w:tc>
        <w:tc>
          <w:tcPr>
            <w:tcW w:w="1984" w:type="dxa"/>
          </w:tcPr>
          <w:p w14:paraId="7CC425DF">
            <w:pPr>
              <w:spacing w:line="400" w:lineRule="exact"/>
              <w:ind w:firstLine="420" w:firstLineChars="200"/>
              <w:rPr>
                <w:rFonts w:ascii="宋体" w:hAnsi="宋体"/>
                <w:szCs w:val="21"/>
              </w:rPr>
            </w:pPr>
          </w:p>
        </w:tc>
        <w:tc>
          <w:tcPr>
            <w:tcW w:w="5103" w:type="dxa"/>
          </w:tcPr>
          <w:p w14:paraId="27A05031">
            <w:pPr>
              <w:spacing w:line="400" w:lineRule="exact"/>
              <w:ind w:firstLine="420" w:firstLineChars="200"/>
              <w:rPr>
                <w:rFonts w:ascii="宋体" w:hAnsi="宋体"/>
                <w:szCs w:val="21"/>
              </w:rPr>
            </w:pPr>
          </w:p>
        </w:tc>
        <w:tc>
          <w:tcPr>
            <w:tcW w:w="1560" w:type="dxa"/>
          </w:tcPr>
          <w:p w14:paraId="0CE53C1F">
            <w:pPr>
              <w:spacing w:line="400" w:lineRule="exact"/>
              <w:ind w:firstLine="420" w:firstLineChars="200"/>
              <w:rPr>
                <w:rFonts w:ascii="宋体" w:hAnsi="宋体"/>
                <w:szCs w:val="21"/>
              </w:rPr>
            </w:pPr>
          </w:p>
        </w:tc>
      </w:tr>
      <w:tr w14:paraId="38EC7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0EABC68">
            <w:pPr>
              <w:spacing w:line="400" w:lineRule="exact"/>
              <w:ind w:firstLine="420" w:firstLineChars="200"/>
              <w:rPr>
                <w:rFonts w:ascii="宋体" w:hAnsi="宋体"/>
                <w:szCs w:val="21"/>
              </w:rPr>
            </w:pPr>
          </w:p>
        </w:tc>
        <w:tc>
          <w:tcPr>
            <w:tcW w:w="1984" w:type="dxa"/>
          </w:tcPr>
          <w:p w14:paraId="63E1920D">
            <w:pPr>
              <w:spacing w:line="400" w:lineRule="exact"/>
              <w:ind w:firstLine="420" w:firstLineChars="200"/>
              <w:rPr>
                <w:rFonts w:ascii="宋体" w:hAnsi="宋体"/>
                <w:szCs w:val="21"/>
              </w:rPr>
            </w:pPr>
          </w:p>
        </w:tc>
        <w:tc>
          <w:tcPr>
            <w:tcW w:w="5103" w:type="dxa"/>
          </w:tcPr>
          <w:p w14:paraId="1F146C4A">
            <w:pPr>
              <w:spacing w:line="400" w:lineRule="exact"/>
              <w:ind w:firstLine="420" w:firstLineChars="200"/>
              <w:rPr>
                <w:rFonts w:ascii="宋体" w:hAnsi="宋体"/>
                <w:szCs w:val="21"/>
              </w:rPr>
            </w:pPr>
          </w:p>
        </w:tc>
        <w:tc>
          <w:tcPr>
            <w:tcW w:w="1560" w:type="dxa"/>
          </w:tcPr>
          <w:p w14:paraId="7FDEAAA9">
            <w:pPr>
              <w:spacing w:line="400" w:lineRule="exact"/>
              <w:ind w:firstLine="420" w:firstLineChars="200"/>
              <w:rPr>
                <w:rFonts w:ascii="宋体" w:hAnsi="宋体"/>
                <w:szCs w:val="21"/>
              </w:rPr>
            </w:pPr>
          </w:p>
        </w:tc>
      </w:tr>
      <w:tr w14:paraId="7F3DA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3EDB9BDA">
            <w:pPr>
              <w:spacing w:line="400" w:lineRule="exact"/>
              <w:ind w:firstLine="420" w:firstLineChars="200"/>
              <w:rPr>
                <w:rFonts w:ascii="宋体" w:hAnsi="宋体"/>
                <w:szCs w:val="21"/>
              </w:rPr>
            </w:pPr>
          </w:p>
        </w:tc>
        <w:tc>
          <w:tcPr>
            <w:tcW w:w="1984" w:type="dxa"/>
          </w:tcPr>
          <w:p w14:paraId="6067DC58">
            <w:pPr>
              <w:spacing w:line="400" w:lineRule="exact"/>
              <w:ind w:firstLine="420" w:firstLineChars="200"/>
              <w:rPr>
                <w:rFonts w:ascii="宋体" w:hAnsi="宋体"/>
                <w:szCs w:val="21"/>
              </w:rPr>
            </w:pPr>
          </w:p>
        </w:tc>
        <w:tc>
          <w:tcPr>
            <w:tcW w:w="5103" w:type="dxa"/>
          </w:tcPr>
          <w:p w14:paraId="4814D2C7">
            <w:pPr>
              <w:spacing w:line="400" w:lineRule="exact"/>
              <w:ind w:firstLine="420" w:firstLineChars="200"/>
              <w:rPr>
                <w:rFonts w:ascii="宋体" w:hAnsi="宋体"/>
                <w:szCs w:val="21"/>
              </w:rPr>
            </w:pPr>
          </w:p>
        </w:tc>
        <w:tc>
          <w:tcPr>
            <w:tcW w:w="1560" w:type="dxa"/>
          </w:tcPr>
          <w:p w14:paraId="53B1EE63">
            <w:pPr>
              <w:spacing w:line="400" w:lineRule="exact"/>
              <w:ind w:firstLine="420" w:firstLineChars="200"/>
              <w:rPr>
                <w:rFonts w:ascii="宋体" w:hAnsi="宋体"/>
                <w:szCs w:val="21"/>
              </w:rPr>
            </w:pPr>
          </w:p>
        </w:tc>
      </w:tr>
      <w:tr w14:paraId="261FC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D0E034A">
            <w:pPr>
              <w:spacing w:line="400" w:lineRule="exact"/>
              <w:ind w:firstLine="420" w:firstLineChars="200"/>
              <w:rPr>
                <w:rFonts w:ascii="宋体" w:hAnsi="宋体"/>
                <w:szCs w:val="21"/>
              </w:rPr>
            </w:pPr>
          </w:p>
        </w:tc>
        <w:tc>
          <w:tcPr>
            <w:tcW w:w="1984" w:type="dxa"/>
          </w:tcPr>
          <w:p w14:paraId="50BFD0F7">
            <w:pPr>
              <w:spacing w:line="400" w:lineRule="exact"/>
              <w:ind w:firstLine="420" w:firstLineChars="200"/>
              <w:rPr>
                <w:rFonts w:ascii="宋体" w:hAnsi="宋体"/>
                <w:szCs w:val="21"/>
              </w:rPr>
            </w:pPr>
          </w:p>
        </w:tc>
        <w:tc>
          <w:tcPr>
            <w:tcW w:w="5103" w:type="dxa"/>
          </w:tcPr>
          <w:p w14:paraId="0672239F">
            <w:pPr>
              <w:spacing w:line="400" w:lineRule="exact"/>
              <w:ind w:firstLine="420" w:firstLineChars="200"/>
              <w:rPr>
                <w:rFonts w:ascii="宋体" w:hAnsi="宋体"/>
                <w:szCs w:val="21"/>
              </w:rPr>
            </w:pPr>
          </w:p>
        </w:tc>
        <w:tc>
          <w:tcPr>
            <w:tcW w:w="1560" w:type="dxa"/>
          </w:tcPr>
          <w:p w14:paraId="7B9F058C">
            <w:pPr>
              <w:spacing w:line="400" w:lineRule="exact"/>
              <w:ind w:firstLine="420" w:firstLineChars="200"/>
              <w:rPr>
                <w:rFonts w:ascii="宋体" w:hAnsi="宋体"/>
                <w:szCs w:val="21"/>
              </w:rPr>
            </w:pPr>
          </w:p>
        </w:tc>
      </w:tr>
      <w:tr w14:paraId="312D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07D15602">
            <w:pPr>
              <w:spacing w:line="400" w:lineRule="exact"/>
              <w:ind w:firstLine="420" w:firstLineChars="200"/>
              <w:rPr>
                <w:rFonts w:ascii="宋体" w:hAnsi="宋体"/>
                <w:szCs w:val="21"/>
              </w:rPr>
            </w:pPr>
          </w:p>
        </w:tc>
        <w:tc>
          <w:tcPr>
            <w:tcW w:w="1984" w:type="dxa"/>
          </w:tcPr>
          <w:p w14:paraId="14BF1C41">
            <w:pPr>
              <w:spacing w:line="400" w:lineRule="exact"/>
              <w:ind w:firstLine="420" w:firstLineChars="200"/>
              <w:rPr>
                <w:rFonts w:ascii="宋体" w:hAnsi="宋体"/>
                <w:szCs w:val="21"/>
              </w:rPr>
            </w:pPr>
          </w:p>
        </w:tc>
        <w:tc>
          <w:tcPr>
            <w:tcW w:w="5103" w:type="dxa"/>
          </w:tcPr>
          <w:p w14:paraId="016EB012">
            <w:pPr>
              <w:spacing w:line="400" w:lineRule="exact"/>
              <w:ind w:firstLine="420" w:firstLineChars="200"/>
              <w:rPr>
                <w:rFonts w:ascii="宋体" w:hAnsi="宋体"/>
                <w:szCs w:val="21"/>
              </w:rPr>
            </w:pPr>
          </w:p>
        </w:tc>
        <w:tc>
          <w:tcPr>
            <w:tcW w:w="1560" w:type="dxa"/>
          </w:tcPr>
          <w:p w14:paraId="11DB71E5">
            <w:pPr>
              <w:spacing w:line="400" w:lineRule="exact"/>
              <w:ind w:firstLine="420" w:firstLineChars="200"/>
              <w:rPr>
                <w:rFonts w:ascii="宋体" w:hAnsi="宋体"/>
                <w:szCs w:val="21"/>
              </w:rPr>
            </w:pPr>
          </w:p>
        </w:tc>
      </w:tr>
      <w:tr w14:paraId="4DF1A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4B8642F">
            <w:pPr>
              <w:spacing w:line="400" w:lineRule="exact"/>
              <w:ind w:firstLine="420" w:firstLineChars="200"/>
              <w:rPr>
                <w:rFonts w:ascii="宋体" w:hAnsi="宋体"/>
                <w:szCs w:val="21"/>
              </w:rPr>
            </w:pPr>
          </w:p>
        </w:tc>
        <w:tc>
          <w:tcPr>
            <w:tcW w:w="1984" w:type="dxa"/>
          </w:tcPr>
          <w:p w14:paraId="40B96AC6">
            <w:pPr>
              <w:spacing w:line="400" w:lineRule="exact"/>
              <w:ind w:firstLine="420" w:firstLineChars="200"/>
              <w:rPr>
                <w:rFonts w:ascii="宋体" w:hAnsi="宋体"/>
                <w:szCs w:val="21"/>
              </w:rPr>
            </w:pPr>
          </w:p>
        </w:tc>
        <w:tc>
          <w:tcPr>
            <w:tcW w:w="5103" w:type="dxa"/>
          </w:tcPr>
          <w:p w14:paraId="0FE60B09">
            <w:pPr>
              <w:spacing w:line="400" w:lineRule="exact"/>
              <w:ind w:firstLine="420" w:firstLineChars="200"/>
              <w:rPr>
                <w:rFonts w:ascii="宋体" w:hAnsi="宋体"/>
                <w:szCs w:val="21"/>
              </w:rPr>
            </w:pPr>
          </w:p>
        </w:tc>
        <w:tc>
          <w:tcPr>
            <w:tcW w:w="1560" w:type="dxa"/>
          </w:tcPr>
          <w:p w14:paraId="41DAE9AA">
            <w:pPr>
              <w:spacing w:line="400" w:lineRule="exact"/>
              <w:ind w:firstLine="420" w:firstLineChars="200"/>
              <w:rPr>
                <w:rFonts w:ascii="宋体" w:hAnsi="宋体"/>
                <w:szCs w:val="21"/>
              </w:rPr>
            </w:pPr>
          </w:p>
        </w:tc>
      </w:tr>
      <w:tr w14:paraId="79A15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61F96AF">
            <w:pPr>
              <w:spacing w:line="400" w:lineRule="exact"/>
              <w:ind w:firstLine="420" w:firstLineChars="200"/>
              <w:rPr>
                <w:rFonts w:ascii="宋体" w:hAnsi="宋体"/>
                <w:szCs w:val="21"/>
              </w:rPr>
            </w:pPr>
          </w:p>
        </w:tc>
        <w:tc>
          <w:tcPr>
            <w:tcW w:w="1984" w:type="dxa"/>
          </w:tcPr>
          <w:p w14:paraId="46424343">
            <w:pPr>
              <w:spacing w:line="400" w:lineRule="exact"/>
              <w:ind w:firstLine="420" w:firstLineChars="200"/>
              <w:rPr>
                <w:rFonts w:ascii="宋体" w:hAnsi="宋体"/>
                <w:szCs w:val="21"/>
              </w:rPr>
            </w:pPr>
          </w:p>
        </w:tc>
        <w:tc>
          <w:tcPr>
            <w:tcW w:w="5103" w:type="dxa"/>
          </w:tcPr>
          <w:p w14:paraId="03B6F8BB">
            <w:pPr>
              <w:spacing w:line="400" w:lineRule="exact"/>
              <w:ind w:firstLine="420" w:firstLineChars="200"/>
              <w:rPr>
                <w:rFonts w:ascii="宋体" w:hAnsi="宋体"/>
                <w:szCs w:val="21"/>
              </w:rPr>
            </w:pPr>
          </w:p>
        </w:tc>
        <w:tc>
          <w:tcPr>
            <w:tcW w:w="1560" w:type="dxa"/>
          </w:tcPr>
          <w:p w14:paraId="035147A6">
            <w:pPr>
              <w:spacing w:line="400" w:lineRule="exact"/>
              <w:ind w:firstLine="420" w:firstLineChars="200"/>
              <w:rPr>
                <w:rFonts w:ascii="宋体" w:hAnsi="宋体"/>
                <w:szCs w:val="21"/>
              </w:rPr>
            </w:pPr>
          </w:p>
        </w:tc>
      </w:tr>
      <w:tr w14:paraId="148F1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F79C6C9">
            <w:pPr>
              <w:spacing w:line="400" w:lineRule="exact"/>
              <w:ind w:firstLine="420" w:firstLineChars="200"/>
              <w:rPr>
                <w:rFonts w:ascii="宋体" w:hAnsi="宋体"/>
                <w:szCs w:val="21"/>
              </w:rPr>
            </w:pPr>
          </w:p>
        </w:tc>
        <w:tc>
          <w:tcPr>
            <w:tcW w:w="1984" w:type="dxa"/>
          </w:tcPr>
          <w:p w14:paraId="4218B543">
            <w:pPr>
              <w:spacing w:line="400" w:lineRule="exact"/>
              <w:ind w:firstLine="420" w:firstLineChars="200"/>
              <w:rPr>
                <w:rFonts w:ascii="宋体" w:hAnsi="宋体"/>
                <w:szCs w:val="21"/>
              </w:rPr>
            </w:pPr>
          </w:p>
        </w:tc>
        <w:tc>
          <w:tcPr>
            <w:tcW w:w="5103" w:type="dxa"/>
          </w:tcPr>
          <w:p w14:paraId="65F7FEC8">
            <w:pPr>
              <w:spacing w:line="400" w:lineRule="exact"/>
              <w:ind w:firstLine="420" w:firstLineChars="200"/>
              <w:rPr>
                <w:rFonts w:ascii="宋体" w:hAnsi="宋体"/>
                <w:szCs w:val="21"/>
              </w:rPr>
            </w:pPr>
          </w:p>
        </w:tc>
        <w:tc>
          <w:tcPr>
            <w:tcW w:w="1560" w:type="dxa"/>
          </w:tcPr>
          <w:p w14:paraId="4060A4D5">
            <w:pPr>
              <w:spacing w:line="400" w:lineRule="exact"/>
              <w:ind w:firstLine="420" w:firstLineChars="200"/>
              <w:rPr>
                <w:rFonts w:ascii="宋体" w:hAnsi="宋体"/>
                <w:szCs w:val="21"/>
              </w:rPr>
            </w:pPr>
          </w:p>
        </w:tc>
      </w:tr>
      <w:tr w14:paraId="63CDF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79EA251E">
            <w:pPr>
              <w:spacing w:line="400" w:lineRule="exact"/>
              <w:ind w:firstLine="420" w:firstLineChars="200"/>
              <w:rPr>
                <w:rFonts w:ascii="宋体" w:hAnsi="宋体"/>
                <w:szCs w:val="21"/>
              </w:rPr>
            </w:pPr>
          </w:p>
        </w:tc>
        <w:tc>
          <w:tcPr>
            <w:tcW w:w="1984" w:type="dxa"/>
          </w:tcPr>
          <w:p w14:paraId="33611581">
            <w:pPr>
              <w:spacing w:line="400" w:lineRule="exact"/>
              <w:ind w:firstLine="420" w:firstLineChars="200"/>
              <w:rPr>
                <w:rFonts w:ascii="宋体" w:hAnsi="宋体"/>
                <w:szCs w:val="21"/>
              </w:rPr>
            </w:pPr>
          </w:p>
        </w:tc>
        <w:tc>
          <w:tcPr>
            <w:tcW w:w="5103" w:type="dxa"/>
          </w:tcPr>
          <w:p w14:paraId="72DB832B">
            <w:pPr>
              <w:spacing w:line="400" w:lineRule="exact"/>
              <w:ind w:firstLine="420" w:firstLineChars="200"/>
              <w:rPr>
                <w:rFonts w:ascii="宋体" w:hAnsi="宋体"/>
                <w:szCs w:val="21"/>
              </w:rPr>
            </w:pPr>
          </w:p>
        </w:tc>
        <w:tc>
          <w:tcPr>
            <w:tcW w:w="1560" w:type="dxa"/>
          </w:tcPr>
          <w:p w14:paraId="3B837A36">
            <w:pPr>
              <w:spacing w:line="400" w:lineRule="exact"/>
              <w:ind w:firstLine="420" w:firstLineChars="200"/>
              <w:rPr>
                <w:rFonts w:ascii="宋体" w:hAnsi="宋体"/>
                <w:szCs w:val="21"/>
              </w:rPr>
            </w:pPr>
          </w:p>
        </w:tc>
      </w:tr>
      <w:tr w14:paraId="5D03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9499E44">
            <w:pPr>
              <w:spacing w:line="400" w:lineRule="exact"/>
              <w:ind w:firstLine="420" w:firstLineChars="200"/>
              <w:rPr>
                <w:rFonts w:ascii="宋体" w:hAnsi="宋体"/>
                <w:szCs w:val="21"/>
              </w:rPr>
            </w:pPr>
          </w:p>
        </w:tc>
        <w:tc>
          <w:tcPr>
            <w:tcW w:w="1984" w:type="dxa"/>
          </w:tcPr>
          <w:p w14:paraId="10360B29">
            <w:pPr>
              <w:spacing w:line="400" w:lineRule="exact"/>
              <w:ind w:firstLine="420" w:firstLineChars="200"/>
              <w:rPr>
                <w:rFonts w:ascii="宋体" w:hAnsi="宋体"/>
                <w:szCs w:val="21"/>
              </w:rPr>
            </w:pPr>
          </w:p>
        </w:tc>
        <w:tc>
          <w:tcPr>
            <w:tcW w:w="5103" w:type="dxa"/>
          </w:tcPr>
          <w:p w14:paraId="245B2176">
            <w:pPr>
              <w:spacing w:line="400" w:lineRule="exact"/>
              <w:ind w:firstLine="420" w:firstLineChars="200"/>
              <w:rPr>
                <w:rFonts w:ascii="宋体" w:hAnsi="宋体"/>
                <w:szCs w:val="21"/>
              </w:rPr>
            </w:pPr>
          </w:p>
        </w:tc>
        <w:tc>
          <w:tcPr>
            <w:tcW w:w="1560" w:type="dxa"/>
          </w:tcPr>
          <w:p w14:paraId="18296B0C">
            <w:pPr>
              <w:spacing w:line="400" w:lineRule="exact"/>
              <w:ind w:firstLine="420" w:firstLineChars="200"/>
              <w:rPr>
                <w:rFonts w:ascii="宋体" w:hAnsi="宋体"/>
                <w:szCs w:val="21"/>
              </w:rPr>
            </w:pPr>
          </w:p>
        </w:tc>
      </w:tr>
      <w:tr w14:paraId="58ED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4D08EF88">
            <w:pPr>
              <w:spacing w:line="400" w:lineRule="exact"/>
              <w:ind w:firstLine="420" w:firstLineChars="200"/>
              <w:rPr>
                <w:rFonts w:ascii="宋体" w:hAnsi="宋体"/>
                <w:szCs w:val="21"/>
              </w:rPr>
            </w:pPr>
          </w:p>
        </w:tc>
        <w:tc>
          <w:tcPr>
            <w:tcW w:w="1984" w:type="dxa"/>
          </w:tcPr>
          <w:p w14:paraId="48FAC798">
            <w:pPr>
              <w:spacing w:line="400" w:lineRule="exact"/>
              <w:ind w:firstLine="420" w:firstLineChars="200"/>
              <w:rPr>
                <w:rFonts w:ascii="宋体" w:hAnsi="宋体"/>
                <w:szCs w:val="21"/>
              </w:rPr>
            </w:pPr>
          </w:p>
        </w:tc>
        <w:tc>
          <w:tcPr>
            <w:tcW w:w="5103" w:type="dxa"/>
          </w:tcPr>
          <w:p w14:paraId="59ED67FB">
            <w:pPr>
              <w:spacing w:line="400" w:lineRule="exact"/>
              <w:ind w:firstLine="420" w:firstLineChars="200"/>
              <w:rPr>
                <w:rFonts w:ascii="宋体" w:hAnsi="宋体"/>
                <w:szCs w:val="21"/>
              </w:rPr>
            </w:pPr>
          </w:p>
        </w:tc>
        <w:tc>
          <w:tcPr>
            <w:tcW w:w="1560" w:type="dxa"/>
          </w:tcPr>
          <w:p w14:paraId="12FDC745">
            <w:pPr>
              <w:spacing w:line="400" w:lineRule="exact"/>
              <w:ind w:firstLine="420" w:firstLineChars="200"/>
              <w:rPr>
                <w:rFonts w:ascii="宋体" w:hAnsi="宋体"/>
                <w:szCs w:val="21"/>
              </w:rPr>
            </w:pPr>
          </w:p>
        </w:tc>
      </w:tr>
      <w:tr w14:paraId="60895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5E0EF2E6">
            <w:pPr>
              <w:spacing w:line="400" w:lineRule="exact"/>
              <w:ind w:firstLine="420" w:firstLineChars="200"/>
              <w:rPr>
                <w:rFonts w:ascii="宋体" w:hAnsi="宋体"/>
                <w:szCs w:val="21"/>
              </w:rPr>
            </w:pPr>
          </w:p>
        </w:tc>
        <w:tc>
          <w:tcPr>
            <w:tcW w:w="1984" w:type="dxa"/>
          </w:tcPr>
          <w:p w14:paraId="1966B96F">
            <w:pPr>
              <w:spacing w:line="400" w:lineRule="exact"/>
              <w:ind w:firstLine="420" w:firstLineChars="200"/>
              <w:rPr>
                <w:rFonts w:ascii="宋体" w:hAnsi="宋体"/>
                <w:szCs w:val="21"/>
              </w:rPr>
            </w:pPr>
          </w:p>
        </w:tc>
        <w:tc>
          <w:tcPr>
            <w:tcW w:w="5103" w:type="dxa"/>
          </w:tcPr>
          <w:p w14:paraId="6D2AC81E">
            <w:pPr>
              <w:spacing w:line="400" w:lineRule="exact"/>
              <w:ind w:firstLine="420" w:firstLineChars="200"/>
              <w:rPr>
                <w:rFonts w:ascii="宋体" w:hAnsi="宋体"/>
                <w:szCs w:val="21"/>
              </w:rPr>
            </w:pPr>
          </w:p>
        </w:tc>
        <w:tc>
          <w:tcPr>
            <w:tcW w:w="1560" w:type="dxa"/>
          </w:tcPr>
          <w:p w14:paraId="53CBBDFB">
            <w:pPr>
              <w:spacing w:line="400" w:lineRule="exact"/>
              <w:ind w:firstLine="420" w:firstLineChars="200"/>
              <w:rPr>
                <w:rFonts w:ascii="宋体" w:hAnsi="宋体"/>
                <w:szCs w:val="21"/>
              </w:rPr>
            </w:pPr>
          </w:p>
        </w:tc>
      </w:tr>
      <w:tr w14:paraId="0E169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14:paraId="62FDFDAF">
            <w:pPr>
              <w:spacing w:line="400" w:lineRule="exact"/>
              <w:ind w:firstLine="420" w:firstLineChars="200"/>
              <w:rPr>
                <w:rFonts w:ascii="宋体" w:hAnsi="宋体"/>
                <w:szCs w:val="21"/>
              </w:rPr>
            </w:pPr>
          </w:p>
        </w:tc>
        <w:tc>
          <w:tcPr>
            <w:tcW w:w="1984" w:type="dxa"/>
          </w:tcPr>
          <w:p w14:paraId="765C4929">
            <w:pPr>
              <w:spacing w:line="400" w:lineRule="exact"/>
              <w:ind w:firstLine="420" w:firstLineChars="200"/>
              <w:rPr>
                <w:rFonts w:ascii="宋体" w:hAnsi="宋体"/>
                <w:szCs w:val="21"/>
              </w:rPr>
            </w:pPr>
          </w:p>
        </w:tc>
        <w:tc>
          <w:tcPr>
            <w:tcW w:w="5103" w:type="dxa"/>
          </w:tcPr>
          <w:p w14:paraId="24D37CF6">
            <w:pPr>
              <w:spacing w:line="400" w:lineRule="exact"/>
              <w:ind w:firstLine="420" w:firstLineChars="200"/>
              <w:rPr>
                <w:rFonts w:ascii="宋体" w:hAnsi="宋体"/>
                <w:szCs w:val="21"/>
              </w:rPr>
            </w:pPr>
          </w:p>
        </w:tc>
        <w:tc>
          <w:tcPr>
            <w:tcW w:w="1560" w:type="dxa"/>
          </w:tcPr>
          <w:p w14:paraId="51883387">
            <w:pPr>
              <w:spacing w:line="400" w:lineRule="exact"/>
              <w:ind w:firstLine="420" w:firstLineChars="200"/>
              <w:rPr>
                <w:rFonts w:ascii="宋体" w:hAnsi="宋体"/>
                <w:szCs w:val="21"/>
              </w:rPr>
            </w:pPr>
          </w:p>
        </w:tc>
      </w:tr>
      <w:tr w14:paraId="6173D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9526" w:type="dxa"/>
            <w:gridSpan w:val="4"/>
          </w:tcPr>
          <w:p w14:paraId="161F03D4">
            <w:pPr>
              <w:spacing w:line="400" w:lineRule="exact"/>
              <w:ind w:firstLine="420" w:firstLineChars="200"/>
              <w:rPr>
                <w:rFonts w:ascii="宋体" w:hAnsi="宋体"/>
                <w:szCs w:val="21"/>
              </w:rPr>
            </w:pPr>
            <w:r>
              <w:rPr>
                <w:rFonts w:hint="eastAsia" w:ascii="宋体" w:hAnsi="宋体"/>
                <w:szCs w:val="21"/>
              </w:rPr>
              <w:t>小计：</w:t>
            </w:r>
          </w:p>
        </w:tc>
      </w:tr>
    </w:tbl>
    <w:p w14:paraId="70A1191A">
      <w:pPr>
        <w:spacing w:line="360" w:lineRule="auto"/>
        <w:ind w:firstLine="420" w:firstLineChars="200"/>
        <w:rPr>
          <w:rFonts w:ascii="宋体" w:hAnsi="宋体"/>
          <w:szCs w:val="21"/>
        </w:rPr>
      </w:pPr>
    </w:p>
    <w:p w14:paraId="6CBC9E39">
      <w:pPr>
        <w:pStyle w:val="2"/>
        <w:spacing w:line="360" w:lineRule="auto"/>
        <w:rPr>
          <w:rFonts w:ascii="宋体" w:hAnsi="宋体"/>
          <w:szCs w:val="21"/>
        </w:rPr>
      </w:pPr>
    </w:p>
    <w:p w14:paraId="495FAEC2">
      <w:pPr>
        <w:spacing w:line="480" w:lineRule="auto"/>
        <w:ind w:firstLine="420" w:firstLineChars="200"/>
        <w:rPr>
          <w:rFonts w:ascii="宋体" w:hAnsi="宋体"/>
          <w:szCs w:val="21"/>
        </w:rPr>
      </w:pPr>
      <w:r>
        <w:rPr>
          <w:rFonts w:ascii="宋体" w:hAnsi="宋体"/>
          <w:szCs w:val="21"/>
        </w:rPr>
        <w:br w:type="page"/>
      </w:r>
    </w:p>
    <w:p w14:paraId="1E9F4C43">
      <w:pPr>
        <w:spacing w:line="480" w:lineRule="auto"/>
        <w:rPr>
          <w:rFonts w:ascii="宋体" w:hAnsi="宋体"/>
          <w:szCs w:val="21"/>
        </w:rPr>
      </w:pPr>
      <w:r>
        <w:rPr>
          <w:rFonts w:hint="eastAsia" w:ascii="宋体" w:hAnsi="宋体"/>
          <w:szCs w:val="21"/>
        </w:rPr>
        <w:t>附件</w:t>
      </w:r>
      <w:r>
        <w:rPr>
          <w:rFonts w:ascii="宋体" w:hAnsi="宋体"/>
          <w:szCs w:val="21"/>
        </w:rPr>
        <w:t>8</w:t>
      </w:r>
      <w:r>
        <w:rPr>
          <w:rFonts w:hint="eastAsia" w:ascii="宋体" w:hAnsi="宋体"/>
          <w:szCs w:val="21"/>
        </w:rPr>
        <w:t>：</w:t>
      </w:r>
    </w:p>
    <w:p w14:paraId="3084D1F6">
      <w:pPr>
        <w:spacing w:before="156" w:beforeLines="50" w:after="156" w:afterLines="50" w:line="480" w:lineRule="auto"/>
        <w:jc w:val="center"/>
        <w:rPr>
          <w:rFonts w:ascii="宋体" w:hAnsi="宋体"/>
          <w:szCs w:val="21"/>
        </w:rPr>
      </w:pPr>
      <w:r>
        <w:rPr>
          <w:rFonts w:hint="eastAsia" w:ascii="宋体" w:hAnsi="宋体"/>
          <w:szCs w:val="21"/>
        </w:rPr>
        <w:t>廉洁从业协议</w:t>
      </w:r>
    </w:p>
    <w:p w14:paraId="0A74C655">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4B20FC4F">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2BEECC3E">
      <w:pPr>
        <w:spacing w:line="360" w:lineRule="auto"/>
        <w:ind w:firstLine="420" w:firstLineChars="200"/>
        <w:rPr>
          <w:rFonts w:ascii="宋体" w:hAnsi="宋体"/>
          <w:szCs w:val="21"/>
        </w:rPr>
      </w:pPr>
      <w:r>
        <w:rPr>
          <w:rFonts w:hint="eastAsia" w:ascii="宋体" w:hAnsi="宋体"/>
          <w:szCs w:val="21"/>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14:paraId="3DF1B69F">
      <w:pPr>
        <w:spacing w:line="360" w:lineRule="auto"/>
        <w:ind w:firstLine="420" w:firstLineChars="200"/>
        <w:rPr>
          <w:rFonts w:ascii="宋体" w:hAnsi="宋体"/>
          <w:szCs w:val="21"/>
        </w:rPr>
      </w:pPr>
      <w:r>
        <w:rPr>
          <w:rFonts w:hint="eastAsia" w:ascii="宋体" w:hAnsi="宋体"/>
          <w:szCs w:val="21"/>
        </w:rPr>
        <w:t xml:space="preserve"> 1. 发包人承包人的权利和义务</w:t>
      </w:r>
    </w:p>
    <w:p w14:paraId="744B2163">
      <w:pPr>
        <w:spacing w:line="360" w:lineRule="auto"/>
        <w:ind w:firstLine="420" w:firstLineChars="200"/>
        <w:rPr>
          <w:rFonts w:ascii="宋体" w:hAnsi="宋体"/>
          <w:szCs w:val="21"/>
        </w:rPr>
      </w:pPr>
      <w:r>
        <w:rPr>
          <w:rFonts w:hint="eastAsia" w:ascii="宋体" w:hAnsi="宋体"/>
          <w:szCs w:val="21"/>
        </w:rPr>
        <w:t>（1）严格遵守党的政策规定和国家有关法律法规及相关部门的有关规定。</w:t>
      </w:r>
    </w:p>
    <w:p w14:paraId="6288D06E">
      <w:pPr>
        <w:spacing w:line="360" w:lineRule="auto"/>
        <w:ind w:firstLine="420" w:firstLineChars="200"/>
        <w:rPr>
          <w:rFonts w:ascii="宋体" w:hAnsi="宋体"/>
          <w:szCs w:val="21"/>
        </w:rPr>
      </w:pPr>
      <w:r>
        <w:rPr>
          <w:rFonts w:hint="eastAsia" w:ascii="宋体" w:hAnsi="宋体"/>
          <w:szCs w:val="21"/>
        </w:rPr>
        <w:t>（2）严格执行 工程的合同文件，自觉按合同办事。</w:t>
      </w:r>
    </w:p>
    <w:p w14:paraId="63BAF4C0">
      <w:pPr>
        <w:spacing w:line="360" w:lineRule="auto"/>
        <w:ind w:firstLine="420" w:firstLineChars="200"/>
        <w:rPr>
          <w:rFonts w:ascii="宋体" w:hAnsi="宋体"/>
          <w:szCs w:val="21"/>
        </w:rPr>
      </w:pPr>
      <w:r>
        <w:rPr>
          <w:rFonts w:hint="eastAsia" w:ascii="宋体" w:hAnsi="宋体"/>
          <w:szCs w:val="21"/>
        </w:rPr>
        <w:t>（3）双方的业务活动坚持公开、公正、诚信、透明的原则（法律认定的商业秘密和合同文件另有规定除外），不得损害国家和集体利益，违反工程建设管理规章制度。</w:t>
      </w:r>
    </w:p>
    <w:p w14:paraId="7D1B4BC2">
      <w:pPr>
        <w:spacing w:line="360" w:lineRule="auto"/>
        <w:ind w:firstLine="420" w:firstLineChars="200"/>
        <w:rPr>
          <w:rFonts w:ascii="宋体" w:hAnsi="宋体"/>
          <w:szCs w:val="21"/>
        </w:rPr>
      </w:pPr>
      <w:r>
        <w:rPr>
          <w:rFonts w:hint="eastAsia" w:ascii="宋体" w:hAnsi="宋体"/>
          <w:szCs w:val="21"/>
        </w:rPr>
        <w:t>（4）建立健全廉政制度，开展廉政教育，设立廉政告示牌，公布举报电话，监督并认真查处违法违纪行为。</w:t>
      </w:r>
    </w:p>
    <w:p w14:paraId="59E7CB70">
      <w:pPr>
        <w:spacing w:line="360" w:lineRule="auto"/>
        <w:ind w:firstLine="420" w:firstLineChars="200"/>
        <w:rPr>
          <w:rFonts w:ascii="宋体" w:hAnsi="宋体"/>
          <w:szCs w:val="21"/>
        </w:rPr>
      </w:pPr>
      <w:r>
        <w:rPr>
          <w:rFonts w:hint="eastAsia" w:ascii="宋体" w:hAnsi="宋体"/>
          <w:szCs w:val="21"/>
        </w:rPr>
        <w:t>（5）发现对方在业务活动中有违反廉政规定的行为，有及时提醒对方纠正的权利和义务。</w:t>
      </w:r>
    </w:p>
    <w:p w14:paraId="63C27AFB">
      <w:pPr>
        <w:spacing w:line="360" w:lineRule="auto"/>
        <w:ind w:firstLine="420" w:firstLineChars="200"/>
        <w:rPr>
          <w:rFonts w:ascii="宋体" w:hAnsi="宋体"/>
          <w:szCs w:val="21"/>
        </w:rPr>
      </w:pPr>
      <w:r>
        <w:rPr>
          <w:rFonts w:hint="eastAsia" w:ascii="宋体" w:hAnsi="宋体"/>
          <w:szCs w:val="21"/>
        </w:rPr>
        <w:t>（6）发现对方严重违反协议义务条款的行为，有向其上级有关部门举报、建议给予处理并要求告知处理结果的权利。</w:t>
      </w:r>
    </w:p>
    <w:p w14:paraId="1C6EA09E">
      <w:pPr>
        <w:spacing w:line="360" w:lineRule="auto"/>
        <w:ind w:firstLine="420" w:firstLineChars="200"/>
        <w:rPr>
          <w:rFonts w:ascii="宋体" w:hAnsi="宋体"/>
          <w:szCs w:val="21"/>
        </w:rPr>
      </w:pPr>
      <w:r>
        <w:rPr>
          <w:rFonts w:hint="eastAsia" w:ascii="宋体" w:hAnsi="宋体"/>
          <w:szCs w:val="21"/>
        </w:rPr>
        <w:t>2. 发包人的义务</w:t>
      </w:r>
    </w:p>
    <w:p w14:paraId="2B6DC1FB">
      <w:pPr>
        <w:spacing w:line="360" w:lineRule="auto"/>
        <w:ind w:firstLine="420" w:firstLineChars="200"/>
        <w:rPr>
          <w:rFonts w:ascii="宋体" w:hAnsi="宋体"/>
          <w:szCs w:val="21"/>
        </w:rPr>
      </w:pPr>
      <w:r>
        <w:rPr>
          <w:rFonts w:hint="eastAsia" w:ascii="宋体" w:hAnsi="宋体"/>
          <w:szCs w:val="21"/>
        </w:rPr>
        <w:t>（1）发包人及其工作人员不得索要或接受承包人的礼金、有价证券和贵重物品，不得在承包人报销任何应由发包人或发包人工作人员个人支付的费用等。</w:t>
      </w:r>
    </w:p>
    <w:p w14:paraId="1D761ECA">
      <w:pPr>
        <w:spacing w:line="360" w:lineRule="auto"/>
        <w:ind w:firstLine="420" w:firstLineChars="200"/>
        <w:rPr>
          <w:rFonts w:ascii="宋体" w:hAnsi="宋体"/>
          <w:szCs w:val="21"/>
        </w:rPr>
      </w:pPr>
      <w:r>
        <w:rPr>
          <w:rFonts w:hint="eastAsia" w:ascii="宋体" w:hAnsi="宋体"/>
          <w:szCs w:val="21"/>
        </w:rPr>
        <w:t>（2）发包人工作人员不得参加承包人安排的超标准宴请和娱乐活动；不得接受承包人提供的通讯工具、交通工具和高档办公用品等。</w:t>
      </w:r>
    </w:p>
    <w:p w14:paraId="13F9295E">
      <w:pPr>
        <w:spacing w:line="360" w:lineRule="auto"/>
        <w:ind w:firstLine="420" w:firstLineChars="200"/>
        <w:rPr>
          <w:rFonts w:ascii="宋体" w:hAnsi="宋体"/>
          <w:szCs w:val="21"/>
        </w:rPr>
      </w:pPr>
      <w:r>
        <w:rPr>
          <w:rFonts w:hint="eastAsia" w:ascii="宋体" w:hAnsi="宋体"/>
          <w:szCs w:val="21"/>
        </w:rPr>
        <w:t>（3）发包人及其工作人员不得要求或者接受承包人为其住房装修、婚丧嫁娶活动、配偶子女的工作安排以及出国出境、旅游等提供方便等。</w:t>
      </w:r>
    </w:p>
    <w:p w14:paraId="2AE6A61E">
      <w:pPr>
        <w:spacing w:line="360" w:lineRule="auto"/>
        <w:ind w:firstLine="420" w:firstLineChars="200"/>
        <w:rPr>
          <w:rFonts w:ascii="宋体" w:hAnsi="宋体"/>
          <w:szCs w:val="21"/>
        </w:rPr>
      </w:pPr>
      <w:r>
        <w:rPr>
          <w:rFonts w:hint="eastAsia" w:ascii="宋体" w:hAnsi="宋体"/>
          <w:szCs w:val="21"/>
        </w:rPr>
        <w:t>（4）发包人工作人员及其配偶、子女不得从事与发包人工程有关的材料设备供应、工程分包、劳务等经济活动等。</w:t>
      </w:r>
    </w:p>
    <w:p w14:paraId="406C29F4">
      <w:pPr>
        <w:spacing w:line="360" w:lineRule="auto"/>
        <w:ind w:firstLine="420" w:firstLineChars="200"/>
        <w:rPr>
          <w:rFonts w:ascii="宋体" w:hAnsi="宋体"/>
          <w:szCs w:val="21"/>
        </w:rPr>
      </w:pPr>
      <w:r>
        <w:rPr>
          <w:rFonts w:hint="eastAsia" w:ascii="宋体" w:hAnsi="宋体"/>
          <w:szCs w:val="21"/>
        </w:rPr>
        <w:t>（5）发包人及其工作人员不得以任何理由向承包人推荐分包单位或推销材料，不得要求承包人购买合同规定外的材料和设备。</w:t>
      </w:r>
    </w:p>
    <w:p w14:paraId="45F441DD">
      <w:pPr>
        <w:spacing w:line="360" w:lineRule="auto"/>
        <w:ind w:firstLine="420" w:firstLineChars="200"/>
        <w:rPr>
          <w:rFonts w:ascii="宋体" w:hAnsi="宋体"/>
          <w:szCs w:val="21"/>
        </w:rPr>
      </w:pPr>
      <w:r>
        <w:rPr>
          <w:rFonts w:hint="eastAsia" w:ascii="宋体" w:hAnsi="宋体"/>
          <w:szCs w:val="21"/>
        </w:rPr>
        <w:t>（6）发包人工作人员要秉公办事，不准营私舞弊，不准利用职权从事各种个人有偿中介活动和安排个人施工队伍。</w:t>
      </w:r>
    </w:p>
    <w:p w14:paraId="0A23D049">
      <w:pPr>
        <w:spacing w:line="360" w:lineRule="auto"/>
        <w:ind w:firstLine="420" w:firstLineChars="200"/>
        <w:rPr>
          <w:rFonts w:ascii="宋体" w:hAnsi="宋体"/>
          <w:szCs w:val="21"/>
        </w:rPr>
      </w:pPr>
      <w:r>
        <w:rPr>
          <w:rFonts w:hint="eastAsia" w:ascii="宋体" w:hAnsi="宋体"/>
          <w:szCs w:val="21"/>
        </w:rPr>
        <w:t>3. 承包人义务</w:t>
      </w:r>
    </w:p>
    <w:p w14:paraId="17A428C5">
      <w:pPr>
        <w:spacing w:line="360" w:lineRule="auto"/>
        <w:ind w:firstLine="420" w:firstLineChars="200"/>
        <w:rPr>
          <w:rFonts w:ascii="宋体" w:hAnsi="宋体"/>
          <w:szCs w:val="21"/>
        </w:rPr>
      </w:pPr>
      <w:r>
        <w:rPr>
          <w:rFonts w:hint="eastAsia" w:ascii="宋体" w:hAnsi="宋体"/>
          <w:szCs w:val="21"/>
        </w:rPr>
        <w:t>（1）承包人不得以任何理由向发包人及其工作人员行贿或馈赠礼金、有价证券、贵重礼品。</w:t>
      </w:r>
    </w:p>
    <w:p w14:paraId="21F2BC75">
      <w:pPr>
        <w:spacing w:line="360" w:lineRule="auto"/>
        <w:ind w:firstLine="420" w:firstLineChars="200"/>
        <w:rPr>
          <w:rFonts w:ascii="宋体" w:hAnsi="宋体"/>
          <w:szCs w:val="21"/>
        </w:rPr>
      </w:pPr>
      <w:r>
        <w:rPr>
          <w:rFonts w:hint="eastAsia" w:ascii="宋体" w:hAnsi="宋体"/>
          <w:szCs w:val="21"/>
        </w:rPr>
        <w:t>（2）承包人不得以任何名义为发包人及其工作人员报销应由发包人单位或个人支付的任何费用。</w:t>
      </w:r>
    </w:p>
    <w:p w14:paraId="06D3857B">
      <w:pPr>
        <w:spacing w:line="360" w:lineRule="auto"/>
        <w:ind w:firstLine="420" w:firstLineChars="200"/>
        <w:rPr>
          <w:rFonts w:ascii="宋体" w:hAnsi="宋体"/>
          <w:szCs w:val="21"/>
        </w:rPr>
      </w:pPr>
      <w:r>
        <w:rPr>
          <w:rFonts w:hint="eastAsia" w:ascii="宋体" w:hAnsi="宋体"/>
          <w:szCs w:val="21"/>
        </w:rPr>
        <w:t>（3）承包人不得以任何理由安排发包人工作人员参加超标准宴请及娱乐活动。</w:t>
      </w:r>
    </w:p>
    <w:p w14:paraId="2B3D4EA0">
      <w:pPr>
        <w:spacing w:line="360" w:lineRule="auto"/>
        <w:ind w:firstLine="420" w:firstLineChars="200"/>
        <w:rPr>
          <w:rFonts w:ascii="宋体" w:hAnsi="宋体"/>
          <w:szCs w:val="21"/>
        </w:rPr>
      </w:pPr>
      <w:r>
        <w:rPr>
          <w:rFonts w:hint="eastAsia" w:ascii="宋体" w:hAnsi="宋体"/>
          <w:szCs w:val="21"/>
        </w:rPr>
        <w:t>（4）承包人不得为发包人单位和个人购置或提供通讯工具、交通工具和高档办公用品等。</w:t>
      </w:r>
    </w:p>
    <w:p w14:paraId="26121448">
      <w:pPr>
        <w:spacing w:line="360" w:lineRule="auto"/>
        <w:ind w:firstLine="420" w:firstLineChars="200"/>
        <w:rPr>
          <w:rFonts w:ascii="宋体" w:hAnsi="宋体"/>
          <w:szCs w:val="21"/>
        </w:rPr>
      </w:pPr>
      <w:r>
        <w:rPr>
          <w:rFonts w:hint="eastAsia" w:ascii="宋体" w:hAnsi="宋体"/>
          <w:szCs w:val="21"/>
        </w:rPr>
        <w:t>4. 违约责任</w:t>
      </w:r>
    </w:p>
    <w:p w14:paraId="7CF3C91F">
      <w:pPr>
        <w:spacing w:line="360" w:lineRule="auto"/>
        <w:ind w:firstLine="420" w:firstLineChars="200"/>
        <w:rPr>
          <w:rFonts w:ascii="宋体" w:hAnsi="宋体"/>
          <w:szCs w:val="21"/>
        </w:rPr>
      </w:pPr>
      <w:r>
        <w:rPr>
          <w:rFonts w:hint="eastAsia" w:ascii="宋体" w:hAnsi="宋体"/>
          <w:szCs w:val="21"/>
        </w:rPr>
        <w:t>（1）发包人及其工作人员违反合同第1、2条，按管理权限，依据有关规定给予党纪、政纪或组织处理；涉嫌犯罪的，移交司法机关追究刑事责任；给承包人单位造成经济损失的，应予以赔偿。</w:t>
      </w:r>
    </w:p>
    <w:p w14:paraId="46CD7B72">
      <w:pPr>
        <w:spacing w:line="360" w:lineRule="auto"/>
        <w:ind w:firstLine="420" w:firstLineChars="200"/>
        <w:rPr>
          <w:rFonts w:ascii="宋体" w:hAnsi="宋体"/>
          <w:szCs w:val="21"/>
        </w:rPr>
      </w:pPr>
      <w:r>
        <w:rPr>
          <w:rFonts w:hint="eastAsia" w:ascii="宋体" w:hAnsi="宋体"/>
          <w:szCs w:val="21"/>
        </w:rPr>
        <w:t>（2）承包人及其工作人员违反合同第1、3条，按管理权限，依据有关规定给予党纪、政纪或组织处理；给发包人单位造成经济损失的，应予以赔偿。</w:t>
      </w:r>
    </w:p>
    <w:p w14:paraId="309753CC">
      <w:pPr>
        <w:spacing w:line="360" w:lineRule="auto"/>
        <w:ind w:firstLine="420" w:firstLineChars="200"/>
        <w:rPr>
          <w:rFonts w:ascii="宋体" w:hAnsi="宋体"/>
          <w:szCs w:val="21"/>
        </w:rPr>
      </w:pPr>
      <w:r>
        <w:rPr>
          <w:rFonts w:hint="eastAsia" w:ascii="宋体" w:hAnsi="宋体"/>
          <w:szCs w:val="21"/>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14:paraId="09611CB9">
      <w:pPr>
        <w:spacing w:line="360" w:lineRule="auto"/>
        <w:ind w:firstLine="420" w:firstLineChars="200"/>
        <w:rPr>
          <w:rFonts w:ascii="宋体" w:hAnsi="宋体"/>
          <w:szCs w:val="21"/>
        </w:rPr>
      </w:pPr>
      <w:r>
        <w:rPr>
          <w:rFonts w:hint="eastAsia" w:ascii="宋体" w:hAnsi="宋体"/>
          <w:szCs w:val="21"/>
        </w:rPr>
        <w:t>6. 协议有效期为甲乙双方签署之日起至该工程项目竣工验收后止。</w:t>
      </w:r>
    </w:p>
    <w:p w14:paraId="626DCD52">
      <w:pPr>
        <w:spacing w:line="360" w:lineRule="auto"/>
        <w:ind w:firstLine="420" w:firstLineChars="200"/>
        <w:rPr>
          <w:rFonts w:ascii="宋体" w:hAnsi="宋体"/>
          <w:szCs w:val="21"/>
        </w:rPr>
      </w:pPr>
      <w:r>
        <w:rPr>
          <w:rFonts w:hint="eastAsia" w:ascii="宋体" w:hAnsi="宋体"/>
          <w:szCs w:val="21"/>
        </w:rPr>
        <w:t>7.协议作为 工程施工合同的附件，与工程施工合同具有同等的法律效力，经合同双方签署立即生效。</w:t>
      </w:r>
    </w:p>
    <w:p w14:paraId="4FDBFB99">
      <w:pPr>
        <w:spacing w:line="360" w:lineRule="auto"/>
        <w:ind w:firstLine="420" w:firstLineChars="200"/>
        <w:rPr>
          <w:rFonts w:ascii="宋体" w:hAnsi="宋体"/>
          <w:szCs w:val="21"/>
        </w:rPr>
      </w:pPr>
      <w:r>
        <w:rPr>
          <w:rFonts w:hint="eastAsia" w:ascii="宋体" w:hAnsi="宋体"/>
          <w:szCs w:val="21"/>
        </w:rPr>
        <w:t>（以下无正文）</w:t>
      </w:r>
    </w:p>
    <w:p w14:paraId="346C906B">
      <w:pPr>
        <w:spacing w:line="360" w:lineRule="auto"/>
        <w:rPr>
          <w:rFonts w:ascii="宋体" w:hAnsi="宋体"/>
          <w:szCs w:val="21"/>
        </w:rPr>
      </w:pPr>
    </w:p>
    <w:p w14:paraId="7DC9141C">
      <w:pPr>
        <w:pStyle w:val="2"/>
        <w:spacing w:line="360" w:lineRule="auto"/>
        <w:rPr>
          <w:rFonts w:ascii="宋体" w:hAnsi="宋体"/>
          <w:szCs w:val="21"/>
        </w:rPr>
      </w:pPr>
    </w:p>
    <w:p w14:paraId="66BB50A5">
      <w:pPr>
        <w:pStyle w:val="2"/>
        <w:spacing w:line="360" w:lineRule="auto"/>
        <w:rPr>
          <w:rFonts w:ascii="宋体" w:hAnsi="宋体"/>
          <w:szCs w:val="21"/>
        </w:rPr>
      </w:pPr>
    </w:p>
    <w:p w14:paraId="29D47CDC">
      <w:pPr>
        <w:spacing w:line="360" w:lineRule="auto"/>
        <w:rPr>
          <w:rFonts w:ascii="宋体" w:hAnsi="宋体"/>
          <w:szCs w:val="21"/>
        </w:rPr>
      </w:pPr>
      <w:r>
        <w:rPr>
          <w:rFonts w:hint="eastAsia" w:ascii="宋体" w:hAnsi="宋体"/>
          <w:szCs w:val="21"/>
        </w:rPr>
        <w:t>甲     方：                         乙     方：</w:t>
      </w:r>
    </w:p>
    <w:p w14:paraId="26C229E8">
      <w:pPr>
        <w:spacing w:line="360" w:lineRule="auto"/>
        <w:rPr>
          <w:rFonts w:ascii="宋体" w:hAnsi="宋体"/>
          <w:szCs w:val="21"/>
        </w:rPr>
      </w:pPr>
    </w:p>
    <w:p w14:paraId="197F4354">
      <w:pPr>
        <w:spacing w:line="360" w:lineRule="auto"/>
        <w:rPr>
          <w:rFonts w:ascii="宋体" w:hAnsi="宋体"/>
          <w:szCs w:val="21"/>
        </w:rPr>
      </w:pPr>
    </w:p>
    <w:p w14:paraId="7218DD68">
      <w:pPr>
        <w:spacing w:line="360" w:lineRule="auto"/>
        <w:rPr>
          <w:rFonts w:ascii="宋体" w:hAnsi="宋体"/>
          <w:szCs w:val="21"/>
        </w:rPr>
      </w:pPr>
      <w:r>
        <w:rPr>
          <w:rFonts w:hint="eastAsia" w:ascii="宋体" w:hAnsi="宋体"/>
          <w:szCs w:val="21"/>
        </w:rPr>
        <w:t xml:space="preserve">法定代表人                          法定代表人                      </w:t>
      </w:r>
    </w:p>
    <w:p w14:paraId="4D0EE087">
      <w:pPr>
        <w:spacing w:line="360" w:lineRule="auto"/>
        <w:rPr>
          <w:rFonts w:ascii="宋体" w:hAnsi="宋体"/>
          <w:szCs w:val="21"/>
        </w:rPr>
      </w:pPr>
    </w:p>
    <w:p w14:paraId="0EF6A657">
      <w:pPr>
        <w:spacing w:line="360" w:lineRule="auto"/>
        <w:rPr>
          <w:rFonts w:ascii="宋体" w:hAnsi="宋体"/>
          <w:szCs w:val="21"/>
        </w:rPr>
      </w:pPr>
    </w:p>
    <w:p w14:paraId="5ABBA273">
      <w:pPr>
        <w:spacing w:line="360" w:lineRule="auto"/>
        <w:rPr>
          <w:rFonts w:ascii="宋体" w:hAnsi="宋体"/>
          <w:szCs w:val="21"/>
        </w:rPr>
      </w:pPr>
      <w:r>
        <w:rPr>
          <w:rFonts w:hint="eastAsia" w:ascii="宋体" w:hAnsi="宋体"/>
          <w:szCs w:val="21"/>
        </w:rPr>
        <w:t>或其授权的代理人：                  或授权的代理人：</w:t>
      </w:r>
    </w:p>
    <w:p w14:paraId="1BC2AC0D">
      <w:pPr>
        <w:spacing w:line="480" w:lineRule="auto"/>
        <w:rPr>
          <w:rFonts w:ascii="宋体" w:hAnsi="宋体"/>
          <w:szCs w:val="21"/>
        </w:rPr>
      </w:pPr>
      <w:r>
        <w:rPr>
          <w:rFonts w:hint="eastAsia" w:ascii="宋体" w:hAnsi="宋体"/>
          <w:szCs w:val="21"/>
        </w:rPr>
        <w:br w:type="page"/>
      </w:r>
      <w:r>
        <w:rPr>
          <w:rFonts w:hint="eastAsia" w:ascii="宋体" w:hAnsi="宋体"/>
          <w:szCs w:val="21"/>
        </w:rPr>
        <w:t>附件</w:t>
      </w:r>
      <w:r>
        <w:rPr>
          <w:rFonts w:ascii="宋体" w:hAnsi="宋体"/>
          <w:szCs w:val="21"/>
        </w:rPr>
        <w:t>9</w:t>
      </w:r>
      <w:r>
        <w:rPr>
          <w:rFonts w:hint="eastAsia" w:ascii="宋体" w:hAnsi="宋体"/>
          <w:szCs w:val="21"/>
        </w:rPr>
        <w:t>：</w:t>
      </w:r>
    </w:p>
    <w:p w14:paraId="56DCEB75">
      <w:pPr>
        <w:spacing w:before="156" w:beforeLines="50" w:after="156" w:afterLines="50" w:line="480" w:lineRule="auto"/>
        <w:jc w:val="center"/>
        <w:rPr>
          <w:rFonts w:ascii="宋体" w:hAnsi="宋体"/>
          <w:szCs w:val="21"/>
        </w:rPr>
      </w:pPr>
      <w:bookmarkStart w:id="1817" w:name="_Toc448406299"/>
      <w:bookmarkStart w:id="1818" w:name="_Toc239510288"/>
      <w:bookmarkStart w:id="1819" w:name="_Toc336680145"/>
      <w:bookmarkStart w:id="1820" w:name="_Toc435689499"/>
      <w:bookmarkStart w:id="1821" w:name="_Toc435690184"/>
      <w:bookmarkStart w:id="1822" w:name="_Toc247431422"/>
      <w:r>
        <w:rPr>
          <w:rFonts w:hint="eastAsia" w:ascii="宋体" w:hAnsi="宋体"/>
          <w:szCs w:val="21"/>
        </w:rPr>
        <w:t>安全管理协议</w:t>
      </w:r>
      <w:bookmarkEnd w:id="1817"/>
      <w:bookmarkEnd w:id="1818"/>
      <w:bookmarkEnd w:id="1819"/>
      <w:bookmarkEnd w:id="1820"/>
      <w:bookmarkEnd w:id="1821"/>
      <w:bookmarkEnd w:id="1822"/>
    </w:p>
    <w:p w14:paraId="78B19EBC">
      <w:pPr>
        <w:snapToGrid w:val="0"/>
        <w:spacing w:line="360" w:lineRule="auto"/>
        <w:ind w:firstLine="422" w:firstLineChars="200"/>
        <w:rPr>
          <w:rFonts w:ascii="宋体" w:hAnsi="宋体"/>
          <w:b/>
          <w:szCs w:val="21"/>
          <w:u w:val="single"/>
        </w:rPr>
      </w:pPr>
      <w:r>
        <w:rPr>
          <w:rFonts w:hint="eastAsia" w:ascii="宋体" w:hAnsi="宋体"/>
          <w:b/>
          <w:szCs w:val="21"/>
        </w:rPr>
        <w:t>发包人（全称）：</w:t>
      </w:r>
      <w:r>
        <w:rPr>
          <w:rFonts w:hint="eastAsia" w:ascii="宋体" w:hAnsi="宋体"/>
          <w:szCs w:val="21"/>
          <w:u w:val="single"/>
        </w:rPr>
        <w:t xml:space="preserve">                             </w:t>
      </w:r>
    </w:p>
    <w:p w14:paraId="7D6D4A49">
      <w:pPr>
        <w:snapToGrid w:val="0"/>
        <w:spacing w:line="360" w:lineRule="auto"/>
        <w:ind w:firstLine="422" w:firstLineChars="200"/>
        <w:rPr>
          <w:rFonts w:ascii="宋体" w:hAnsi="宋体"/>
          <w:b/>
          <w:szCs w:val="21"/>
          <w:u w:val="single"/>
        </w:rPr>
      </w:pPr>
      <w:r>
        <w:rPr>
          <w:rFonts w:hint="eastAsia" w:ascii="宋体" w:hAnsi="宋体"/>
          <w:b/>
          <w:szCs w:val="21"/>
        </w:rPr>
        <w:t>承包人（全称）：</w:t>
      </w:r>
      <w:r>
        <w:rPr>
          <w:rFonts w:hint="eastAsia" w:ascii="宋体" w:hAnsi="宋体"/>
          <w:szCs w:val="21"/>
          <w:u w:val="single"/>
        </w:rPr>
        <w:t xml:space="preserve">                             </w:t>
      </w:r>
    </w:p>
    <w:p w14:paraId="64FEF5B7">
      <w:pPr>
        <w:spacing w:line="360" w:lineRule="auto"/>
        <w:ind w:firstLine="420" w:firstLineChars="200"/>
        <w:jc w:val="left"/>
        <w:rPr>
          <w:rFonts w:ascii="宋体" w:hAnsi="宋体"/>
          <w:szCs w:val="21"/>
        </w:rPr>
      </w:pPr>
      <w:r>
        <w:rPr>
          <w:rFonts w:hint="eastAsia" w:ascii="宋体" w:hAnsi="宋体"/>
          <w:szCs w:val="21"/>
        </w:rPr>
        <w:t>为了确保实现</w:t>
      </w:r>
      <w:r>
        <w:rPr>
          <w:rFonts w:hint="eastAsia" w:ascii="宋体" w:hAnsi="宋体"/>
          <w:szCs w:val="21"/>
          <w:u w:val="single"/>
        </w:rPr>
        <w:t xml:space="preserve">        </w:t>
      </w:r>
      <w:r>
        <w:rPr>
          <w:rFonts w:hint="eastAsia" w:ascii="宋体" w:hAnsi="宋体"/>
          <w:szCs w:val="21"/>
        </w:rPr>
        <w:t>安全生产目标，进一步明确双方的安全管理责任，加强安全生产管理工作的协调、管理力度，</w:t>
      </w:r>
      <w:r>
        <w:rPr>
          <w:rFonts w:hint="eastAsia" w:ascii="宋体" w:hAnsi="宋体"/>
          <w:szCs w:val="21"/>
          <w:u w:val="single"/>
        </w:rPr>
        <w:t xml:space="preserve">        </w:t>
      </w:r>
      <w:r>
        <w:rPr>
          <w:rFonts w:hint="eastAsia" w:ascii="宋体" w:hAnsi="宋体"/>
          <w:szCs w:val="21"/>
        </w:rPr>
        <w:t>（以下简称“发包人”）与</w:t>
      </w:r>
      <w:r>
        <w:rPr>
          <w:rFonts w:hint="eastAsia" w:ascii="宋体" w:hAnsi="宋体"/>
          <w:szCs w:val="21"/>
          <w:u w:val="single"/>
        </w:rPr>
        <w:t xml:space="preserve">        </w:t>
      </w:r>
      <w:r>
        <w:rPr>
          <w:rFonts w:hint="eastAsia" w:ascii="宋体" w:hAnsi="宋体"/>
          <w:szCs w:val="21"/>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14:paraId="42985933">
      <w:pPr>
        <w:spacing w:line="360" w:lineRule="auto"/>
        <w:ind w:firstLine="420" w:firstLineChars="200"/>
        <w:rPr>
          <w:rFonts w:ascii="宋体" w:hAnsi="宋体"/>
          <w:szCs w:val="21"/>
        </w:rPr>
      </w:pPr>
      <w:bookmarkStart w:id="1823" w:name="_Toc532375700"/>
      <w:bookmarkStart w:id="1824" w:name="_Toc247431423"/>
      <w:bookmarkStart w:id="1825" w:name="_Toc247418263"/>
      <w:bookmarkStart w:id="1826" w:name="_Toc239510289"/>
      <w:r>
        <w:rPr>
          <w:rFonts w:hint="eastAsia" w:ascii="宋体" w:hAnsi="宋体"/>
          <w:szCs w:val="21"/>
        </w:rPr>
        <w:t>一、协议有效期限</w:t>
      </w:r>
      <w:bookmarkEnd w:id="1823"/>
      <w:bookmarkEnd w:id="1824"/>
      <w:bookmarkEnd w:id="1825"/>
      <w:bookmarkEnd w:id="1826"/>
    </w:p>
    <w:p w14:paraId="5BFF7CEE">
      <w:pPr>
        <w:spacing w:line="360" w:lineRule="auto"/>
        <w:ind w:firstLine="420" w:firstLineChars="200"/>
        <w:jc w:val="left"/>
        <w:rPr>
          <w:rFonts w:ascii="宋体" w:hAnsi="宋体"/>
          <w:szCs w:val="21"/>
        </w:rPr>
      </w:pPr>
      <w:r>
        <w:rPr>
          <w:rFonts w:hint="eastAsia" w:ascii="宋体" w:hAnsi="宋体"/>
          <w:szCs w:val="21"/>
        </w:rPr>
        <w:t>本协议中所涉及的安全管理责任自合同签订之日起开始生效，至合同工程全部完工验收且经发包人与承包人签订移交协议生效后之日终止。</w:t>
      </w:r>
    </w:p>
    <w:p w14:paraId="6A928891">
      <w:pPr>
        <w:spacing w:line="360" w:lineRule="auto"/>
        <w:ind w:firstLine="420" w:firstLineChars="200"/>
        <w:rPr>
          <w:rFonts w:ascii="宋体" w:hAnsi="宋体"/>
          <w:szCs w:val="21"/>
        </w:rPr>
      </w:pPr>
      <w:bookmarkStart w:id="1827" w:name="_Toc247431424"/>
      <w:bookmarkStart w:id="1828" w:name="_Toc532375701"/>
      <w:bookmarkStart w:id="1829" w:name="_Toc247418264"/>
      <w:bookmarkStart w:id="1830" w:name="_Toc239510290"/>
      <w:r>
        <w:rPr>
          <w:rFonts w:hint="eastAsia" w:ascii="宋体" w:hAnsi="宋体"/>
          <w:szCs w:val="21"/>
        </w:rPr>
        <w:t>二、责任目标</w:t>
      </w:r>
      <w:bookmarkEnd w:id="1827"/>
      <w:bookmarkEnd w:id="1828"/>
      <w:bookmarkEnd w:id="1829"/>
      <w:bookmarkEnd w:id="1830"/>
    </w:p>
    <w:p w14:paraId="330092D0">
      <w:pPr>
        <w:spacing w:line="360" w:lineRule="auto"/>
        <w:ind w:firstLine="420" w:firstLineChars="200"/>
        <w:jc w:val="left"/>
        <w:rPr>
          <w:rFonts w:ascii="宋体" w:hAnsi="宋体"/>
          <w:szCs w:val="21"/>
        </w:rPr>
      </w:pPr>
      <w:r>
        <w:rPr>
          <w:rFonts w:hint="eastAsia" w:ascii="宋体" w:hAnsi="宋体"/>
          <w:szCs w:val="21"/>
        </w:rPr>
        <w:t>（一）承包人承诺承担和履行合同和发包人所规定的安全责任，且满足要求。</w:t>
      </w:r>
    </w:p>
    <w:p w14:paraId="3A37852F">
      <w:pPr>
        <w:spacing w:line="360" w:lineRule="auto"/>
        <w:ind w:firstLine="420" w:firstLineChars="200"/>
        <w:jc w:val="left"/>
        <w:rPr>
          <w:rFonts w:ascii="宋体" w:hAnsi="宋体"/>
          <w:szCs w:val="21"/>
        </w:rPr>
      </w:pPr>
      <w:r>
        <w:rPr>
          <w:rFonts w:hint="eastAsia" w:ascii="宋体" w:hAnsi="宋体"/>
          <w:szCs w:val="21"/>
        </w:rPr>
        <w:t>（二）承包人的安全控制目标是确保本工程在实施过程中：</w:t>
      </w:r>
    </w:p>
    <w:p w14:paraId="7DA226DD">
      <w:pPr>
        <w:spacing w:line="360" w:lineRule="auto"/>
        <w:ind w:firstLine="420" w:firstLineChars="200"/>
        <w:jc w:val="left"/>
        <w:rPr>
          <w:rFonts w:ascii="宋体" w:hAnsi="宋体"/>
          <w:szCs w:val="21"/>
        </w:rPr>
      </w:pPr>
      <w:r>
        <w:rPr>
          <w:rFonts w:hint="eastAsia" w:ascii="宋体" w:hAnsi="宋体"/>
          <w:szCs w:val="21"/>
        </w:rPr>
        <w:t>1．不发生人身重伤事故；</w:t>
      </w:r>
    </w:p>
    <w:p w14:paraId="134A3BCF">
      <w:pPr>
        <w:spacing w:line="360" w:lineRule="auto"/>
        <w:ind w:firstLine="420" w:firstLineChars="200"/>
        <w:jc w:val="left"/>
        <w:rPr>
          <w:rFonts w:ascii="宋体" w:hAnsi="宋体"/>
          <w:szCs w:val="21"/>
        </w:rPr>
      </w:pPr>
      <w:r>
        <w:rPr>
          <w:rFonts w:hint="eastAsia" w:ascii="宋体" w:hAnsi="宋体"/>
          <w:szCs w:val="21"/>
        </w:rPr>
        <w:t>2．不发生火灾事故；</w:t>
      </w:r>
    </w:p>
    <w:p w14:paraId="1C4EF7CD">
      <w:pPr>
        <w:spacing w:line="360" w:lineRule="auto"/>
        <w:ind w:firstLine="420" w:firstLineChars="200"/>
        <w:jc w:val="left"/>
        <w:rPr>
          <w:rFonts w:ascii="宋体" w:hAnsi="宋体"/>
          <w:szCs w:val="21"/>
        </w:rPr>
      </w:pPr>
      <w:r>
        <w:rPr>
          <w:rFonts w:hint="eastAsia" w:ascii="宋体" w:hAnsi="宋体"/>
          <w:szCs w:val="21"/>
        </w:rPr>
        <w:t>3．不发生负有同等及以上事故责任的造成人身重伤的一般交通事故；</w:t>
      </w:r>
    </w:p>
    <w:p w14:paraId="0A13C08F">
      <w:pPr>
        <w:spacing w:line="360" w:lineRule="auto"/>
        <w:ind w:firstLine="420" w:firstLineChars="200"/>
        <w:jc w:val="left"/>
        <w:rPr>
          <w:rFonts w:ascii="宋体" w:hAnsi="宋体"/>
          <w:szCs w:val="21"/>
        </w:rPr>
      </w:pPr>
      <w:r>
        <w:rPr>
          <w:rFonts w:hint="eastAsia" w:ascii="宋体" w:hAnsi="宋体"/>
          <w:szCs w:val="21"/>
        </w:rPr>
        <w:t>4．不发生集体食物中毒事件（同时5人及以上的食物中毒）；</w:t>
      </w:r>
    </w:p>
    <w:p w14:paraId="024E1630">
      <w:pPr>
        <w:spacing w:line="360" w:lineRule="auto"/>
        <w:ind w:firstLine="420" w:firstLineChars="200"/>
        <w:jc w:val="left"/>
        <w:rPr>
          <w:rFonts w:ascii="宋体" w:hAnsi="宋体"/>
          <w:szCs w:val="21"/>
        </w:rPr>
      </w:pPr>
      <w:r>
        <w:rPr>
          <w:rFonts w:hint="eastAsia" w:ascii="宋体" w:hAnsi="宋体"/>
          <w:szCs w:val="21"/>
        </w:rPr>
        <w:t>5．不发生流行性传染病 （无甲型传染病、其他常见传染病未形成多人同时患病）；</w:t>
      </w:r>
    </w:p>
    <w:p w14:paraId="7EDF6660">
      <w:pPr>
        <w:spacing w:line="360" w:lineRule="auto"/>
        <w:ind w:firstLine="420" w:firstLineChars="200"/>
        <w:jc w:val="left"/>
        <w:rPr>
          <w:rFonts w:ascii="宋体" w:hAnsi="宋体"/>
          <w:szCs w:val="21"/>
        </w:rPr>
      </w:pPr>
      <w:r>
        <w:rPr>
          <w:rFonts w:hint="eastAsia" w:ascii="宋体" w:hAnsi="宋体"/>
          <w:szCs w:val="21"/>
        </w:rPr>
        <w:t>6．不发生重大环境污染事件（生活、工业垃圾及其他污染物造成环境污染和大面积水土流失）；</w:t>
      </w:r>
    </w:p>
    <w:p w14:paraId="4C3802B5">
      <w:pPr>
        <w:spacing w:line="360" w:lineRule="auto"/>
        <w:ind w:firstLine="420" w:firstLineChars="200"/>
        <w:jc w:val="left"/>
        <w:rPr>
          <w:rFonts w:ascii="宋体" w:hAnsi="宋体"/>
          <w:szCs w:val="21"/>
        </w:rPr>
      </w:pPr>
      <w:r>
        <w:rPr>
          <w:rFonts w:hint="eastAsia" w:ascii="宋体" w:hAnsi="宋体"/>
          <w:szCs w:val="21"/>
        </w:rPr>
        <w:t>7．不发生对施工区附近生产、生活造成重大影响的事件（如造成重大设备损坏、重大财产损失、人员伤害等）；</w:t>
      </w:r>
    </w:p>
    <w:p w14:paraId="20372DC3">
      <w:pPr>
        <w:spacing w:line="360" w:lineRule="auto"/>
        <w:ind w:firstLine="420" w:firstLineChars="200"/>
        <w:jc w:val="left"/>
        <w:rPr>
          <w:rFonts w:ascii="宋体" w:hAnsi="宋体"/>
          <w:szCs w:val="21"/>
        </w:rPr>
      </w:pPr>
      <w:r>
        <w:rPr>
          <w:rFonts w:hint="eastAsia" w:ascii="宋体" w:hAnsi="宋体"/>
          <w:szCs w:val="21"/>
        </w:rPr>
        <w:t>8．不发生治安保卫事件（构成刑事拘留及以上的事件、盗窃直接损失超过1万元人民币的事件）。</w:t>
      </w:r>
    </w:p>
    <w:p w14:paraId="0BFEEAFA">
      <w:pPr>
        <w:spacing w:line="360" w:lineRule="auto"/>
        <w:ind w:firstLine="420" w:firstLineChars="200"/>
        <w:jc w:val="left"/>
        <w:rPr>
          <w:rFonts w:ascii="宋体" w:hAnsi="宋体"/>
          <w:szCs w:val="21"/>
        </w:rPr>
      </w:pPr>
      <w:bookmarkStart w:id="1831" w:name="_Toc247418265"/>
      <w:bookmarkStart w:id="1832" w:name="_Toc247431425"/>
      <w:bookmarkStart w:id="1833" w:name="_Toc239510291"/>
      <w:r>
        <w:rPr>
          <w:rFonts w:hint="eastAsia" w:ascii="宋体" w:hAnsi="宋体"/>
          <w:szCs w:val="21"/>
        </w:rPr>
        <w:t>（三）承包人承诺在施工中控制以下安全事故的发生：</w:t>
      </w:r>
      <w:bookmarkEnd w:id="1831"/>
      <w:bookmarkEnd w:id="1832"/>
      <w:bookmarkEnd w:id="1833"/>
    </w:p>
    <w:p w14:paraId="59F4E6F1">
      <w:pPr>
        <w:spacing w:line="360" w:lineRule="auto"/>
        <w:ind w:firstLine="420" w:firstLineChars="200"/>
        <w:jc w:val="left"/>
        <w:rPr>
          <w:rFonts w:ascii="宋体" w:hAnsi="宋体"/>
          <w:szCs w:val="21"/>
        </w:rPr>
      </w:pPr>
      <w:r>
        <w:rPr>
          <w:rFonts w:hint="eastAsia" w:ascii="宋体" w:hAnsi="宋体"/>
          <w:szCs w:val="21"/>
        </w:rPr>
        <w:t>1．人员轻伤事故。</w:t>
      </w:r>
    </w:p>
    <w:p w14:paraId="75BA8255">
      <w:pPr>
        <w:spacing w:line="360" w:lineRule="auto"/>
        <w:ind w:firstLine="420" w:firstLineChars="200"/>
        <w:jc w:val="left"/>
        <w:rPr>
          <w:rFonts w:ascii="宋体" w:hAnsi="宋体"/>
          <w:szCs w:val="21"/>
        </w:rPr>
      </w:pPr>
      <w:r>
        <w:rPr>
          <w:rFonts w:hint="eastAsia" w:ascii="宋体" w:hAnsi="宋体"/>
          <w:szCs w:val="21"/>
        </w:rPr>
        <w:t>2．负有同等及以上事故责任的人身轻伤交通事故。</w:t>
      </w:r>
    </w:p>
    <w:p w14:paraId="443E3C73">
      <w:pPr>
        <w:spacing w:line="360" w:lineRule="auto"/>
        <w:ind w:firstLine="420" w:firstLineChars="200"/>
        <w:jc w:val="left"/>
        <w:rPr>
          <w:rFonts w:ascii="宋体" w:hAnsi="宋体"/>
          <w:szCs w:val="21"/>
        </w:rPr>
      </w:pPr>
      <w:r>
        <w:rPr>
          <w:rFonts w:hint="eastAsia" w:ascii="宋体" w:hAnsi="宋体"/>
          <w:szCs w:val="21"/>
        </w:rPr>
        <w:t>3．其他安全未遂事故和异常事件。</w:t>
      </w:r>
    </w:p>
    <w:p w14:paraId="653AC500">
      <w:pPr>
        <w:spacing w:line="360" w:lineRule="auto"/>
        <w:ind w:firstLine="420" w:firstLineChars="200"/>
        <w:rPr>
          <w:rFonts w:ascii="宋体" w:hAnsi="宋体"/>
          <w:szCs w:val="21"/>
        </w:rPr>
      </w:pPr>
      <w:bookmarkStart w:id="1834" w:name="_Toc247418266"/>
      <w:bookmarkStart w:id="1835" w:name="_Toc247431426"/>
      <w:bookmarkStart w:id="1836" w:name="_Toc239510292"/>
      <w:bookmarkStart w:id="1837" w:name="_Toc532375702"/>
      <w:r>
        <w:rPr>
          <w:rFonts w:hint="eastAsia" w:ascii="宋体" w:hAnsi="宋体"/>
          <w:szCs w:val="21"/>
        </w:rPr>
        <w:t>三、安全责任</w:t>
      </w:r>
      <w:bookmarkEnd w:id="1834"/>
      <w:bookmarkEnd w:id="1835"/>
      <w:bookmarkEnd w:id="1836"/>
      <w:bookmarkEnd w:id="1837"/>
    </w:p>
    <w:p w14:paraId="0DEFD084">
      <w:pPr>
        <w:spacing w:line="360" w:lineRule="auto"/>
        <w:ind w:firstLine="420" w:firstLineChars="200"/>
        <w:jc w:val="left"/>
        <w:rPr>
          <w:rFonts w:ascii="宋体" w:hAnsi="宋体"/>
          <w:szCs w:val="21"/>
        </w:rPr>
      </w:pPr>
      <w:r>
        <w:rPr>
          <w:rFonts w:hint="eastAsia" w:ascii="宋体" w:hAnsi="宋体"/>
          <w:szCs w:val="21"/>
        </w:rPr>
        <w:t>1．承包人负有安全生产的管理责任和直接责任。</w:t>
      </w:r>
    </w:p>
    <w:p w14:paraId="084B7E09">
      <w:pPr>
        <w:spacing w:line="360" w:lineRule="auto"/>
        <w:ind w:firstLine="420" w:firstLineChars="200"/>
        <w:jc w:val="left"/>
        <w:rPr>
          <w:rFonts w:ascii="宋体" w:hAnsi="宋体"/>
          <w:szCs w:val="21"/>
        </w:rPr>
      </w:pPr>
      <w:r>
        <w:rPr>
          <w:rFonts w:hint="eastAsia" w:ascii="宋体" w:hAnsi="宋体"/>
          <w:szCs w:val="21"/>
        </w:rPr>
        <w:t>2．承包人的法人或签署合同的公司总经理或受委托的代理人对合同安全负有全面的领导责任。</w:t>
      </w:r>
    </w:p>
    <w:p w14:paraId="390A3C9D">
      <w:pPr>
        <w:spacing w:line="360" w:lineRule="auto"/>
        <w:ind w:firstLine="420" w:firstLineChars="200"/>
        <w:jc w:val="left"/>
        <w:rPr>
          <w:rFonts w:ascii="宋体" w:hAnsi="宋体"/>
          <w:szCs w:val="21"/>
        </w:rPr>
      </w:pPr>
      <w:r>
        <w:rPr>
          <w:rFonts w:hint="eastAsia" w:ascii="宋体" w:hAnsi="宋体"/>
          <w:szCs w:val="21"/>
        </w:rPr>
        <w:t>3．承包人项目经理对施工现场的安全工作负有全面的直接领导责任。</w:t>
      </w:r>
    </w:p>
    <w:p w14:paraId="24F505C6">
      <w:pPr>
        <w:spacing w:line="360" w:lineRule="auto"/>
        <w:ind w:firstLine="420" w:firstLineChars="200"/>
        <w:jc w:val="left"/>
        <w:rPr>
          <w:rFonts w:ascii="宋体" w:hAnsi="宋体"/>
          <w:szCs w:val="21"/>
        </w:rPr>
      </w:pPr>
      <w:r>
        <w:rPr>
          <w:rFonts w:hint="eastAsia" w:ascii="宋体" w:hAnsi="宋体"/>
          <w:szCs w:val="21"/>
        </w:rPr>
        <w:t>4．承包人保证执行“谁施工、谁负责”的施工安全原则。</w:t>
      </w:r>
    </w:p>
    <w:p w14:paraId="1C40203D">
      <w:pPr>
        <w:spacing w:line="360" w:lineRule="auto"/>
        <w:ind w:firstLine="420" w:firstLineChars="200"/>
        <w:jc w:val="left"/>
        <w:rPr>
          <w:rFonts w:ascii="宋体" w:hAnsi="宋体"/>
          <w:szCs w:val="21"/>
        </w:rPr>
      </w:pPr>
      <w:r>
        <w:rPr>
          <w:rFonts w:hint="eastAsia" w:ascii="宋体" w:hAnsi="宋体"/>
          <w:szCs w:val="21"/>
        </w:rPr>
        <w:t>5．承包人保证服从发包人对安全工作的统一协调和管理。</w:t>
      </w:r>
    </w:p>
    <w:p w14:paraId="7F2FD795">
      <w:pPr>
        <w:spacing w:line="360" w:lineRule="auto"/>
        <w:ind w:firstLine="420" w:firstLineChars="200"/>
        <w:jc w:val="left"/>
        <w:rPr>
          <w:rFonts w:ascii="宋体" w:hAnsi="宋体"/>
          <w:szCs w:val="21"/>
        </w:rPr>
      </w:pPr>
      <w:r>
        <w:rPr>
          <w:rFonts w:hint="eastAsia" w:ascii="宋体" w:hAnsi="宋体"/>
          <w:szCs w:val="21"/>
        </w:rPr>
        <w:t>6．承包人保证对本工程项目安全生产条件及其管理资源自行投入，保证安全资金的专款专用。</w:t>
      </w:r>
    </w:p>
    <w:p w14:paraId="4154CAEA">
      <w:pPr>
        <w:spacing w:line="360" w:lineRule="auto"/>
        <w:ind w:firstLine="420" w:firstLineChars="200"/>
        <w:jc w:val="left"/>
        <w:rPr>
          <w:rFonts w:ascii="宋体" w:hAnsi="宋体"/>
          <w:szCs w:val="21"/>
        </w:rPr>
      </w:pPr>
      <w:r>
        <w:rPr>
          <w:rFonts w:hint="eastAsia" w:ascii="宋体" w:hAnsi="宋体"/>
          <w:szCs w:val="21"/>
        </w:rPr>
        <w:t>7．承包人保证建立本工程项目的安全管理体系及安全保证体系（注：项目安全管理大纲/手册、管理性的程序文件等）。</w:t>
      </w:r>
    </w:p>
    <w:p w14:paraId="199038F2">
      <w:pPr>
        <w:spacing w:line="360" w:lineRule="auto"/>
        <w:ind w:firstLine="420" w:firstLineChars="200"/>
        <w:jc w:val="left"/>
        <w:rPr>
          <w:rFonts w:ascii="宋体" w:hAnsi="宋体"/>
          <w:szCs w:val="21"/>
        </w:rPr>
      </w:pPr>
      <w:r>
        <w:rPr>
          <w:rFonts w:hint="eastAsia" w:ascii="宋体" w:hAnsi="宋体"/>
          <w:szCs w:val="21"/>
        </w:rPr>
        <w:t>8．承包人保证现场的安全管理专职人员必须持有建设主管部门安全生产培训考核合格证书。</w:t>
      </w:r>
    </w:p>
    <w:p w14:paraId="6155D932">
      <w:pPr>
        <w:spacing w:line="360" w:lineRule="auto"/>
        <w:ind w:firstLine="420" w:firstLineChars="200"/>
        <w:jc w:val="left"/>
        <w:rPr>
          <w:rFonts w:ascii="宋体" w:hAnsi="宋体"/>
          <w:szCs w:val="21"/>
        </w:rPr>
      </w:pPr>
      <w:r>
        <w:rPr>
          <w:rFonts w:hint="eastAsia" w:ascii="宋体" w:hAnsi="宋体"/>
          <w:szCs w:val="21"/>
        </w:rPr>
        <w:t>9．承包人保证为现场所有工作人员（含分包商员工及劳务人员）配备符合国家标准的有承包人和/或其下属分包商标志的个人基本劳动保护用品。</w:t>
      </w:r>
    </w:p>
    <w:p w14:paraId="76D6C694">
      <w:pPr>
        <w:spacing w:line="360" w:lineRule="auto"/>
        <w:ind w:firstLine="420" w:firstLineChars="200"/>
        <w:jc w:val="left"/>
        <w:rPr>
          <w:rFonts w:ascii="宋体" w:hAnsi="宋体"/>
          <w:szCs w:val="21"/>
        </w:rPr>
      </w:pPr>
      <w:r>
        <w:rPr>
          <w:rFonts w:hint="eastAsia" w:ascii="宋体" w:hAnsi="宋体"/>
          <w:szCs w:val="21"/>
        </w:rPr>
        <w:t>10．承包人保证按照国家法律规定为现场所有工作人员（含分包商员工及劳务人员）购买意外伤害保险。</w:t>
      </w:r>
    </w:p>
    <w:p w14:paraId="24093B0E">
      <w:pPr>
        <w:spacing w:line="360" w:lineRule="auto"/>
        <w:ind w:firstLine="420" w:firstLineChars="200"/>
        <w:jc w:val="left"/>
        <w:rPr>
          <w:rFonts w:ascii="宋体" w:hAnsi="宋体"/>
          <w:szCs w:val="21"/>
        </w:rPr>
      </w:pPr>
      <w:r>
        <w:rPr>
          <w:rFonts w:hint="eastAsia" w:ascii="宋体" w:hAnsi="宋体"/>
          <w:szCs w:val="21"/>
        </w:rPr>
        <w:t>11．承包人保证施工生活营地（包括自建的和租用的营地）满足消防、安全用电、卫生防疫、防暴雨、防雷击等方面的安全要求。</w:t>
      </w:r>
    </w:p>
    <w:p w14:paraId="4C01C05D">
      <w:pPr>
        <w:spacing w:line="360" w:lineRule="auto"/>
        <w:ind w:firstLine="420" w:firstLineChars="200"/>
        <w:jc w:val="left"/>
        <w:rPr>
          <w:rFonts w:ascii="宋体" w:hAnsi="宋体"/>
          <w:szCs w:val="21"/>
        </w:rPr>
      </w:pPr>
      <w:r>
        <w:rPr>
          <w:rFonts w:hint="eastAsia" w:ascii="宋体" w:hAnsi="宋体"/>
          <w:szCs w:val="21"/>
        </w:rPr>
        <w:t>12．承包人保证对带入现场的设备、工具、材料按照国家法规和标准进行检测、试验，并持有法定部门出具的检验证书。</w:t>
      </w:r>
    </w:p>
    <w:p w14:paraId="747F1E91">
      <w:pPr>
        <w:spacing w:line="360" w:lineRule="auto"/>
        <w:ind w:firstLine="420" w:firstLineChars="200"/>
        <w:jc w:val="left"/>
        <w:rPr>
          <w:rFonts w:ascii="宋体" w:hAnsi="宋体"/>
          <w:szCs w:val="21"/>
        </w:rPr>
      </w:pPr>
      <w:r>
        <w:rPr>
          <w:rFonts w:hint="eastAsia" w:ascii="宋体" w:hAnsi="宋体"/>
          <w:szCs w:val="21"/>
        </w:rPr>
        <w:t>13．承包人保证制订施工现场的文明施工措施，保护环境、树木和植被，保持施工现场的良好秩序和整洁的作业环境。</w:t>
      </w:r>
    </w:p>
    <w:p w14:paraId="53161DE4">
      <w:pPr>
        <w:spacing w:line="360" w:lineRule="auto"/>
        <w:ind w:firstLine="420" w:firstLineChars="200"/>
        <w:jc w:val="left"/>
        <w:rPr>
          <w:rFonts w:ascii="宋体" w:hAnsi="宋体"/>
          <w:szCs w:val="21"/>
        </w:rPr>
      </w:pPr>
      <w:r>
        <w:rPr>
          <w:rFonts w:hint="eastAsia" w:ascii="宋体" w:hAnsi="宋体"/>
          <w:szCs w:val="21"/>
        </w:rPr>
        <w:t>14．承包人负责在施工过程中与当地政府、周边群众及其他承包商保持良好的沟通和交流。承包人遇到与周边群众发生纠纷时，应负责协调工作，确保工程能够顺利进行。</w:t>
      </w:r>
    </w:p>
    <w:p w14:paraId="3E251302">
      <w:pPr>
        <w:spacing w:line="360" w:lineRule="auto"/>
        <w:ind w:firstLine="420" w:firstLineChars="200"/>
        <w:rPr>
          <w:rFonts w:ascii="宋体" w:hAnsi="宋体"/>
          <w:szCs w:val="21"/>
        </w:rPr>
      </w:pPr>
      <w:bookmarkStart w:id="1838" w:name="_Toc247431427"/>
      <w:bookmarkStart w:id="1839" w:name="_Toc247418267"/>
      <w:bookmarkStart w:id="1840" w:name="_Toc532375703"/>
      <w:bookmarkStart w:id="1841" w:name="_Toc239510293"/>
      <w:r>
        <w:rPr>
          <w:rFonts w:hint="eastAsia" w:ascii="宋体" w:hAnsi="宋体"/>
          <w:szCs w:val="21"/>
        </w:rPr>
        <w:t>四、接口及协调</w:t>
      </w:r>
      <w:bookmarkEnd w:id="1838"/>
      <w:bookmarkEnd w:id="1839"/>
      <w:bookmarkEnd w:id="1840"/>
      <w:bookmarkEnd w:id="1841"/>
    </w:p>
    <w:p w14:paraId="6DC90D09">
      <w:pPr>
        <w:spacing w:line="360" w:lineRule="auto"/>
        <w:ind w:firstLine="420" w:firstLineChars="200"/>
        <w:jc w:val="left"/>
        <w:rPr>
          <w:rFonts w:ascii="宋体" w:hAnsi="宋体"/>
          <w:szCs w:val="21"/>
        </w:rPr>
      </w:pPr>
      <w:r>
        <w:rPr>
          <w:rFonts w:hint="eastAsia" w:ascii="宋体" w:hAnsi="宋体"/>
          <w:szCs w:val="21"/>
        </w:rPr>
        <w:t>1．发包人委托监理公司对该工程实施监理，监理公司在安全管理方面代表发包人行使监督检查职能，承包人必须给予配合和支持。</w:t>
      </w:r>
    </w:p>
    <w:p w14:paraId="4B5E79CC">
      <w:pPr>
        <w:spacing w:line="360" w:lineRule="auto"/>
        <w:ind w:firstLine="420" w:firstLineChars="200"/>
        <w:jc w:val="left"/>
        <w:rPr>
          <w:rFonts w:ascii="宋体" w:hAnsi="宋体"/>
          <w:szCs w:val="21"/>
        </w:rPr>
      </w:pPr>
      <w:r>
        <w:rPr>
          <w:rFonts w:hint="eastAsia" w:ascii="宋体" w:hAnsi="宋体"/>
          <w:szCs w:val="21"/>
        </w:rPr>
        <w:t>2．承包人人员、车辆的出入，带入现场的设备、机具、材料，在现场使用的或直接管理的办公、生活、生产性设施的安全管理须满足发包人现场管理的基本要求。</w:t>
      </w:r>
    </w:p>
    <w:p w14:paraId="1931C827">
      <w:pPr>
        <w:spacing w:line="360" w:lineRule="auto"/>
        <w:ind w:firstLine="420" w:firstLineChars="200"/>
        <w:jc w:val="left"/>
        <w:rPr>
          <w:rFonts w:ascii="宋体" w:hAnsi="宋体"/>
          <w:szCs w:val="21"/>
        </w:rPr>
      </w:pPr>
      <w:r>
        <w:rPr>
          <w:rFonts w:hint="eastAsia" w:ascii="宋体" w:hAnsi="宋体"/>
          <w:szCs w:val="21"/>
        </w:rPr>
        <w:t>3．承包人应指定专职安全管理人员与发包人委托的监理公司接口，参与安全协调和管理。安全协调和管理的内容包括职业健康、工业安全、消防安全、卫生防疫、交通安全、环境保护、治安保卫等各方面。</w:t>
      </w:r>
    </w:p>
    <w:p w14:paraId="439194EC">
      <w:pPr>
        <w:spacing w:line="360" w:lineRule="auto"/>
        <w:ind w:firstLine="420" w:firstLineChars="200"/>
        <w:jc w:val="left"/>
        <w:rPr>
          <w:rFonts w:ascii="宋体" w:hAnsi="宋体"/>
          <w:szCs w:val="21"/>
        </w:rPr>
      </w:pPr>
      <w:r>
        <w:rPr>
          <w:rFonts w:hint="eastAsia" w:ascii="宋体" w:hAnsi="宋体"/>
          <w:szCs w:val="21"/>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14:paraId="6C4E9454">
      <w:pPr>
        <w:spacing w:line="360" w:lineRule="auto"/>
        <w:ind w:firstLine="420" w:firstLineChars="200"/>
        <w:jc w:val="left"/>
        <w:rPr>
          <w:rFonts w:ascii="宋体" w:hAnsi="宋体"/>
          <w:szCs w:val="21"/>
        </w:rPr>
      </w:pPr>
      <w:r>
        <w:rPr>
          <w:rFonts w:hint="eastAsia" w:ascii="宋体" w:hAnsi="宋体"/>
          <w:szCs w:val="21"/>
        </w:rPr>
        <w:t>5．承包人指定的专职安全管理人员应与发包人委托的监理公司建立联系，在业务上接受发包人委托的监理公司的协调和指导。</w:t>
      </w:r>
    </w:p>
    <w:p w14:paraId="0FCC276D">
      <w:pPr>
        <w:spacing w:line="360" w:lineRule="auto"/>
        <w:ind w:firstLine="420" w:firstLineChars="200"/>
        <w:jc w:val="left"/>
        <w:rPr>
          <w:rFonts w:ascii="宋体" w:hAnsi="宋体"/>
          <w:szCs w:val="21"/>
        </w:rPr>
      </w:pPr>
      <w:r>
        <w:rPr>
          <w:rFonts w:hint="eastAsia" w:ascii="宋体" w:hAnsi="宋体"/>
          <w:szCs w:val="21"/>
        </w:rPr>
        <w:t>6．开工后承包人的专职安全管理人员应按照发包人委托的监理公司的规定，定期报送安全月度快报、季报、年报和各种专项事故报告等。</w:t>
      </w:r>
    </w:p>
    <w:p w14:paraId="4C6B22EB">
      <w:pPr>
        <w:spacing w:line="360" w:lineRule="auto"/>
        <w:ind w:firstLine="420" w:firstLineChars="200"/>
        <w:jc w:val="left"/>
        <w:rPr>
          <w:rFonts w:ascii="宋体" w:hAnsi="宋体"/>
          <w:szCs w:val="21"/>
        </w:rPr>
      </w:pPr>
      <w:r>
        <w:rPr>
          <w:rFonts w:hint="eastAsia" w:ascii="宋体" w:hAnsi="宋体"/>
          <w:szCs w:val="21"/>
        </w:rPr>
        <w:t>7．在工程实体未全部正式移交发包人施工管理部门之前，承包人依旧对施工范围内的安全管理负责。</w:t>
      </w:r>
    </w:p>
    <w:p w14:paraId="2BEBCA9C">
      <w:pPr>
        <w:spacing w:line="360" w:lineRule="auto"/>
        <w:ind w:firstLine="420" w:firstLineChars="200"/>
        <w:rPr>
          <w:rFonts w:ascii="宋体" w:hAnsi="宋体"/>
          <w:szCs w:val="21"/>
        </w:rPr>
      </w:pPr>
      <w:bookmarkStart w:id="1842" w:name="_Toc239510294"/>
      <w:bookmarkStart w:id="1843" w:name="_Toc532375704"/>
      <w:bookmarkStart w:id="1844" w:name="_Toc247431428"/>
      <w:bookmarkStart w:id="1845" w:name="_Toc247418268"/>
      <w:r>
        <w:rPr>
          <w:rFonts w:hint="eastAsia" w:ascii="宋体" w:hAnsi="宋体"/>
          <w:szCs w:val="21"/>
        </w:rPr>
        <w:t>五、安全资质审查</w:t>
      </w:r>
      <w:bookmarkEnd w:id="1842"/>
      <w:bookmarkEnd w:id="1843"/>
      <w:bookmarkEnd w:id="1844"/>
      <w:bookmarkEnd w:id="1845"/>
    </w:p>
    <w:p w14:paraId="5E952461">
      <w:pPr>
        <w:spacing w:line="360" w:lineRule="auto"/>
        <w:ind w:firstLine="420" w:firstLineChars="200"/>
        <w:jc w:val="left"/>
        <w:rPr>
          <w:rFonts w:ascii="宋体" w:hAnsi="宋体"/>
          <w:szCs w:val="21"/>
        </w:rPr>
      </w:pPr>
      <w:r>
        <w:rPr>
          <w:rFonts w:hint="eastAsia" w:ascii="宋体" w:hAnsi="宋体"/>
          <w:szCs w:val="21"/>
        </w:rPr>
        <w:t>承包人在项目开工前5个工作天内向发包人委托的监理公司提供以下安全资质供审查和存档：</w:t>
      </w:r>
    </w:p>
    <w:p w14:paraId="09047A94">
      <w:pPr>
        <w:spacing w:line="360" w:lineRule="auto"/>
        <w:ind w:firstLine="420" w:firstLineChars="200"/>
        <w:jc w:val="left"/>
        <w:rPr>
          <w:rFonts w:ascii="宋体" w:hAnsi="宋体"/>
          <w:szCs w:val="21"/>
        </w:rPr>
      </w:pPr>
      <w:r>
        <w:rPr>
          <w:rFonts w:hint="eastAsia" w:ascii="宋体" w:hAnsi="宋体"/>
          <w:szCs w:val="21"/>
        </w:rPr>
        <w:t>1．企业安全生产许可证书复印件。</w:t>
      </w:r>
    </w:p>
    <w:p w14:paraId="3F672064">
      <w:pPr>
        <w:spacing w:line="360" w:lineRule="auto"/>
        <w:ind w:firstLine="420" w:firstLineChars="200"/>
        <w:jc w:val="left"/>
        <w:rPr>
          <w:rFonts w:ascii="宋体" w:hAnsi="宋体"/>
          <w:szCs w:val="21"/>
        </w:rPr>
      </w:pPr>
      <w:r>
        <w:rPr>
          <w:rFonts w:hint="eastAsia" w:ascii="宋体" w:hAnsi="宋体"/>
          <w:szCs w:val="21"/>
        </w:rPr>
        <w:t>2．企业近三年的施工简历及安全施工业绩证明文件。</w:t>
      </w:r>
    </w:p>
    <w:p w14:paraId="54C4A6CC">
      <w:pPr>
        <w:spacing w:line="360" w:lineRule="auto"/>
        <w:ind w:firstLine="420" w:firstLineChars="200"/>
        <w:jc w:val="left"/>
        <w:rPr>
          <w:rFonts w:ascii="宋体" w:hAnsi="宋体"/>
          <w:szCs w:val="21"/>
        </w:rPr>
      </w:pPr>
      <w:r>
        <w:rPr>
          <w:rFonts w:hint="eastAsia" w:ascii="宋体" w:hAnsi="宋体"/>
          <w:szCs w:val="21"/>
        </w:rPr>
        <w:t>3．企业主要安全管理人员（包括项目经理、专职安全管理人员）经建设主管部门安全生产知识考核合格证书。</w:t>
      </w:r>
    </w:p>
    <w:p w14:paraId="02543657">
      <w:pPr>
        <w:spacing w:line="360" w:lineRule="auto"/>
        <w:ind w:firstLine="420" w:firstLineChars="200"/>
        <w:jc w:val="left"/>
        <w:rPr>
          <w:rFonts w:ascii="宋体" w:hAnsi="宋体"/>
          <w:szCs w:val="21"/>
        </w:rPr>
      </w:pPr>
      <w:r>
        <w:rPr>
          <w:rFonts w:hint="eastAsia" w:ascii="宋体" w:hAnsi="宋体"/>
          <w:szCs w:val="21"/>
        </w:rPr>
        <w:t>4．特种作业人员资格证书。</w:t>
      </w:r>
    </w:p>
    <w:p w14:paraId="30FF8B4F">
      <w:pPr>
        <w:spacing w:line="360" w:lineRule="auto"/>
        <w:ind w:firstLine="420" w:firstLineChars="200"/>
        <w:jc w:val="left"/>
        <w:rPr>
          <w:rFonts w:ascii="宋体" w:hAnsi="宋体"/>
          <w:szCs w:val="21"/>
        </w:rPr>
      </w:pPr>
      <w:r>
        <w:rPr>
          <w:rFonts w:hint="eastAsia" w:ascii="宋体" w:hAnsi="宋体"/>
          <w:szCs w:val="21"/>
        </w:rPr>
        <w:t>5．项目安全管理机构及其人员配备（承包人必须配有专职的安全员）。</w:t>
      </w:r>
    </w:p>
    <w:p w14:paraId="6A84193A">
      <w:pPr>
        <w:spacing w:line="360" w:lineRule="auto"/>
        <w:ind w:firstLine="420" w:firstLineChars="200"/>
        <w:jc w:val="left"/>
        <w:rPr>
          <w:rFonts w:ascii="宋体" w:hAnsi="宋体"/>
          <w:szCs w:val="21"/>
        </w:rPr>
      </w:pPr>
      <w:r>
        <w:rPr>
          <w:rFonts w:hint="eastAsia" w:ascii="宋体" w:hAnsi="宋体"/>
          <w:szCs w:val="21"/>
        </w:rPr>
        <w:t>6．适用于项目的安全管理体系及保证体系文件（安全管理大纲及管理程序文件）。</w:t>
      </w:r>
    </w:p>
    <w:p w14:paraId="2E308A80">
      <w:pPr>
        <w:spacing w:line="360" w:lineRule="auto"/>
        <w:ind w:firstLine="420" w:firstLineChars="200"/>
        <w:rPr>
          <w:rFonts w:ascii="宋体" w:hAnsi="宋体"/>
          <w:szCs w:val="21"/>
        </w:rPr>
      </w:pPr>
      <w:bookmarkStart w:id="1846" w:name="_Toc247418269"/>
      <w:bookmarkStart w:id="1847" w:name="_Toc239510295"/>
      <w:bookmarkStart w:id="1848" w:name="_Toc532375705"/>
      <w:bookmarkStart w:id="1849" w:name="_Toc247431429"/>
      <w:r>
        <w:rPr>
          <w:rFonts w:hint="eastAsia" w:ascii="宋体" w:hAnsi="宋体"/>
          <w:szCs w:val="21"/>
        </w:rPr>
        <w:t>六、人员基本素质</w:t>
      </w:r>
      <w:bookmarkEnd w:id="1846"/>
      <w:bookmarkEnd w:id="1847"/>
      <w:bookmarkEnd w:id="1848"/>
      <w:bookmarkEnd w:id="1849"/>
    </w:p>
    <w:p w14:paraId="4A19FC88">
      <w:pPr>
        <w:spacing w:line="360" w:lineRule="auto"/>
        <w:ind w:firstLine="420" w:firstLineChars="200"/>
        <w:jc w:val="left"/>
        <w:rPr>
          <w:rFonts w:ascii="宋体" w:hAnsi="宋体"/>
          <w:szCs w:val="21"/>
        </w:rPr>
      </w:pPr>
      <w:r>
        <w:rPr>
          <w:rFonts w:hint="eastAsia" w:ascii="宋体" w:hAnsi="宋体"/>
          <w:szCs w:val="21"/>
        </w:rPr>
        <w:t>承包人提供的人员必须满足下列要求：</w:t>
      </w:r>
    </w:p>
    <w:p w14:paraId="497E7AC5">
      <w:pPr>
        <w:spacing w:line="360" w:lineRule="auto"/>
        <w:ind w:firstLine="420" w:firstLineChars="200"/>
        <w:jc w:val="left"/>
        <w:rPr>
          <w:rFonts w:ascii="宋体" w:hAnsi="宋体"/>
          <w:szCs w:val="21"/>
        </w:rPr>
      </w:pPr>
      <w:r>
        <w:rPr>
          <w:rFonts w:hint="eastAsia" w:ascii="宋体" w:hAnsi="宋体"/>
          <w:szCs w:val="21"/>
        </w:rPr>
        <w:t>1．身体健康，无影响工作的精神疾病、无传染病和其他重大疾病；承包人需对其雇用的施工人员签发健康声明并保证其健康。其中体检证明材料（县级以上医院）和健康声明作为人员办理入场证件的必备材料。</w:t>
      </w:r>
    </w:p>
    <w:p w14:paraId="2C51C696">
      <w:pPr>
        <w:spacing w:line="360" w:lineRule="auto"/>
        <w:ind w:firstLine="420" w:firstLineChars="200"/>
        <w:jc w:val="left"/>
        <w:rPr>
          <w:rFonts w:ascii="宋体" w:hAnsi="宋体"/>
          <w:szCs w:val="21"/>
        </w:rPr>
      </w:pPr>
      <w:r>
        <w:rPr>
          <w:rFonts w:hint="eastAsia" w:ascii="宋体" w:hAnsi="宋体"/>
          <w:szCs w:val="21"/>
        </w:rPr>
        <w:t>2．无刑事案件牵连。</w:t>
      </w:r>
    </w:p>
    <w:p w14:paraId="1FC5EFA7">
      <w:pPr>
        <w:spacing w:line="360" w:lineRule="auto"/>
        <w:ind w:firstLine="420" w:firstLineChars="200"/>
        <w:jc w:val="left"/>
        <w:rPr>
          <w:rFonts w:ascii="宋体" w:hAnsi="宋体"/>
          <w:szCs w:val="21"/>
        </w:rPr>
      </w:pPr>
      <w:r>
        <w:rPr>
          <w:rFonts w:hint="eastAsia" w:ascii="宋体" w:hAnsi="宋体"/>
          <w:szCs w:val="21"/>
        </w:rPr>
        <w:t>3．无吸毒、酗酒、赌博、嫖娼等恶习及违法行为。</w:t>
      </w:r>
    </w:p>
    <w:p w14:paraId="5ECCD65E">
      <w:pPr>
        <w:spacing w:line="360" w:lineRule="auto"/>
        <w:ind w:firstLine="420" w:firstLineChars="200"/>
        <w:rPr>
          <w:rFonts w:ascii="宋体" w:hAnsi="宋体"/>
          <w:szCs w:val="21"/>
        </w:rPr>
      </w:pPr>
      <w:bookmarkStart w:id="1850" w:name="_Toc247431430"/>
      <w:bookmarkStart w:id="1851" w:name="_Toc247418270"/>
      <w:bookmarkStart w:id="1852" w:name="_Toc239510296"/>
      <w:bookmarkStart w:id="1853" w:name="_Toc532375706"/>
      <w:r>
        <w:rPr>
          <w:rFonts w:hint="eastAsia" w:ascii="宋体" w:hAnsi="宋体"/>
          <w:szCs w:val="21"/>
        </w:rPr>
        <w:t>七、劳动保护</w:t>
      </w:r>
      <w:bookmarkEnd w:id="1850"/>
      <w:bookmarkEnd w:id="1851"/>
      <w:bookmarkEnd w:id="1852"/>
      <w:bookmarkEnd w:id="1853"/>
    </w:p>
    <w:p w14:paraId="306DE595">
      <w:pPr>
        <w:spacing w:line="360" w:lineRule="auto"/>
        <w:ind w:firstLine="420" w:firstLineChars="200"/>
        <w:jc w:val="left"/>
        <w:rPr>
          <w:rFonts w:ascii="宋体" w:hAnsi="宋体"/>
          <w:szCs w:val="21"/>
        </w:rPr>
      </w:pPr>
      <w:r>
        <w:rPr>
          <w:rFonts w:hint="eastAsia" w:ascii="宋体" w:hAnsi="宋体"/>
          <w:szCs w:val="21"/>
        </w:rPr>
        <w:t>1．承包人负责为本单位任何用工形式的员工提供个人劳动保护用品（包括工作服、安全帽、安全鞋等）。</w:t>
      </w:r>
    </w:p>
    <w:p w14:paraId="720716B0">
      <w:pPr>
        <w:spacing w:line="360" w:lineRule="auto"/>
        <w:ind w:firstLine="420" w:firstLineChars="200"/>
        <w:jc w:val="left"/>
        <w:rPr>
          <w:rFonts w:ascii="宋体" w:hAnsi="宋体"/>
          <w:szCs w:val="21"/>
        </w:rPr>
      </w:pPr>
      <w:r>
        <w:rPr>
          <w:rFonts w:hint="eastAsia" w:ascii="宋体" w:hAnsi="宋体"/>
          <w:szCs w:val="21"/>
        </w:rPr>
        <w:t>2．承包人负责向特殊工种的员工提供特殊劳动保护，否则不得从事特殊工种作业。</w:t>
      </w:r>
    </w:p>
    <w:p w14:paraId="469D9486">
      <w:pPr>
        <w:spacing w:line="360" w:lineRule="auto"/>
        <w:ind w:firstLine="420" w:firstLineChars="200"/>
        <w:jc w:val="left"/>
        <w:rPr>
          <w:rFonts w:ascii="宋体" w:hAnsi="宋体"/>
          <w:szCs w:val="21"/>
        </w:rPr>
      </w:pPr>
      <w:r>
        <w:rPr>
          <w:rFonts w:hint="eastAsia" w:ascii="宋体" w:hAnsi="宋体"/>
          <w:szCs w:val="21"/>
        </w:rPr>
        <w:t>3．发包人委托的监理公司有权检查承包人的个人劳动保护用品是否符合国家的相应标准。</w:t>
      </w:r>
    </w:p>
    <w:p w14:paraId="48CE51B9">
      <w:pPr>
        <w:spacing w:line="360" w:lineRule="auto"/>
        <w:ind w:firstLine="420" w:firstLineChars="200"/>
        <w:jc w:val="left"/>
        <w:rPr>
          <w:rFonts w:ascii="宋体" w:hAnsi="宋体"/>
          <w:szCs w:val="21"/>
        </w:rPr>
      </w:pPr>
      <w:r>
        <w:rPr>
          <w:rFonts w:hint="eastAsia" w:ascii="宋体" w:hAnsi="宋体"/>
          <w:szCs w:val="21"/>
        </w:rPr>
        <w:t>4． 承包人在特殊风险场所作业而需要特殊防护用品或安全仪表时，必须在上述防护用品全部到位后才能开工。</w:t>
      </w:r>
    </w:p>
    <w:p w14:paraId="2B848335">
      <w:pPr>
        <w:spacing w:line="360" w:lineRule="auto"/>
        <w:ind w:firstLine="420" w:firstLineChars="200"/>
        <w:jc w:val="left"/>
        <w:rPr>
          <w:rFonts w:ascii="宋体" w:hAnsi="宋体"/>
          <w:szCs w:val="21"/>
        </w:rPr>
      </w:pPr>
      <w:r>
        <w:rPr>
          <w:rFonts w:hint="eastAsia" w:ascii="宋体" w:hAnsi="宋体"/>
          <w:szCs w:val="21"/>
        </w:rPr>
        <w:t>5．承包人应配备临时安全围栏、警示带、警告标志、防火布等集体防护用品。</w:t>
      </w:r>
    </w:p>
    <w:p w14:paraId="71A6E22F">
      <w:pPr>
        <w:spacing w:line="360" w:lineRule="auto"/>
        <w:ind w:firstLine="420" w:firstLineChars="200"/>
        <w:rPr>
          <w:rFonts w:ascii="宋体" w:hAnsi="宋体"/>
          <w:szCs w:val="21"/>
        </w:rPr>
      </w:pPr>
      <w:bookmarkStart w:id="1854" w:name="_Toc247418271"/>
      <w:bookmarkStart w:id="1855" w:name="_Toc239510297"/>
      <w:bookmarkStart w:id="1856" w:name="_Toc532375707"/>
      <w:bookmarkStart w:id="1857" w:name="_Toc247431431"/>
      <w:r>
        <w:rPr>
          <w:rFonts w:hint="eastAsia" w:ascii="宋体" w:hAnsi="宋体"/>
          <w:szCs w:val="21"/>
        </w:rPr>
        <w:t>八、施工机具与材料</w:t>
      </w:r>
      <w:bookmarkEnd w:id="1854"/>
      <w:bookmarkEnd w:id="1855"/>
      <w:bookmarkEnd w:id="1856"/>
      <w:bookmarkEnd w:id="1857"/>
    </w:p>
    <w:p w14:paraId="73133CC6">
      <w:pPr>
        <w:spacing w:line="360" w:lineRule="auto"/>
        <w:ind w:firstLine="420" w:firstLineChars="200"/>
        <w:jc w:val="left"/>
        <w:rPr>
          <w:rFonts w:ascii="宋体" w:hAnsi="宋体"/>
          <w:szCs w:val="21"/>
        </w:rPr>
      </w:pPr>
      <w:r>
        <w:rPr>
          <w:rFonts w:hint="eastAsia" w:ascii="宋体" w:hAnsi="宋体"/>
          <w:szCs w:val="21"/>
        </w:rPr>
        <w:t>1．承包人对带入现场的施工机械和工器具的安全负责。</w:t>
      </w:r>
    </w:p>
    <w:p w14:paraId="62F0BC4A">
      <w:pPr>
        <w:spacing w:line="360" w:lineRule="auto"/>
        <w:ind w:firstLine="420" w:firstLineChars="200"/>
        <w:jc w:val="left"/>
        <w:rPr>
          <w:rFonts w:ascii="宋体" w:hAnsi="宋体"/>
          <w:szCs w:val="21"/>
        </w:rPr>
      </w:pPr>
      <w:r>
        <w:rPr>
          <w:rFonts w:hint="eastAsia" w:ascii="宋体" w:hAnsi="宋体"/>
          <w:szCs w:val="21"/>
        </w:rPr>
        <w:t>2．对于承包人带入现场的特殊工器具，如起重设备、索具、机动车辆、压缩气瓶等，承包人必须按国家法规和标准进行检测、试验，并持有法定部门出具的检验证书。</w:t>
      </w:r>
    </w:p>
    <w:p w14:paraId="6AC8FB48">
      <w:pPr>
        <w:spacing w:line="360" w:lineRule="auto"/>
        <w:ind w:firstLine="420" w:firstLineChars="200"/>
        <w:jc w:val="left"/>
        <w:rPr>
          <w:rFonts w:ascii="宋体" w:hAnsi="宋体"/>
          <w:szCs w:val="21"/>
        </w:rPr>
      </w:pPr>
      <w:r>
        <w:rPr>
          <w:rFonts w:hint="eastAsia" w:ascii="宋体" w:hAnsi="宋体"/>
          <w:szCs w:val="21"/>
        </w:rPr>
        <w:t>3．对于不属于法定检测的工器具，承包人也必须建立相应的管理、检测制度，这些工器具包括登高工具、脚手架材料、电动工具、安全防护设备及用具等。</w:t>
      </w:r>
    </w:p>
    <w:p w14:paraId="1E025716">
      <w:pPr>
        <w:spacing w:line="360" w:lineRule="auto"/>
        <w:ind w:firstLine="420" w:firstLineChars="200"/>
        <w:rPr>
          <w:rFonts w:ascii="宋体" w:hAnsi="宋体"/>
          <w:szCs w:val="21"/>
        </w:rPr>
      </w:pPr>
      <w:bookmarkStart w:id="1858" w:name="_Toc247431432"/>
      <w:bookmarkStart w:id="1859" w:name="_Toc239510298"/>
      <w:bookmarkStart w:id="1860" w:name="_Toc532375708"/>
      <w:bookmarkStart w:id="1861" w:name="_Toc247418272"/>
      <w:r>
        <w:rPr>
          <w:rFonts w:hint="eastAsia" w:ascii="宋体" w:hAnsi="宋体"/>
          <w:szCs w:val="21"/>
        </w:rPr>
        <w:t>九、开工前安全条件检查</w:t>
      </w:r>
      <w:bookmarkEnd w:id="1858"/>
      <w:bookmarkEnd w:id="1859"/>
      <w:bookmarkEnd w:id="1860"/>
      <w:bookmarkEnd w:id="1861"/>
    </w:p>
    <w:p w14:paraId="2FA907D4">
      <w:pPr>
        <w:spacing w:line="360" w:lineRule="auto"/>
        <w:ind w:firstLine="420" w:firstLineChars="200"/>
        <w:jc w:val="left"/>
        <w:rPr>
          <w:rFonts w:ascii="宋体" w:hAnsi="宋体"/>
          <w:szCs w:val="21"/>
        </w:rPr>
      </w:pPr>
      <w:r>
        <w:rPr>
          <w:rFonts w:hint="eastAsia" w:ascii="宋体" w:hAnsi="宋体"/>
          <w:szCs w:val="21"/>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14:paraId="6FB4A528">
      <w:pPr>
        <w:spacing w:line="360" w:lineRule="auto"/>
        <w:ind w:firstLine="420" w:firstLineChars="200"/>
        <w:jc w:val="left"/>
        <w:rPr>
          <w:rFonts w:ascii="宋体" w:hAnsi="宋体"/>
          <w:szCs w:val="21"/>
        </w:rPr>
      </w:pPr>
      <w:r>
        <w:rPr>
          <w:rFonts w:hint="eastAsia" w:ascii="宋体" w:hAnsi="宋体"/>
          <w:szCs w:val="21"/>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14:paraId="4F488936">
      <w:pPr>
        <w:spacing w:line="360" w:lineRule="auto"/>
        <w:ind w:firstLine="420" w:firstLineChars="200"/>
        <w:jc w:val="left"/>
        <w:rPr>
          <w:rFonts w:ascii="宋体" w:hAnsi="宋体"/>
          <w:szCs w:val="21"/>
        </w:rPr>
      </w:pPr>
      <w:r>
        <w:rPr>
          <w:rFonts w:hint="eastAsia" w:ascii="宋体" w:hAnsi="宋体"/>
          <w:szCs w:val="21"/>
        </w:rPr>
        <w:t>3．发包人委托的监理公司检查发现的缺陷，承包人应在规定期限内完成整改。对于重大缺陷，发包人委托的监理公司有权要求承包人推迟开工，由此对工期产生的影响或经济损失，由承包人承担。</w:t>
      </w:r>
    </w:p>
    <w:p w14:paraId="19E660B2">
      <w:pPr>
        <w:spacing w:line="360" w:lineRule="auto"/>
        <w:ind w:firstLine="420" w:firstLineChars="200"/>
        <w:rPr>
          <w:rFonts w:ascii="宋体" w:hAnsi="宋体"/>
          <w:szCs w:val="21"/>
        </w:rPr>
      </w:pPr>
      <w:bookmarkStart w:id="1862" w:name="_Toc247418273"/>
      <w:bookmarkStart w:id="1863" w:name="_Toc239510299"/>
      <w:bookmarkStart w:id="1864" w:name="_Toc532375709"/>
      <w:bookmarkStart w:id="1865" w:name="_Toc247431433"/>
      <w:r>
        <w:rPr>
          <w:rFonts w:hint="eastAsia" w:ascii="宋体" w:hAnsi="宋体"/>
          <w:szCs w:val="21"/>
        </w:rPr>
        <w:t>十、安全监督</w:t>
      </w:r>
      <w:bookmarkEnd w:id="1862"/>
      <w:bookmarkEnd w:id="1863"/>
      <w:bookmarkEnd w:id="1864"/>
      <w:bookmarkEnd w:id="1865"/>
    </w:p>
    <w:p w14:paraId="71F36814">
      <w:pPr>
        <w:spacing w:line="360" w:lineRule="auto"/>
        <w:ind w:firstLine="420" w:firstLineChars="200"/>
        <w:jc w:val="left"/>
        <w:rPr>
          <w:rFonts w:ascii="宋体" w:hAnsi="宋体"/>
          <w:szCs w:val="21"/>
        </w:rPr>
      </w:pPr>
      <w:r>
        <w:rPr>
          <w:rFonts w:hint="eastAsia" w:ascii="宋体" w:hAnsi="宋体"/>
          <w:szCs w:val="21"/>
        </w:rPr>
        <w:t>1．承包人应配备有满足项目安全管理需要的专职安全管理人员。</w:t>
      </w:r>
    </w:p>
    <w:p w14:paraId="3D500684">
      <w:pPr>
        <w:spacing w:line="360" w:lineRule="auto"/>
        <w:ind w:firstLine="420" w:firstLineChars="200"/>
        <w:jc w:val="left"/>
        <w:rPr>
          <w:rFonts w:ascii="宋体" w:hAnsi="宋体"/>
          <w:szCs w:val="21"/>
        </w:rPr>
      </w:pPr>
      <w:r>
        <w:rPr>
          <w:rFonts w:hint="eastAsia" w:ascii="宋体" w:hAnsi="宋体"/>
          <w:szCs w:val="21"/>
        </w:rPr>
        <w:t>2．承包人的专职安全管理人员必须持建设主管部门颁发的安全生产知识考核合格证书。</w:t>
      </w:r>
    </w:p>
    <w:p w14:paraId="7E2D17FF">
      <w:pPr>
        <w:spacing w:line="360" w:lineRule="auto"/>
        <w:ind w:firstLine="420" w:firstLineChars="200"/>
        <w:jc w:val="left"/>
        <w:rPr>
          <w:rFonts w:ascii="宋体" w:hAnsi="宋体"/>
          <w:szCs w:val="21"/>
        </w:rPr>
      </w:pPr>
      <w:r>
        <w:rPr>
          <w:rFonts w:hint="eastAsia" w:ascii="宋体" w:hAnsi="宋体"/>
          <w:szCs w:val="21"/>
        </w:rPr>
        <w:t>3．承包人的专职安全管理人员在业务上接受发包人委托的监理公司和发包人安全管理部门的协调和指导。</w:t>
      </w:r>
    </w:p>
    <w:p w14:paraId="38CB12F9">
      <w:pPr>
        <w:spacing w:line="360" w:lineRule="auto"/>
        <w:ind w:firstLine="420" w:firstLineChars="200"/>
        <w:jc w:val="left"/>
        <w:rPr>
          <w:rFonts w:ascii="宋体" w:hAnsi="宋体"/>
          <w:szCs w:val="21"/>
        </w:rPr>
      </w:pPr>
      <w:r>
        <w:rPr>
          <w:rFonts w:hint="eastAsia" w:ascii="宋体" w:hAnsi="宋体"/>
          <w:szCs w:val="21"/>
        </w:rPr>
        <w:t>4．承包人应建立班前安全交底制度；施工期间坚持开展安全检查和日常安全监督并形成相应的记录。</w:t>
      </w:r>
    </w:p>
    <w:p w14:paraId="1F9E9C70">
      <w:pPr>
        <w:spacing w:line="360" w:lineRule="auto"/>
        <w:ind w:firstLine="420" w:firstLineChars="200"/>
        <w:jc w:val="left"/>
        <w:rPr>
          <w:rFonts w:ascii="宋体" w:hAnsi="宋体"/>
          <w:szCs w:val="21"/>
        </w:rPr>
      </w:pPr>
      <w:r>
        <w:rPr>
          <w:rFonts w:hint="eastAsia" w:ascii="宋体" w:hAnsi="宋体"/>
          <w:szCs w:val="21"/>
        </w:rPr>
        <w:t>5．承包人应在每个作业区任命兼职安全员，赋予兼职安全员相应的授权和义务，并对兼职安全员进行定期考核。</w:t>
      </w:r>
    </w:p>
    <w:p w14:paraId="77678932">
      <w:pPr>
        <w:spacing w:line="360" w:lineRule="auto"/>
        <w:ind w:firstLine="420" w:firstLineChars="200"/>
        <w:jc w:val="left"/>
        <w:rPr>
          <w:rFonts w:ascii="宋体" w:hAnsi="宋体"/>
          <w:szCs w:val="21"/>
        </w:rPr>
      </w:pPr>
      <w:r>
        <w:rPr>
          <w:rFonts w:hint="eastAsia" w:ascii="宋体" w:hAnsi="宋体"/>
          <w:szCs w:val="21"/>
        </w:rPr>
        <w:t>6．承包人应接受和配合发包人专业部门及委托的监理公司的监督与安全评价。</w:t>
      </w:r>
    </w:p>
    <w:p w14:paraId="5F6DE676">
      <w:pPr>
        <w:spacing w:line="360" w:lineRule="auto"/>
        <w:ind w:firstLine="420" w:firstLineChars="200"/>
        <w:jc w:val="left"/>
        <w:rPr>
          <w:rFonts w:ascii="宋体" w:hAnsi="宋体"/>
          <w:szCs w:val="21"/>
        </w:rPr>
      </w:pPr>
      <w:r>
        <w:rPr>
          <w:rFonts w:hint="eastAsia" w:ascii="宋体" w:hAnsi="宋体"/>
          <w:szCs w:val="21"/>
        </w:rPr>
        <w:t>7．发包人和委托的监理公司有权对承包人履行安全管理协议的情况进行监督，并有权对违章行为实行停工和处罚，处罚情况将通知承包人。涉及经济处罚时将直接通知合同管理部门从合同结算中扣除。</w:t>
      </w:r>
    </w:p>
    <w:p w14:paraId="05B2584B">
      <w:pPr>
        <w:spacing w:line="360" w:lineRule="auto"/>
        <w:ind w:firstLine="420" w:firstLineChars="200"/>
        <w:rPr>
          <w:rFonts w:ascii="宋体" w:hAnsi="宋体"/>
          <w:szCs w:val="21"/>
        </w:rPr>
      </w:pPr>
      <w:bookmarkStart w:id="1866" w:name="_Toc247418274"/>
      <w:bookmarkStart w:id="1867" w:name="_Toc532375710"/>
      <w:bookmarkStart w:id="1868" w:name="_Toc239510300"/>
      <w:bookmarkStart w:id="1869" w:name="_Toc247431434"/>
      <w:r>
        <w:rPr>
          <w:rFonts w:hint="eastAsia" w:ascii="宋体" w:hAnsi="宋体"/>
          <w:szCs w:val="21"/>
        </w:rPr>
        <w:t>十一、安全培训与授权</w:t>
      </w:r>
      <w:bookmarkEnd w:id="1866"/>
      <w:bookmarkEnd w:id="1867"/>
      <w:bookmarkEnd w:id="1868"/>
      <w:bookmarkEnd w:id="1869"/>
    </w:p>
    <w:p w14:paraId="70226AA7">
      <w:pPr>
        <w:spacing w:line="360" w:lineRule="auto"/>
        <w:ind w:firstLine="420" w:firstLineChars="200"/>
        <w:jc w:val="left"/>
        <w:rPr>
          <w:rFonts w:ascii="宋体" w:hAnsi="宋体"/>
          <w:szCs w:val="21"/>
        </w:rPr>
      </w:pPr>
      <w:r>
        <w:rPr>
          <w:rFonts w:hint="eastAsia" w:ascii="宋体" w:hAnsi="宋体"/>
          <w:szCs w:val="21"/>
        </w:rPr>
        <w:t>1．承包人所有特殊工种人员必须持证上岗，发包人和发包人委托的监理公司有权对其进行抽查。承包人要建立特殊工种定期培训和检查计划，这些工种包括但不限于：机动车驾驶员、焊工、起重工、电工等。</w:t>
      </w:r>
    </w:p>
    <w:p w14:paraId="16D038DF">
      <w:pPr>
        <w:spacing w:line="360" w:lineRule="auto"/>
        <w:ind w:firstLine="420" w:firstLineChars="200"/>
        <w:jc w:val="left"/>
        <w:rPr>
          <w:rFonts w:ascii="宋体" w:hAnsi="宋体"/>
          <w:szCs w:val="21"/>
        </w:rPr>
      </w:pPr>
      <w:r>
        <w:rPr>
          <w:rFonts w:hint="eastAsia" w:ascii="宋体" w:hAnsi="宋体"/>
          <w:szCs w:val="21"/>
        </w:rPr>
        <w:t>2．承包人应在特殊工种之外的其他工种中，筛选出高风险工种，并对其开展针对性的专题安全培训。</w:t>
      </w:r>
    </w:p>
    <w:p w14:paraId="733CF8F0">
      <w:pPr>
        <w:spacing w:line="360" w:lineRule="auto"/>
        <w:ind w:firstLine="420" w:firstLineChars="200"/>
        <w:jc w:val="left"/>
        <w:rPr>
          <w:rFonts w:ascii="宋体" w:hAnsi="宋体"/>
          <w:szCs w:val="21"/>
        </w:rPr>
      </w:pPr>
      <w:r>
        <w:rPr>
          <w:rFonts w:hint="eastAsia" w:ascii="宋体" w:hAnsi="宋体"/>
          <w:szCs w:val="21"/>
        </w:rPr>
        <w:t>3．承包人应组织 “入场培训”和考核。发包人委托的监理公司有权监督培训、考核情况或组织抽查考核。</w:t>
      </w:r>
    </w:p>
    <w:p w14:paraId="01F186F1">
      <w:pPr>
        <w:spacing w:line="360" w:lineRule="auto"/>
        <w:ind w:firstLine="420" w:firstLineChars="200"/>
        <w:jc w:val="left"/>
        <w:rPr>
          <w:rFonts w:ascii="宋体" w:hAnsi="宋体"/>
          <w:szCs w:val="21"/>
        </w:rPr>
      </w:pPr>
      <w:r>
        <w:rPr>
          <w:rFonts w:hint="eastAsia" w:ascii="宋体" w:hAnsi="宋体"/>
          <w:szCs w:val="21"/>
        </w:rPr>
        <w:t>4．承包人应建立安全培训和考核机制，编制培训教材和培训滚动计划。承包人应组织安全考试/考核，建立培训考核记录，发包人委托的监理公司有权查看这些记录。</w:t>
      </w:r>
    </w:p>
    <w:p w14:paraId="7720DEE5">
      <w:pPr>
        <w:spacing w:line="360" w:lineRule="auto"/>
        <w:ind w:firstLine="420" w:firstLineChars="200"/>
        <w:rPr>
          <w:rFonts w:ascii="宋体" w:hAnsi="宋体"/>
          <w:szCs w:val="21"/>
        </w:rPr>
      </w:pPr>
      <w:bookmarkStart w:id="1870" w:name="_Toc239510301"/>
      <w:bookmarkStart w:id="1871" w:name="_Toc247431435"/>
      <w:bookmarkStart w:id="1872" w:name="_Toc247418275"/>
      <w:bookmarkStart w:id="1873" w:name="_Toc532375711"/>
      <w:r>
        <w:rPr>
          <w:rFonts w:hint="eastAsia" w:ascii="宋体" w:hAnsi="宋体"/>
          <w:szCs w:val="21"/>
        </w:rPr>
        <w:t>十二、职业健康与卫生防疫</w:t>
      </w:r>
      <w:bookmarkEnd w:id="1870"/>
      <w:bookmarkEnd w:id="1871"/>
      <w:bookmarkEnd w:id="1872"/>
      <w:bookmarkEnd w:id="1873"/>
    </w:p>
    <w:p w14:paraId="4A0D7DF2">
      <w:pPr>
        <w:spacing w:line="360" w:lineRule="auto"/>
        <w:ind w:firstLine="420" w:firstLineChars="200"/>
        <w:jc w:val="left"/>
        <w:rPr>
          <w:rFonts w:ascii="宋体" w:hAnsi="宋体"/>
          <w:szCs w:val="21"/>
        </w:rPr>
      </w:pPr>
      <w:r>
        <w:rPr>
          <w:rFonts w:hint="eastAsia" w:ascii="宋体" w:hAnsi="宋体"/>
          <w:szCs w:val="21"/>
        </w:rPr>
        <w:t>1．承包人应有特殊健康检查制度，预防有禁忌症患者从事有关职业，如恐高症患者不得从事高空作业，患有心血管疾病的人员不得从事繁重的体力劳动，特殊工种人员的体检应符合国家的规定。</w:t>
      </w:r>
    </w:p>
    <w:p w14:paraId="01EB078A">
      <w:pPr>
        <w:spacing w:line="360" w:lineRule="auto"/>
        <w:ind w:firstLine="420" w:firstLineChars="200"/>
        <w:jc w:val="left"/>
        <w:rPr>
          <w:rFonts w:ascii="宋体" w:hAnsi="宋体"/>
          <w:szCs w:val="21"/>
        </w:rPr>
      </w:pPr>
      <w:r>
        <w:rPr>
          <w:rFonts w:hint="eastAsia" w:ascii="宋体" w:hAnsi="宋体"/>
          <w:szCs w:val="21"/>
        </w:rPr>
        <w:t>2．承包人应保证卫生防疫基本设施的投入，以满足医疗、急救的要求，建立外部医疗支持渠道。</w:t>
      </w:r>
    </w:p>
    <w:p w14:paraId="0C0DCAA1">
      <w:pPr>
        <w:spacing w:line="360" w:lineRule="auto"/>
        <w:ind w:firstLine="420" w:firstLineChars="200"/>
        <w:jc w:val="left"/>
        <w:rPr>
          <w:rFonts w:ascii="宋体" w:hAnsi="宋体"/>
          <w:szCs w:val="21"/>
        </w:rPr>
      </w:pPr>
      <w:r>
        <w:rPr>
          <w:rFonts w:hint="eastAsia" w:ascii="宋体" w:hAnsi="宋体"/>
          <w:szCs w:val="21"/>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14:paraId="13D17D3F">
      <w:pPr>
        <w:spacing w:line="360" w:lineRule="auto"/>
        <w:ind w:firstLine="420" w:firstLineChars="200"/>
        <w:rPr>
          <w:rFonts w:ascii="宋体" w:hAnsi="宋体"/>
          <w:szCs w:val="21"/>
        </w:rPr>
      </w:pPr>
      <w:bookmarkStart w:id="1874" w:name="_Toc247431436"/>
      <w:bookmarkStart w:id="1875" w:name="_Toc247418276"/>
      <w:bookmarkStart w:id="1876" w:name="_Toc532375712"/>
      <w:bookmarkStart w:id="1877" w:name="_Toc239510302"/>
      <w:r>
        <w:rPr>
          <w:rFonts w:hint="eastAsia" w:ascii="宋体" w:hAnsi="宋体"/>
          <w:szCs w:val="21"/>
        </w:rPr>
        <w:t>十三、文明施工与环保要求</w:t>
      </w:r>
      <w:bookmarkEnd w:id="1874"/>
      <w:bookmarkEnd w:id="1875"/>
      <w:bookmarkEnd w:id="1876"/>
      <w:bookmarkEnd w:id="1877"/>
    </w:p>
    <w:p w14:paraId="7D28660A">
      <w:pPr>
        <w:spacing w:line="360" w:lineRule="auto"/>
        <w:ind w:firstLine="420" w:firstLineChars="200"/>
        <w:jc w:val="left"/>
        <w:rPr>
          <w:rFonts w:ascii="宋体" w:hAnsi="宋体"/>
          <w:szCs w:val="21"/>
        </w:rPr>
      </w:pPr>
      <w:r>
        <w:rPr>
          <w:rFonts w:hint="eastAsia" w:ascii="宋体" w:hAnsi="宋体"/>
          <w:szCs w:val="21"/>
        </w:rPr>
        <w:t>1．承包人需制订施工现场的文明施工措施，保持良好的施工现场秩序。施工现场的物料堆放要摆放整齐，安全标志和宣传标志要清楚醒目，废料、废物要分类收集，安全通道要畅通。</w:t>
      </w:r>
    </w:p>
    <w:p w14:paraId="4A2079BE">
      <w:pPr>
        <w:spacing w:line="360" w:lineRule="auto"/>
        <w:ind w:firstLine="420" w:firstLineChars="200"/>
        <w:jc w:val="left"/>
        <w:rPr>
          <w:rFonts w:ascii="宋体" w:hAnsi="宋体"/>
          <w:szCs w:val="21"/>
        </w:rPr>
      </w:pPr>
      <w:r>
        <w:rPr>
          <w:rFonts w:hint="eastAsia" w:ascii="宋体" w:hAnsi="宋体"/>
          <w:szCs w:val="21"/>
        </w:rPr>
        <w:t>2．承包人作业时应避免建筑材料抛洒、飞扬、流淌；应尽可能降低噪音、震动。</w:t>
      </w:r>
    </w:p>
    <w:p w14:paraId="794612A7">
      <w:pPr>
        <w:spacing w:line="360" w:lineRule="auto"/>
        <w:ind w:firstLine="420" w:firstLineChars="200"/>
        <w:jc w:val="left"/>
        <w:rPr>
          <w:rFonts w:ascii="宋体" w:hAnsi="宋体"/>
          <w:szCs w:val="21"/>
        </w:rPr>
      </w:pPr>
      <w:r>
        <w:rPr>
          <w:rFonts w:hint="eastAsia" w:ascii="宋体" w:hAnsi="宋体"/>
          <w:szCs w:val="21"/>
        </w:rPr>
        <w:t>3．承包人应根据实际需要，在施工现场布置临时卫生设施（洗手间、卫生间等），施工作业不破坏环境卫生，不污染现场环境。</w:t>
      </w:r>
    </w:p>
    <w:p w14:paraId="2DF96447">
      <w:pPr>
        <w:spacing w:line="360" w:lineRule="auto"/>
        <w:ind w:firstLine="420" w:firstLineChars="200"/>
        <w:jc w:val="left"/>
        <w:rPr>
          <w:rFonts w:ascii="宋体" w:hAnsi="宋体"/>
          <w:szCs w:val="21"/>
        </w:rPr>
      </w:pPr>
      <w:r>
        <w:rPr>
          <w:rFonts w:hint="eastAsia" w:ascii="宋体" w:hAnsi="宋体"/>
          <w:szCs w:val="21"/>
        </w:rPr>
        <w:t>4．承包人在施工中应充分重视对环境的保护，保护绿色植被，保护古树。施工如需伤害古树，必须报告发包人委托的监理公司，在未得到指令前，禁止擅自伤害古树。</w:t>
      </w:r>
    </w:p>
    <w:p w14:paraId="60D9BDBD">
      <w:pPr>
        <w:spacing w:line="360" w:lineRule="auto"/>
        <w:ind w:firstLine="420" w:firstLineChars="200"/>
        <w:jc w:val="left"/>
        <w:rPr>
          <w:rFonts w:ascii="宋体" w:hAnsi="宋体"/>
          <w:szCs w:val="21"/>
        </w:rPr>
      </w:pPr>
      <w:r>
        <w:rPr>
          <w:rFonts w:hint="eastAsia" w:ascii="宋体" w:hAnsi="宋体"/>
          <w:szCs w:val="21"/>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14:paraId="156D2B08">
      <w:pPr>
        <w:spacing w:line="360" w:lineRule="auto"/>
        <w:ind w:firstLine="420" w:firstLineChars="200"/>
        <w:jc w:val="left"/>
        <w:rPr>
          <w:rFonts w:ascii="宋体" w:hAnsi="宋体"/>
          <w:szCs w:val="21"/>
        </w:rPr>
      </w:pPr>
      <w:r>
        <w:rPr>
          <w:rFonts w:hint="eastAsia" w:ascii="宋体" w:hAnsi="宋体"/>
          <w:szCs w:val="21"/>
        </w:rPr>
        <w:t>6．承包人在施工中应禁止向环境，排放工业污水、生活污水、废油或其他有害物质。</w:t>
      </w:r>
    </w:p>
    <w:p w14:paraId="7F3C6DD4">
      <w:pPr>
        <w:spacing w:line="360" w:lineRule="auto"/>
        <w:ind w:firstLine="420" w:firstLineChars="200"/>
        <w:jc w:val="left"/>
        <w:rPr>
          <w:rFonts w:ascii="宋体" w:hAnsi="宋体"/>
          <w:szCs w:val="21"/>
        </w:rPr>
      </w:pPr>
      <w:r>
        <w:rPr>
          <w:rFonts w:hint="eastAsia" w:ascii="宋体" w:hAnsi="宋体"/>
          <w:szCs w:val="21"/>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14:paraId="4058B40E">
      <w:pPr>
        <w:spacing w:line="360" w:lineRule="auto"/>
        <w:ind w:firstLine="420" w:firstLineChars="200"/>
        <w:rPr>
          <w:rFonts w:ascii="宋体" w:hAnsi="宋体"/>
          <w:szCs w:val="21"/>
        </w:rPr>
      </w:pPr>
      <w:bookmarkStart w:id="1878" w:name="_Toc239510303"/>
      <w:bookmarkStart w:id="1879" w:name="_Toc247418277"/>
      <w:bookmarkStart w:id="1880" w:name="_Toc247431437"/>
      <w:bookmarkStart w:id="1881" w:name="_Toc532375713"/>
      <w:r>
        <w:rPr>
          <w:rFonts w:hint="eastAsia" w:ascii="宋体" w:hAnsi="宋体"/>
          <w:szCs w:val="21"/>
        </w:rPr>
        <w:t>十四、工程风险管理与事故预防</w:t>
      </w:r>
      <w:bookmarkEnd w:id="1878"/>
      <w:bookmarkEnd w:id="1879"/>
      <w:bookmarkEnd w:id="1880"/>
      <w:bookmarkEnd w:id="1881"/>
    </w:p>
    <w:p w14:paraId="14423FFE">
      <w:pPr>
        <w:spacing w:line="360" w:lineRule="auto"/>
        <w:ind w:firstLine="420" w:firstLineChars="200"/>
        <w:jc w:val="left"/>
        <w:rPr>
          <w:rFonts w:ascii="宋体" w:hAnsi="宋体"/>
          <w:szCs w:val="21"/>
        </w:rPr>
      </w:pPr>
      <w:bookmarkStart w:id="1882" w:name="_Toc247418278"/>
      <w:bookmarkStart w:id="1883" w:name="_Toc239510304"/>
      <w:bookmarkStart w:id="1884" w:name="_Toc247431438"/>
      <w:r>
        <w:rPr>
          <w:rFonts w:hint="eastAsia" w:ascii="宋体" w:hAnsi="宋体"/>
          <w:szCs w:val="21"/>
        </w:rPr>
        <w:t>（一）基本要求</w:t>
      </w:r>
      <w:bookmarkEnd w:id="1882"/>
      <w:bookmarkEnd w:id="1883"/>
      <w:bookmarkEnd w:id="1884"/>
    </w:p>
    <w:p w14:paraId="18D584F9">
      <w:pPr>
        <w:spacing w:line="360" w:lineRule="auto"/>
        <w:ind w:firstLine="420" w:firstLineChars="200"/>
        <w:jc w:val="left"/>
        <w:rPr>
          <w:rFonts w:ascii="宋体" w:hAnsi="宋体"/>
          <w:szCs w:val="21"/>
        </w:rPr>
      </w:pPr>
      <w:bookmarkStart w:id="1885" w:name="_Toc532375714"/>
      <w:r>
        <w:rPr>
          <w:rFonts w:hint="eastAsia" w:ascii="宋体" w:hAnsi="宋体"/>
          <w:szCs w:val="21"/>
        </w:rPr>
        <w:t>1．承包人应对施工过程进行全面、深入的危险源识别和风险分析。在施工安全组织设计中提供危险源及重要危险源清单、作业风险分析报告，该报告应包括（但不限于）如下信息：</w:t>
      </w:r>
      <w:bookmarkEnd w:id="1885"/>
    </w:p>
    <w:p w14:paraId="03EE1ABF">
      <w:pPr>
        <w:spacing w:line="360" w:lineRule="auto"/>
        <w:ind w:firstLine="420" w:firstLineChars="200"/>
        <w:jc w:val="left"/>
        <w:rPr>
          <w:rFonts w:ascii="宋体" w:hAnsi="宋体"/>
          <w:szCs w:val="21"/>
        </w:rPr>
      </w:pPr>
      <w:r>
        <w:rPr>
          <w:rFonts w:hint="eastAsia" w:ascii="宋体" w:hAnsi="宋体"/>
          <w:szCs w:val="21"/>
        </w:rPr>
        <w:t>（1）高风险作业和工种清单：作业名称、类别和数量、主要事故风险。</w:t>
      </w:r>
    </w:p>
    <w:p w14:paraId="52B91324">
      <w:pPr>
        <w:spacing w:line="360" w:lineRule="auto"/>
        <w:ind w:firstLine="420" w:firstLineChars="200"/>
        <w:jc w:val="left"/>
        <w:rPr>
          <w:rFonts w:ascii="宋体" w:hAnsi="宋体"/>
          <w:szCs w:val="21"/>
        </w:rPr>
      </w:pPr>
      <w:r>
        <w:rPr>
          <w:rFonts w:hint="eastAsia" w:ascii="宋体" w:hAnsi="宋体"/>
          <w:szCs w:val="21"/>
        </w:rPr>
        <w:t>（2）施工能源和机械的种类、数量和主要事故风险。</w:t>
      </w:r>
    </w:p>
    <w:p w14:paraId="70FD3348">
      <w:pPr>
        <w:spacing w:line="360" w:lineRule="auto"/>
        <w:ind w:firstLine="420" w:firstLineChars="200"/>
        <w:jc w:val="left"/>
        <w:rPr>
          <w:rFonts w:ascii="宋体" w:hAnsi="宋体"/>
          <w:szCs w:val="21"/>
        </w:rPr>
      </w:pPr>
      <w:r>
        <w:rPr>
          <w:rFonts w:hint="eastAsia" w:ascii="宋体" w:hAnsi="宋体"/>
          <w:szCs w:val="21"/>
        </w:rPr>
        <w:t>（3）施工作业条件的类型和主要事故风险。</w:t>
      </w:r>
    </w:p>
    <w:p w14:paraId="3869F404">
      <w:pPr>
        <w:spacing w:line="360" w:lineRule="auto"/>
        <w:ind w:firstLine="420" w:firstLineChars="200"/>
        <w:jc w:val="left"/>
        <w:rPr>
          <w:rFonts w:ascii="宋体" w:hAnsi="宋体"/>
          <w:szCs w:val="21"/>
        </w:rPr>
      </w:pPr>
      <w:r>
        <w:rPr>
          <w:rFonts w:hint="eastAsia" w:ascii="宋体" w:hAnsi="宋体"/>
          <w:szCs w:val="21"/>
        </w:rPr>
        <w:t>（4）主要工艺过程（或施工活动）的类别及其相关的事故风险。</w:t>
      </w:r>
    </w:p>
    <w:p w14:paraId="56FB1D0F">
      <w:pPr>
        <w:spacing w:line="360" w:lineRule="auto"/>
        <w:ind w:firstLine="420" w:firstLineChars="200"/>
        <w:jc w:val="left"/>
        <w:rPr>
          <w:rFonts w:ascii="宋体" w:hAnsi="宋体"/>
          <w:szCs w:val="21"/>
        </w:rPr>
      </w:pPr>
      <w:r>
        <w:rPr>
          <w:rFonts w:hint="eastAsia" w:ascii="宋体" w:hAnsi="宋体"/>
          <w:szCs w:val="21"/>
        </w:rPr>
        <w:t>（5）主要火灾危险（可燃物、点火源）。</w:t>
      </w:r>
    </w:p>
    <w:p w14:paraId="3450820E">
      <w:pPr>
        <w:spacing w:line="360" w:lineRule="auto"/>
        <w:ind w:firstLine="420" w:firstLineChars="200"/>
        <w:jc w:val="left"/>
        <w:rPr>
          <w:rFonts w:ascii="宋体" w:hAnsi="宋体"/>
          <w:szCs w:val="21"/>
        </w:rPr>
      </w:pPr>
      <w:r>
        <w:rPr>
          <w:rFonts w:hint="eastAsia" w:ascii="宋体" w:hAnsi="宋体"/>
          <w:szCs w:val="21"/>
        </w:rPr>
        <w:t>（6）主要自然灾害（洪水、大风、雷暴、暴雨、地质灾害等）。</w:t>
      </w:r>
    </w:p>
    <w:p w14:paraId="2C9500C1">
      <w:pPr>
        <w:spacing w:line="360" w:lineRule="auto"/>
        <w:ind w:firstLine="420" w:firstLineChars="200"/>
        <w:jc w:val="left"/>
        <w:rPr>
          <w:rFonts w:ascii="宋体" w:hAnsi="宋体"/>
          <w:szCs w:val="21"/>
        </w:rPr>
      </w:pPr>
      <w:r>
        <w:rPr>
          <w:rFonts w:hint="eastAsia" w:ascii="宋体" w:hAnsi="宋体"/>
          <w:szCs w:val="21"/>
        </w:rPr>
        <w:t>（7）主要环境保护事件（有害垃圾、机械的跑冒滴漏、原材料流失、水土流失等）。</w:t>
      </w:r>
    </w:p>
    <w:p w14:paraId="29F1ABA6">
      <w:pPr>
        <w:spacing w:line="360" w:lineRule="auto"/>
        <w:ind w:firstLine="420" w:firstLineChars="200"/>
        <w:jc w:val="left"/>
        <w:rPr>
          <w:rFonts w:ascii="宋体" w:hAnsi="宋体"/>
          <w:szCs w:val="21"/>
        </w:rPr>
      </w:pPr>
      <w:r>
        <w:rPr>
          <w:rFonts w:hint="eastAsia" w:ascii="宋体" w:hAnsi="宋体"/>
          <w:szCs w:val="21"/>
        </w:rPr>
        <w:t>（8）其他。</w:t>
      </w:r>
    </w:p>
    <w:p w14:paraId="61717139">
      <w:pPr>
        <w:spacing w:line="360" w:lineRule="auto"/>
        <w:ind w:firstLine="420" w:firstLineChars="200"/>
        <w:jc w:val="left"/>
        <w:rPr>
          <w:rFonts w:ascii="宋体" w:hAnsi="宋体"/>
          <w:szCs w:val="21"/>
        </w:rPr>
      </w:pPr>
      <w:r>
        <w:rPr>
          <w:rFonts w:hint="eastAsia" w:ascii="宋体" w:hAnsi="宋体"/>
          <w:szCs w:val="21"/>
        </w:rPr>
        <w:t>2．承包人应针对识别出的危险源制定有针对性的事故预防措施并确保在施工中得到有效落实。</w:t>
      </w:r>
    </w:p>
    <w:p w14:paraId="0D9C6316">
      <w:pPr>
        <w:spacing w:line="360" w:lineRule="auto"/>
        <w:ind w:firstLine="420" w:firstLineChars="200"/>
        <w:jc w:val="left"/>
        <w:rPr>
          <w:rFonts w:ascii="宋体" w:hAnsi="宋体"/>
          <w:szCs w:val="21"/>
        </w:rPr>
      </w:pPr>
      <w:r>
        <w:rPr>
          <w:rFonts w:hint="eastAsia" w:ascii="宋体" w:hAnsi="宋体"/>
          <w:szCs w:val="21"/>
        </w:rPr>
        <w:t>3．承包人应建立日常施工活动的动态作业风险分析和安全交底制度。该制度应明确规定风险分析的方法、责任和交底的内容、时间及记录。</w:t>
      </w:r>
    </w:p>
    <w:p w14:paraId="501C921B">
      <w:pPr>
        <w:spacing w:line="360" w:lineRule="auto"/>
        <w:ind w:firstLine="420" w:firstLineChars="200"/>
        <w:jc w:val="left"/>
        <w:rPr>
          <w:rFonts w:ascii="宋体" w:hAnsi="宋体"/>
          <w:szCs w:val="21"/>
        </w:rPr>
      </w:pPr>
      <w:bookmarkStart w:id="1886" w:name="_Toc239510305"/>
      <w:bookmarkStart w:id="1887" w:name="_Toc247431439"/>
      <w:bookmarkStart w:id="1888" w:name="_Toc247418279"/>
      <w:r>
        <w:rPr>
          <w:rFonts w:hint="eastAsia" w:ascii="宋体" w:hAnsi="宋体"/>
          <w:szCs w:val="21"/>
        </w:rPr>
        <w:t>（二）现场作业基本安全条件</w:t>
      </w:r>
      <w:bookmarkEnd w:id="1886"/>
      <w:bookmarkEnd w:id="1887"/>
      <w:bookmarkEnd w:id="1888"/>
    </w:p>
    <w:p w14:paraId="7ABCB882">
      <w:pPr>
        <w:spacing w:line="360" w:lineRule="auto"/>
        <w:ind w:firstLine="420" w:firstLineChars="200"/>
        <w:jc w:val="left"/>
        <w:rPr>
          <w:rFonts w:ascii="宋体" w:hAnsi="宋体"/>
          <w:szCs w:val="21"/>
        </w:rPr>
      </w:pPr>
      <w:r>
        <w:rPr>
          <w:rFonts w:hint="eastAsia" w:ascii="宋体" w:hAnsi="宋体"/>
          <w:szCs w:val="21"/>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14:paraId="190CB164">
      <w:pPr>
        <w:spacing w:line="360" w:lineRule="auto"/>
        <w:ind w:firstLine="420" w:firstLineChars="200"/>
        <w:rPr>
          <w:rFonts w:ascii="宋体" w:hAnsi="宋体"/>
          <w:szCs w:val="21"/>
        </w:rPr>
      </w:pPr>
      <w:bookmarkStart w:id="1889" w:name="_Toc247418280"/>
      <w:bookmarkStart w:id="1890" w:name="_Toc247431440"/>
      <w:bookmarkStart w:id="1891" w:name="_Toc239510306"/>
      <w:bookmarkStart w:id="1892" w:name="_Toc532375715"/>
      <w:r>
        <w:rPr>
          <w:rFonts w:hint="eastAsia" w:ascii="宋体" w:hAnsi="宋体"/>
          <w:szCs w:val="21"/>
        </w:rPr>
        <w:t>十五、事故报告与应急救援</w:t>
      </w:r>
      <w:bookmarkEnd w:id="1889"/>
      <w:bookmarkEnd w:id="1890"/>
      <w:bookmarkEnd w:id="1891"/>
      <w:bookmarkEnd w:id="1892"/>
    </w:p>
    <w:p w14:paraId="1A93A626">
      <w:pPr>
        <w:spacing w:line="360" w:lineRule="auto"/>
        <w:ind w:firstLine="420" w:firstLineChars="200"/>
        <w:jc w:val="left"/>
        <w:rPr>
          <w:rFonts w:ascii="宋体" w:hAnsi="宋体"/>
          <w:szCs w:val="21"/>
        </w:rPr>
      </w:pPr>
      <w:r>
        <w:rPr>
          <w:rFonts w:hint="eastAsia" w:ascii="宋体" w:hAnsi="宋体"/>
          <w:szCs w:val="21"/>
        </w:rPr>
        <w:t>1．承包人应制定对于未遂事故及以上级别的安全事件和事故，定期报送安全月度快报、季报、年报和各种专项事故报告等。</w:t>
      </w:r>
    </w:p>
    <w:p w14:paraId="09724C03">
      <w:pPr>
        <w:spacing w:line="360" w:lineRule="auto"/>
        <w:ind w:firstLine="420" w:firstLineChars="200"/>
        <w:jc w:val="left"/>
        <w:rPr>
          <w:rFonts w:ascii="宋体" w:hAnsi="宋体"/>
          <w:szCs w:val="21"/>
        </w:rPr>
      </w:pPr>
      <w:r>
        <w:rPr>
          <w:rFonts w:hint="eastAsia" w:ascii="宋体" w:hAnsi="宋体"/>
          <w:szCs w:val="21"/>
        </w:rPr>
        <w:t>2．承包人应建立安全事故统计记录、未遂事故统计记录、违章统计记录，并根据统计情况进行分析，并就分析结果制定相应的预防措施。</w:t>
      </w:r>
    </w:p>
    <w:p w14:paraId="1894BDAC">
      <w:pPr>
        <w:spacing w:line="360" w:lineRule="auto"/>
        <w:ind w:firstLine="420" w:firstLineChars="200"/>
        <w:jc w:val="left"/>
        <w:rPr>
          <w:rFonts w:ascii="宋体" w:hAnsi="宋体"/>
          <w:szCs w:val="21"/>
        </w:rPr>
      </w:pPr>
      <w:r>
        <w:rPr>
          <w:rFonts w:hint="eastAsia" w:ascii="宋体" w:hAnsi="宋体"/>
          <w:szCs w:val="21"/>
        </w:rPr>
        <w:t>3．承包人应建立事故应急救援机制，明确事故处置的基本原则，即现场发生事故时，首先抢救生命，向救援组织报警，并采取措施限制事故扩大。</w:t>
      </w:r>
    </w:p>
    <w:p w14:paraId="752EC084">
      <w:pPr>
        <w:spacing w:line="360" w:lineRule="auto"/>
        <w:ind w:firstLine="420" w:firstLineChars="200"/>
        <w:jc w:val="left"/>
        <w:rPr>
          <w:rFonts w:ascii="宋体" w:hAnsi="宋体"/>
          <w:szCs w:val="21"/>
        </w:rPr>
      </w:pPr>
      <w:r>
        <w:rPr>
          <w:rFonts w:hint="eastAsia" w:ascii="宋体" w:hAnsi="宋体"/>
          <w:szCs w:val="21"/>
        </w:rPr>
        <w:t>4．承包人应建立相应的应急响应组织，以便能迅速处理突发意外。</w:t>
      </w:r>
    </w:p>
    <w:p w14:paraId="21CB5C18">
      <w:pPr>
        <w:spacing w:line="360" w:lineRule="auto"/>
        <w:ind w:firstLine="420" w:firstLineChars="200"/>
        <w:jc w:val="left"/>
        <w:rPr>
          <w:rFonts w:ascii="宋体" w:hAnsi="宋体"/>
          <w:szCs w:val="21"/>
        </w:rPr>
      </w:pPr>
      <w:r>
        <w:rPr>
          <w:rFonts w:hint="eastAsia" w:ascii="宋体" w:hAnsi="宋体"/>
          <w:szCs w:val="21"/>
        </w:rPr>
        <w:t>5．承包人应建立专项应急响应预案，包括重大人身伤亡事故的救护预案、火灾响应预案、“四防”预案（防风、防冻、防雷、防暴雨）、重大疫病防护预案、环境污染防护预案、地质灾害防护预案等。</w:t>
      </w:r>
    </w:p>
    <w:p w14:paraId="68050134">
      <w:pPr>
        <w:spacing w:line="360" w:lineRule="auto"/>
        <w:ind w:firstLine="420" w:firstLineChars="200"/>
        <w:jc w:val="left"/>
        <w:rPr>
          <w:rFonts w:ascii="宋体" w:hAnsi="宋体"/>
          <w:szCs w:val="21"/>
        </w:rPr>
      </w:pPr>
      <w:r>
        <w:rPr>
          <w:rFonts w:hint="eastAsia" w:ascii="宋体" w:hAnsi="宋体"/>
          <w:szCs w:val="21"/>
        </w:rPr>
        <w:t>6．承包人应对应急预案进行适当演练，保证应急预案的可操作性。</w:t>
      </w:r>
    </w:p>
    <w:p w14:paraId="3C2137E5">
      <w:pPr>
        <w:spacing w:line="360" w:lineRule="auto"/>
        <w:ind w:firstLine="420" w:firstLineChars="200"/>
        <w:jc w:val="left"/>
        <w:rPr>
          <w:rFonts w:ascii="宋体" w:hAnsi="宋体"/>
          <w:szCs w:val="21"/>
        </w:rPr>
      </w:pPr>
      <w:r>
        <w:rPr>
          <w:rFonts w:hint="eastAsia" w:ascii="宋体" w:hAnsi="宋体"/>
          <w:szCs w:val="21"/>
        </w:rPr>
        <w:t>7．在工地的其他施工单位发生重大事故时，承包人应无条件立即配合、支持事故抢险。</w:t>
      </w:r>
    </w:p>
    <w:p w14:paraId="04683419">
      <w:pPr>
        <w:spacing w:line="360" w:lineRule="auto"/>
        <w:ind w:firstLine="420" w:firstLineChars="200"/>
        <w:jc w:val="left"/>
        <w:rPr>
          <w:rFonts w:ascii="宋体" w:hAnsi="宋体"/>
          <w:szCs w:val="21"/>
        </w:rPr>
      </w:pPr>
      <w:r>
        <w:rPr>
          <w:rFonts w:hint="eastAsia" w:ascii="宋体" w:hAnsi="宋体"/>
          <w:szCs w:val="21"/>
        </w:rPr>
        <w:t>8．承包人必须为事故处置支付各项费用，包括受伤者的抚恤、补偿等费用，并按合同要求赔偿对发包人造成的损失。</w:t>
      </w:r>
    </w:p>
    <w:p w14:paraId="6B4E0ADD">
      <w:pPr>
        <w:spacing w:line="360" w:lineRule="auto"/>
        <w:ind w:firstLine="420" w:firstLineChars="200"/>
        <w:jc w:val="left"/>
        <w:rPr>
          <w:rFonts w:ascii="宋体" w:hAnsi="宋体"/>
          <w:szCs w:val="21"/>
        </w:rPr>
      </w:pPr>
      <w:r>
        <w:rPr>
          <w:rFonts w:hint="eastAsia" w:ascii="宋体" w:hAnsi="宋体"/>
          <w:szCs w:val="21"/>
        </w:rPr>
        <w:t>9．由于发包人原因而造成的事故，发包人应负责按事故的具体损失情况给予承包人经济赔偿。</w:t>
      </w:r>
    </w:p>
    <w:p w14:paraId="48E50D26">
      <w:pPr>
        <w:spacing w:line="360" w:lineRule="auto"/>
        <w:ind w:firstLine="420" w:firstLineChars="200"/>
        <w:jc w:val="left"/>
        <w:rPr>
          <w:rFonts w:ascii="宋体" w:hAnsi="宋体"/>
          <w:szCs w:val="21"/>
        </w:rPr>
      </w:pPr>
      <w:r>
        <w:rPr>
          <w:rFonts w:hint="eastAsia" w:ascii="宋体" w:hAnsi="宋体"/>
          <w:szCs w:val="21"/>
        </w:rPr>
        <w:t>10．涉及承包人员工的伤害事故，承包人除要报告发包人委托的监理公司外，还应负责按照国家、行业和本单位上级公司的要求，上报事故。</w:t>
      </w:r>
    </w:p>
    <w:p w14:paraId="171245F6">
      <w:pPr>
        <w:spacing w:line="360" w:lineRule="auto"/>
        <w:ind w:firstLine="420" w:firstLineChars="200"/>
        <w:rPr>
          <w:rFonts w:ascii="宋体" w:hAnsi="宋体"/>
          <w:szCs w:val="21"/>
        </w:rPr>
      </w:pPr>
      <w:bookmarkStart w:id="1893" w:name="_Toc247431441"/>
      <w:bookmarkStart w:id="1894" w:name="_Toc532375716"/>
      <w:bookmarkStart w:id="1895" w:name="_Toc247418281"/>
      <w:bookmarkStart w:id="1896" w:name="_Toc239510307"/>
      <w:r>
        <w:rPr>
          <w:rFonts w:hint="eastAsia" w:ascii="宋体" w:hAnsi="宋体"/>
          <w:szCs w:val="21"/>
        </w:rPr>
        <w:t>十六、安全业绩考核</w:t>
      </w:r>
      <w:bookmarkEnd w:id="1893"/>
      <w:bookmarkEnd w:id="1894"/>
      <w:bookmarkEnd w:id="1895"/>
      <w:bookmarkEnd w:id="1896"/>
    </w:p>
    <w:p w14:paraId="18D3E54C">
      <w:pPr>
        <w:spacing w:line="360" w:lineRule="auto"/>
        <w:ind w:firstLine="420" w:firstLineChars="200"/>
        <w:jc w:val="left"/>
        <w:rPr>
          <w:rFonts w:ascii="宋体" w:hAnsi="宋体"/>
          <w:szCs w:val="21"/>
        </w:rPr>
      </w:pPr>
      <w:r>
        <w:rPr>
          <w:rFonts w:hint="eastAsia" w:ascii="宋体" w:hAnsi="宋体"/>
          <w:szCs w:val="21"/>
        </w:rPr>
        <w:t>为了落实安全管理的责任，承包人在施工过程中发生安全事故时，承包人除应按国家有关规定承担责任和处罚外，发包人还将按照以下标准进行考核：</w:t>
      </w:r>
    </w:p>
    <w:tbl>
      <w:tblPr>
        <w:tblStyle w:val="45"/>
        <w:tblW w:w="7005" w:type="dxa"/>
        <w:jc w:val="center"/>
        <w:tblLayout w:type="fixed"/>
        <w:tblCellMar>
          <w:top w:w="0" w:type="dxa"/>
          <w:left w:w="0" w:type="dxa"/>
          <w:bottom w:w="0" w:type="dxa"/>
          <w:right w:w="0" w:type="dxa"/>
        </w:tblCellMar>
      </w:tblPr>
      <w:tblGrid>
        <w:gridCol w:w="3240"/>
        <w:gridCol w:w="3765"/>
      </w:tblGrid>
      <w:tr w14:paraId="616A690B">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D325011">
            <w:pPr>
              <w:spacing w:line="360" w:lineRule="auto"/>
              <w:ind w:firstLine="420" w:firstLineChars="200"/>
              <w:jc w:val="left"/>
              <w:rPr>
                <w:rFonts w:ascii="宋体" w:hAnsi="宋体"/>
                <w:szCs w:val="21"/>
              </w:rPr>
            </w:pPr>
            <w:r>
              <w:rPr>
                <w:rFonts w:hint="eastAsia" w:ascii="宋体" w:hAnsi="宋体"/>
                <w:szCs w:val="21"/>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B759829">
            <w:pPr>
              <w:spacing w:line="360" w:lineRule="auto"/>
              <w:ind w:firstLine="420" w:firstLineChars="200"/>
              <w:jc w:val="left"/>
              <w:rPr>
                <w:rFonts w:ascii="宋体" w:hAnsi="宋体"/>
                <w:szCs w:val="21"/>
              </w:rPr>
            </w:pPr>
            <w:r>
              <w:rPr>
                <w:rFonts w:hint="eastAsia" w:ascii="宋体" w:hAnsi="宋体"/>
                <w:szCs w:val="21"/>
              </w:rPr>
              <w:t>违约金额</w:t>
            </w:r>
          </w:p>
        </w:tc>
      </w:tr>
      <w:tr w14:paraId="4EF2F88F">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6CE8F78">
            <w:pPr>
              <w:spacing w:line="360" w:lineRule="auto"/>
              <w:ind w:firstLine="420" w:firstLineChars="200"/>
              <w:jc w:val="left"/>
              <w:rPr>
                <w:rFonts w:ascii="宋体" w:hAnsi="宋体"/>
                <w:szCs w:val="21"/>
              </w:rPr>
            </w:pPr>
            <w:r>
              <w:rPr>
                <w:rFonts w:hint="eastAsia" w:ascii="宋体" w:hAnsi="宋体"/>
                <w:szCs w:val="21"/>
              </w:rPr>
              <w:t>较大事故</w:t>
            </w:r>
          </w:p>
        </w:tc>
        <w:tc>
          <w:tcPr>
            <w:tcW w:w="3765" w:type="dxa"/>
            <w:tcBorders>
              <w:top w:val="single" w:color="auto" w:sz="8" w:space="0"/>
              <w:left w:val="nil"/>
              <w:bottom w:val="single" w:color="auto" w:sz="8" w:space="0"/>
              <w:right w:val="single" w:color="auto" w:sz="8" w:space="0"/>
            </w:tcBorders>
            <w:vAlign w:val="center"/>
          </w:tcPr>
          <w:p w14:paraId="572B06C1">
            <w:pPr>
              <w:spacing w:line="360" w:lineRule="auto"/>
              <w:ind w:firstLine="420" w:firstLineChars="200"/>
              <w:jc w:val="left"/>
              <w:rPr>
                <w:rFonts w:ascii="宋体" w:hAnsi="宋体"/>
                <w:szCs w:val="21"/>
              </w:rPr>
            </w:pPr>
            <w:r>
              <w:rPr>
                <w:rFonts w:hint="eastAsia" w:ascii="宋体" w:hAnsi="宋体"/>
                <w:kern w:val="0"/>
                <w:szCs w:val="21"/>
              </w:rPr>
              <w:t>签约合同价</w:t>
            </w:r>
            <w:r>
              <w:rPr>
                <w:rFonts w:hint="eastAsia" w:ascii="宋体" w:hAnsi="宋体"/>
                <w:szCs w:val="21"/>
              </w:rPr>
              <w:t>的0.5‰</w:t>
            </w:r>
          </w:p>
        </w:tc>
      </w:tr>
      <w:tr w14:paraId="2522646E">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1F42B393">
            <w:pPr>
              <w:spacing w:line="360" w:lineRule="auto"/>
              <w:ind w:firstLine="420" w:firstLineChars="200"/>
              <w:jc w:val="left"/>
              <w:rPr>
                <w:rFonts w:ascii="宋体" w:hAnsi="宋体"/>
                <w:szCs w:val="21"/>
              </w:rPr>
            </w:pPr>
            <w:r>
              <w:rPr>
                <w:rFonts w:hint="eastAsia" w:ascii="宋体" w:hAnsi="宋体"/>
                <w:szCs w:val="21"/>
              </w:rPr>
              <w:t>重大事故</w:t>
            </w:r>
          </w:p>
        </w:tc>
        <w:tc>
          <w:tcPr>
            <w:tcW w:w="3765" w:type="dxa"/>
            <w:tcBorders>
              <w:top w:val="single" w:color="auto" w:sz="8" w:space="0"/>
              <w:left w:val="nil"/>
              <w:bottom w:val="single" w:color="auto" w:sz="8" w:space="0"/>
              <w:right w:val="single" w:color="auto" w:sz="8" w:space="0"/>
            </w:tcBorders>
            <w:vAlign w:val="center"/>
          </w:tcPr>
          <w:p w14:paraId="602017D4">
            <w:pPr>
              <w:spacing w:line="360" w:lineRule="auto"/>
              <w:ind w:firstLine="420" w:firstLineChars="200"/>
              <w:jc w:val="left"/>
              <w:rPr>
                <w:rFonts w:ascii="宋体" w:hAnsi="宋体"/>
                <w:szCs w:val="21"/>
              </w:rPr>
            </w:pPr>
            <w:r>
              <w:rPr>
                <w:rFonts w:hint="eastAsia" w:ascii="宋体" w:hAnsi="宋体"/>
                <w:szCs w:val="21"/>
              </w:rPr>
              <w:t>签约合同价的2‰</w:t>
            </w:r>
          </w:p>
        </w:tc>
      </w:tr>
      <w:tr w14:paraId="2EA93FC3">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0A7FB99C">
            <w:pPr>
              <w:spacing w:line="360" w:lineRule="auto"/>
              <w:ind w:firstLine="420" w:firstLineChars="200"/>
              <w:jc w:val="left"/>
              <w:rPr>
                <w:rFonts w:ascii="宋体" w:hAnsi="宋体"/>
                <w:szCs w:val="21"/>
              </w:rPr>
            </w:pPr>
            <w:r>
              <w:rPr>
                <w:rFonts w:hint="eastAsia" w:ascii="宋体" w:hAnsi="宋体"/>
                <w:szCs w:val="21"/>
              </w:rPr>
              <w:t>特别重大事故</w:t>
            </w:r>
          </w:p>
        </w:tc>
        <w:tc>
          <w:tcPr>
            <w:tcW w:w="3765" w:type="dxa"/>
            <w:tcBorders>
              <w:top w:val="single" w:color="auto" w:sz="8" w:space="0"/>
              <w:left w:val="nil"/>
              <w:bottom w:val="single" w:color="auto" w:sz="8" w:space="0"/>
              <w:right w:val="single" w:color="auto" w:sz="8" w:space="0"/>
            </w:tcBorders>
            <w:vAlign w:val="center"/>
          </w:tcPr>
          <w:p w14:paraId="3E5F10AF">
            <w:pPr>
              <w:spacing w:line="360" w:lineRule="auto"/>
              <w:ind w:firstLine="420" w:firstLineChars="200"/>
              <w:jc w:val="left"/>
              <w:rPr>
                <w:rFonts w:ascii="宋体" w:hAnsi="宋体"/>
                <w:szCs w:val="21"/>
              </w:rPr>
            </w:pPr>
            <w:r>
              <w:rPr>
                <w:rFonts w:hint="eastAsia" w:ascii="宋体" w:hAnsi="宋体"/>
                <w:szCs w:val="21"/>
              </w:rPr>
              <w:t>签约合同价的4‰</w:t>
            </w:r>
          </w:p>
        </w:tc>
      </w:tr>
    </w:tbl>
    <w:p w14:paraId="57362907">
      <w:pPr>
        <w:spacing w:line="360" w:lineRule="auto"/>
        <w:ind w:firstLine="420" w:firstLineChars="200"/>
        <w:jc w:val="left"/>
        <w:rPr>
          <w:rFonts w:ascii="宋体" w:hAnsi="宋体"/>
          <w:szCs w:val="21"/>
        </w:rPr>
      </w:pPr>
      <w:r>
        <w:rPr>
          <w:rFonts w:hint="eastAsia" w:ascii="宋体" w:hAnsi="宋体"/>
          <w:szCs w:val="21"/>
        </w:rPr>
        <w:t>（1）较大事故，是指造成3人以上10人以下死亡，或者10人以上50人以下重伤，或者1000万元以上5000万元以下直接经济损失的事故；</w:t>
      </w:r>
    </w:p>
    <w:p w14:paraId="2F0CD266">
      <w:pPr>
        <w:spacing w:line="360" w:lineRule="auto"/>
        <w:ind w:firstLine="420" w:firstLineChars="200"/>
        <w:jc w:val="left"/>
        <w:rPr>
          <w:rFonts w:ascii="宋体" w:hAnsi="宋体"/>
          <w:szCs w:val="21"/>
        </w:rPr>
      </w:pPr>
      <w:r>
        <w:rPr>
          <w:rFonts w:hint="eastAsia" w:ascii="宋体" w:hAnsi="宋体"/>
          <w:szCs w:val="21"/>
        </w:rPr>
        <w:t>（2）重大事故，是指造成10人以上30人以下死亡，或者50人以上100人以下重伤，或者5000万元以上1亿元以下直接经济损失的事故；</w:t>
      </w:r>
    </w:p>
    <w:p w14:paraId="4C967180">
      <w:pPr>
        <w:spacing w:line="360" w:lineRule="auto"/>
        <w:ind w:firstLine="420" w:firstLineChars="200"/>
        <w:jc w:val="left"/>
        <w:rPr>
          <w:rFonts w:ascii="宋体" w:hAnsi="宋体"/>
          <w:szCs w:val="21"/>
        </w:rPr>
      </w:pPr>
      <w:r>
        <w:rPr>
          <w:rFonts w:hint="eastAsia" w:ascii="宋体" w:hAnsi="宋体"/>
          <w:szCs w:val="21"/>
        </w:rPr>
        <w:t>（3）特别重大事故，是指造成30人以上死亡，或者100人以上重伤（包括急性工业中毒，下同），或者1亿元以上直接经济损失的事故；</w:t>
      </w:r>
    </w:p>
    <w:p w14:paraId="2106483A">
      <w:pPr>
        <w:spacing w:line="276" w:lineRule="auto"/>
        <w:ind w:firstLine="420" w:firstLineChars="200"/>
        <w:jc w:val="left"/>
        <w:rPr>
          <w:rFonts w:ascii="宋体" w:hAnsi="宋体"/>
          <w:szCs w:val="21"/>
        </w:rPr>
      </w:pPr>
      <w:r>
        <w:rPr>
          <w:rFonts w:hint="eastAsia" w:ascii="宋体" w:hAnsi="宋体"/>
          <w:szCs w:val="21"/>
        </w:rPr>
        <w:t>（4）所称的“以上”包括本数，所称的“以下”不包括本数。</w:t>
      </w:r>
    </w:p>
    <w:p w14:paraId="666189A7">
      <w:pPr>
        <w:spacing w:line="276" w:lineRule="auto"/>
        <w:ind w:firstLine="420" w:firstLineChars="200"/>
        <w:jc w:val="left"/>
        <w:rPr>
          <w:rFonts w:ascii="宋体" w:hAnsi="宋体"/>
          <w:szCs w:val="21"/>
        </w:rPr>
      </w:pPr>
      <w:r>
        <w:rPr>
          <w:rFonts w:hint="eastAsia" w:ascii="宋体" w:hAnsi="宋体"/>
          <w:szCs w:val="21"/>
        </w:rPr>
        <w:t>（5）如整个施工过程未发生以上安全事故，则给予承包人建安费总额的1‰的安全奖励。</w:t>
      </w:r>
    </w:p>
    <w:p w14:paraId="27D014B1">
      <w:pPr>
        <w:spacing w:line="276" w:lineRule="auto"/>
        <w:ind w:firstLine="420" w:firstLineChars="200"/>
        <w:jc w:val="left"/>
        <w:rPr>
          <w:rFonts w:ascii="宋体" w:hAnsi="宋体"/>
          <w:szCs w:val="21"/>
        </w:rPr>
      </w:pPr>
      <w:r>
        <w:rPr>
          <w:rFonts w:hint="eastAsia" w:ascii="宋体" w:hAnsi="宋体"/>
          <w:szCs w:val="21"/>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14:paraId="7729D2DC">
      <w:pPr>
        <w:spacing w:line="276" w:lineRule="auto"/>
        <w:ind w:firstLine="420" w:firstLineChars="200"/>
        <w:rPr>
          <w:rFonts w:ascii="宋体" w:hAnsi="宋体"/>
          <w:szCs w:val="21"/>
        </w:rPr>
      </w:pPr>
      <w:bookmarkStart w:id="1897" w:name="_Toc532375717"/>
      <w:bookmarkStart w:id="1898" w:name="_Toc247418282"/>
      <w:bookmarkStart w:id="1899" w:name="_Toc247431442"/>
      <w:bookmarkStart w:id="1900" w:name="_Toc239510308"/>
      <w:r>
        <w:rPr>
          <w:rFonts w:hint="eastAsia" w:ascii="宋体" w:hAnsi="宋体"/>
          <w:szCs w:val="21"/>
        </w:rPr>
        <w:t>十七、协议条款的修订</w:t>
      </w:r>
      <w:bookmarkEnd w:id="1897"/>
      <w:bookmarkEnd w:id="1898"/>
      <w:bookmarkEnd w:id="1899"/>
      <w:bookmarkEnd w:id="1900"/>
    </w:p>
    <w:p w14:paraId="2FD2BECB">
      <w:pPr>
        <w:spacing w:line="276" w:lineRule="auto"/>
        <w:ind w:firstLine="420" w:firstLineChars="200"/>
        <w:jc w:val="left"/>
        <w:rPr>
          <w:rFonts w:ascii="宋体" w:hAnsi="宋体"/>
          <w:szCs w:val="21"/>
        </w:rPr>
      </w:pPr>
      <w:r>
        <w:rPr>
          <w:rFonts w:hint="eastAsia" w:ascii="宋体" w:hAnsi="宋体"/>
          <w:szCs w:val="21"/>
        </w:rPr>
        <w:t>在项目实施过程中，经双方友好协商，本协议的有关条款也可做出相应的修改。</w:t>
      </w:r>
    </w:p>
    <w:p w14:paraId="49465BB2">
      <w:pPr>
        <w:spacing w:line="276" w:lineRule="auto"/>
        <w:ind w:firstLine="420" w:firstLineChars="200"/>
        <w:jc w:val="left"/>
        <w:rPr>
          <w:rFonts w:ascii="宋体" w:hAnsi="宋体"/>
          <w:szCs w:val="21"/>
        </w:rPr>
      </w:pPr>
      <w:r>
        <w:rPr>
          <w:rFonts w:hint="eastAsia" w:ascii="宋体" w:hAnsi="宋体"/>
          <w:szCs w:val="21"/>
        </w:rPr>
        <w:t>本工程安全管理协议，由发包人、承包人双方在施工承包合同签订后7天内共同签署，作为施工合同附件。</w:t>
      </w:r>
    </w:p>
    <w:p w14:paraId="155D1403">
      <w:pPr>
        <w:spacing w:line="360" w:lineRule="auto"/>
        <w:ind w:firstLine="420" w:firstLineChars="200"/>
        <w:jc w:val="left"/>
        <w:rPr>
          <w:rFonts w:ascii="宋体" w:hAnsi="宋体"/>
          <w:szCs w:val="21"/>
        </w:rPr>
      </w:pPr>
      <w:r>
        <w:rPr>
          <w:rFonts w:hint="eastAsia" w:ascii="宋体" w:hAnsi="宋体"/>
          <w:szCs w:val="21"/>
        </w:rPr>
        <w:t>发  包  人（公章）：</w:t>
      </w:r>
      <w:r>
        <w:rPr>
          <w:rFonts w:hint="eastAsia" w:ascii="宋体" w:hAnsi="宋体" w:cs="宋体"/>
          <w:szCs w:val="21"/>
          <w:u w:val="single"/>
        </w:rPr>
        <w:t xml:space="preserve">                       </w:t>
      </w:r>
    </w:p>
    <w:p w14:paraId="79D13A0C">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r>
        <w:rPr>
          <w:rFonts w:hint="eastAsia" w:ascii="宋体" w:hAnsi="宋体"/>
          <w:szCs w:val="21"/>
        </w:rPr>
        <w:t xml:space="preserve">  </w:t>
      </w:r>
    </w:p>
    <w:p w14:paraId="2FD5A96D">
      <w:pPr>
        <w:spacing w:line="360" w:lineRule="auto"/>
        <w:ind w:firstLine="420" w:firstLineChars="200"/>
        <w:jc w:val="left"/>
        <w:rPr>
          <w:rFonts w:ascii="宋体" w:hAnsi="宋体"/>
          <w:szCs w:val="21"/>
        </w:rPr>
      </w:pPr>
      <w:r>
        <w:rPr>
          <w:rFonts w:hint="eastAsia" w:ascii="宋体" w:hAnsi="宋体"/>
          <w:szCs w:val="21"/>
        </w:rPr>
        <w:t>或其委托代理人（签字）：</w:t>
      </w:r>
      <w:r>
        <w:rPr>
          <w:rFonts w:hint="eastAsia" w:ascii="宋体" w:hAnsi="宋体" w:cs="宋体"/>
          <w:szCs w:val="21"/>
          <w:u w:val="single"/>
        </w:rPr>
        <w:t xml:space="preserve">                   </w:t>
      </w:r>
      <w:r>
        <w:rPr>
          <w:rFonts w:hint="eastAsia" w:ascii="宋体" w:hAnsi="宋体"/>
          <w:szCs w:val="21"/>
        </w:rPr>
        <w:t xml:space="preserve">  </w:t>
      </w:r>
    </w:p>
    <w:p w14:paraId="601459B5">
      <w:pPr>
        <w:spacing w:line="360" w:lineRule="auto"/>
        <w:ind w:firstLine="420" w:firstLineChars="200"/>
        <w:jc w:val="left"/>
        <w:rPr>
          <w:rFonts w:ascii="宋体" w:hAnsi="宋体"/>
          <w:szCs w:val="21"/>
        </w:rPr>
      </w:pPr>
    </w:p>
    <w:p w14:paraId="19B28542">
      <w:pPr>
        <w:spacing w:line="360" w:lineRule="auto"/>
        <w:ind w:firstLine="420" w:firstLineChars="200"/>
        <w:jc w:val="left"/>
        <w:rPr>
          <w:rFonts w:ascii="宋体" w:hAnsi="宋体"/>
          <w:kern w:val="0"/>
          <w:szCs w:val="21"/>
        </w:rPr>
      </w:pPr>
      <w:r>
        <w:rPr>
          <w:rFonts w:hint="eastAsia" w:ascii="宋体" w:hAnsi="宋体"/>
          <w:szCs w:val="21"/>
        </w:rPr>
        <w:t>承  包  人（公章）：</w:t>
      </w:r>
      <w:r>
        <w:rPr>
          <w:rFonts w:hint="eastAsia" w:ascii="宋体" w:hAnsi="宋体" w:cs="宋体"/>
          <w:szCs w:val="21"/>
          <w:u w:val="single"/>
        </w:rPr>
        <w:t xml:space="preserve">                       </w:t>
      </w:r>
    </w:p>
    <w:p w14:paraId="6D5A8260">
      <w:pPr>
        <w:spacing w:line="360" w:lineRule="auto"/>
        <w:ind w:firstLine="420" w:firstLineChars="200"/>
        <w:jc w:val="left"/>
        <w:rPr>
          <w:rFonts w:ascii="宋体" w:hAnsi="宋体"/>
          <w:szCs w:val="21"/>
        </w:rPr>
      </w:pPr>
      <w:r>
        <w:rPr>
          <w:rFonts w:hint="eastAsia" w:ascii="宋体" w:hAnsi="宋体"/>
          <w:szCs w:val="21"/>
        </w:rPr>
        <w:t>法定代表人（签字）：</w:t>
      </w:r>
      <w:r>
        <w:rPr>
          <w:rFonts w:hint="eastAsia" w:ascii="宋体" w:hAnsi="宋体" w:cs="宋体"/>
          <w:szCs w:val="21"/>
          <w:u w:val="single"/>
        </w:rPr>
        <w:t xml:space="preserve">                       </w:t>
      </w:r>
    </w:p>
    <w:p w14:paraId="5D7017F6">
      <w:pPr>
        <w:spacing w:line="360" w:lineRule="auto"/>
        <w:ind w:firstLine="420" w:firstLineChars="200"/>
        <w:jc w:val="left"/>
        <w:rPr>
          <w:rFonts w:ascii="宋体" w:hAnsi="宋体"/>
          <w:kern w:val="0"/>
          <w:szCs w:val="21"/>
        </w:rPr>
      </w:pPr>
      <w:r>
        <w:rPr>
          <w:rFonts w:hint="eastAsia" w:ascii="宋体" w:hAnsi="宋体"/>
          <w:szCs w:val="21"/>
        </w:rPr>
        <w:t>或其委托代理人（签字）：</w:t>
      </w:r>
      <w:r>
        <w:rPr>
          <w:rFonts w:hint="eastAsia" w:ascii="宋体" w:hAnsi="宋体" w:cs="宋体"/>
          <w:szCs w:val="21"/>
          <w:u w:val="single"/>
        </w:rPr>
        <w:t xml:space="preserve">                   </w:t>
      </w:r>
    </w:p>
    <w:p w14:paraId="4A94A6C6">
      <w:pPr>
        <w:snapToGrid w:val="0"/>
        <w:spacing w:line="360" w:lineRule="auto"/>
        <w:jc w:val="left"/>
        <w:rPr>
          <w:rFonts w:ascii="宋体" w:hAnsi="宋体"/>
          <w:kern w:val="0"/>
          <w:szCs w:val="21"/>
        </w:rPr>
      </w:pPr>
      <w:r>
        <w:rPr>
          <w:rFonts w:hint="eastAsia" w:ascii="宋体" w:hAnsi="宋体"/>
          <w:szCs w:val="21"/>
        </w:rPr>
        <w:br w:type="page"/>
      </w:r>
    </w:p>
    <w:p w14:paraId="0AB2E8D2">
      <w:pPr>
        <w:spacing w:line="480" w:lineRule="auto"/>
        <w:rPr>
          <w:rFonts w:ascii="宋体" w:hAnsi="宋体"/>
          <w:szCs w:val="21"/>
        </w:rPr>
      </w:pPr>
      <w:r>
        <w:rPr>
          <w:rFonts w:hint="eastAsia" w:ascii="宋体" w:hAnsi="宋体"/>
          <w:szCs w:val="21"/>
        </w:rPr>
        <w:t>附件</w:t>
      </w:r>
      <w:r>
        <w:rPr>
          <w:rFonts w:ascii="宋体" w:hAnsi="宋体"/>
          <w:szCs w:val="21"/>
        </w:rPr>
        <w:t>10</w:t>
      </w:r>
      <w:r>
        <w:rPr>
          <w:rFonts w:hint="eastAsia" w:ascii="宋体" w:hAnsi="宋体"/>
          <w:szCs w:val="21"/>
        </w:rPr>
        <w:t>：</w:t>
      </w:r>
    </w:p>
    <w:p w14:paraId="03F9F09C">
      <w:pPr>
        <w:spacing w:before="156" w:beforeLines="50" w:after="156" w:afterLines="50" w:line="480" w:lineRule="auto"/>
        <w:jc w:val="center"/>
        <w:rPr>
          <w:rFonts w:ascii="宋体" w:hAnsi="宋体"/>
          <w:szCs w:val="21"/>
        </w:rPr>
      </w:pPr>
      <w:r>
        <w:rPr>
          <w:rFonts w:hint="eastAsia" w:ascii="宋体" w:hAnsi="宋体"/>
          <w:szCs w:val="21"/>
        </w:rPr>
        <w:t>保障农民工工资支付协议</w:t>
      </w:r>
    </w:p>
    <w:p w14:paraId="6FE80C47">
      <w:pPr>
        <w:snapToGrid w:val="0"/>
        <w:spacing w:line="480" w:lineRule="auto"/>
        <w:rPr>
          <w:rFonts w:ascii="宋体" w:hAnsi="宋体"/>
          <w:szCs w:val="21"/>
        </w:rPr>
      </w:pPr>
      <w:r>
        <w:rPr>
          <w:rFonts w:hint="eastAsia" w:ascii="宋体" w:hAnsi="宋体"/>
          <w:szCs w:val="21"/>
        </w:rPr>
        <w:t xml:space="preserve"> 发包人：</w:t>
      </w:r>
      <w:r>
        <w:rPr>
          <w:rFonts w:hint="eastAsia" w:ascii="宋体" w:hAnsi="宋体" w:cs="宋体"/>
          <w:szCs w:val="21"/>
          <w:u w:val="single"/>
        </w:rPr>
        <w:t xml:space="preserve">                                 </w:t>
      </w:r>
      <w:r>
        <w:rPr>
          <w:rFonts w:hint="eastAsia" w:ascii="宋体" w:hAnsi="宋体"/>
          <w:szCs w:val="21"/>
        </w:rPr>
        <w:t>（发包人）</w:t>
      </w:r>
    </w:p>
    <w:p w14:paraId="16C29202">
      <w:pPr>
        <w:snapToGrid w:val="0"/>
        <w:spacing w:line="360" w:lineRule="auto"/>
        <w:rPr>
          <w:rFonts w:ascii="宋体" w:hAnsi="宋体"/>
          <w:szCs w:val="21"/>
        </w:rPr>
      </w:pPr>
      <w:r>
        <w:rPr>
          <w:rFonts w:hint="eastAsia" w:ascii="宋体" w:hAnsi="宋体"/>
          <w:szCs w:val="21"/>
        </w:rPr>
        <w:t xml:space="preserve"> 承包人：</w:t>
      </w:r>
      <w:r>
        <w:rPr>
          <w:rFonts w:hint="eastAsia" w:ascii="宋体" w:hAnsi="宋体" w:cs="宋体"/>
          <w:szCs w:val="21"/>
          <w:u w:val="single"/>
        </w:rPr>
        <w:t xml:space="preserve">                                 </w:t>
      </w:r>
      <w:r>
        <w:rPr>
          <w:rFonts w:hint="eastAsia" w:ascii="宋体" w:hAnsi="宋体"/>
          <w:szCs w:val="21"/>
        </w:rPr>
        <w:t>（承包人）</w:t>
      </w:r>
    </w:p>
    <w:p w14:paraId="1532319B">
      <w:pPr>
        <w:spacing w:line="360" w:lineRule="auto"/>
        <w:ind w:firstLine="420" w:firstLineChars="200"/>
        <w:rPr>
          <w:rFonts w:ascii="宋体" w:hAnsi="宋体"/>
          <w:szCs w:val="21"/>
        </w:rPr>
      </w:pPr>
      <w:r>
        <w:rPr>
          <w:rFonts w:hint="eastAsia" w:ascii="宋体" w:hAnsi="宋体"/>
          <w:szCs w:val="21"/>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14:paraId="477A51E9">
      <w:pPr>
        <w:spacing w:line="360" w:lineRule="auto"/>
        <w:ind w:firstLine="420" w:firstLineChars="200"/>
        <w:rPr>
          <w:rFonts w:ascii="宋体" w:hAnsi="宋体"/>
          <w:szCs w:val="21"/>
        </w:rPr>
      </w:pPr>
      <w:r>
        <w:rPr>
          <w:rFonts w:hint="eastAsia" w:ascii="宋体" w:hAnsi="宋体"/>
          <w:szCs w:val="21"/>
        </w:rPr>
        <w:t>一、承包人申报工程进度款时，应对上月已支付工程款用于农民工工资发放的情况进行说明，并附农民工代表按时足额收取了工资的签字确认书。监理单位应对相关情况说明和签字确认书（详附件）进行审查签字后，与工程进度款申报资料一并提交给发包人。发包人审核合格后，才进行当期工程进度款的支付。</w:t>
      </w:r>
    </w:p>
    <w:p w14:paraId="07204E80">
      <w:pPr>
        <w:spacing w:line="360" w:lineRule="auto"/>
        <w:ind w:firstLine="420" w:firstLineChars="200"/>
        <w:rPr>
          <w:rFonts w:ascii="宋体" w:hAnsi="宋体"/>
          <w:szCs w:val="21"/>
        </w:rPr>
      </w:pPr>
      <w:r>
        <w:rPr>
          <w:rFonts w:hint="eastAsia" w:ascii="宋体" w:hAnsi="宋体"/>
          <w:szCs w:val="21"/>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14:paraId="49F76707">
      <w:pPr>
        <w:spacing w:line="360" w:lineRule="auto"/>
        <w:ind w:firstLine="420" w:firstLineChars="200"/>
        <w:rPr>
          <w:rFonts w:ascii="宋体" w:hAnsi="宋体"/>
          <w:szCs w:val="21"/>
        </w:rPr>
      </w:pPr>
      <w:r>
        <w:rPr>
          <w:rFonts w:hint="eastAsia" w:ascii="宋体" w:hAnsi="宋体"/>
          <w:szCs w:val="21"/>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14:paraId="5E54568C">
      <w:pPr>
        <w:spacing w:line="360" w:lineRule="auto"/>
        <w:ind w:firstLine="420" w:firstLineChars="200"/>
        <w:rPr>
          <w:rFonts w:ascii="宋体" w:hAnsi="宋体"/>
          <w:szCs w:val="21"/>
        </w:rPr>
      </w:pPr>
      <w:r>
        <w:rPr>
          <w:rFonts w:hint="eastAsia" w:ascii="宋体" w:hAnsi="宋体"/>
          <w:szCs w:val="21"/>
        </w:rPr>
        <w:t>四、若发现承包人有下列事项的，发包人在支付当期进度款时暂扣当期应支付进度款5%比例的款项。</w:t>
      </w:r>
      <w:r>
        <w:rPr>
          <w:rFonts w:hint="eastAsia" w:ascii="宋体" w:hAnsi="宋体"/>
          <w:szCs w:val="21"/>
        </w:rPr>
        <w:br w:type="textWrapping"/>
      </w:r>
      <w:r>
        <w:rPr>
          <w:rFonts w:hint="eastAsia" w:ascii="宋体" w:hAnsi="宋体"/>
          <w:szCs w:val="21"/>
        </w:rPr>
        <w:t xml:space="preserve">    （一）现场检查发现项目存在拖欠农民工工资情况并经核查属实的；</w:t>
      </w:r>
    </w:p>
    <w:p w14:paraId="6C925EC2">
      <w:pPr>
        <w:spacing w:line="360" w:lineRule="auto"/>
        <w:ind w:firstLine="420" w:firstLineChars="200"/>
        <w:rPr>
          <w:rFonts w:ascii="宋体" w:hAnsi="宋体"/>
          <w:szCs w:val="21"/>
        </w:rPr>
      </w:pPr>
      <w:r>
        <w:rPr>
          <w:rFonts w:hint="eastAsia" w:ascii="宋体" w:hAnsi="宋体"/>
          <w:szCs w:val="21"/>
        </w:rPr>
        <w:t>（二）相关行政管理部门检查发现存在拖欠农民工工资情况并经核查属实的；</w:t>
      </w:r>
      <w:r>
        <w:rPr>
          <w:rFonts w:hint="eastAsia" w:ascii="宋体" w:hAnsi="宋体"/>
          <w:szCs w:val="21"/>
        </w:rPr>
        <w:br w:type="textWrapping"/>
      </w:r>
      <w:r>
        <w:rPr>
          <w:rFonts w:hint="eastAsia" w:ascii="宋体" w:hAnsi="宋体"/>
          <w:szCs w:val="21"/>
        </w:rPr>
        <w:t xml:space="preserve">    （三）有拖欠农民工工资投诉事项并经核查属实的。</w:t>
      </w:r>
      <w:r>
        <w:rPr>
          <w:rFonts w:hint="eastAsia" w:ascii="宋体" w:hAnsi="宋体"/>
          <w:szCs w:val="21"/>
        </w:rPr>
        <w:br w:type="textWrapping"/>
      </w:r>
      <w:r>
        <w:rPr>
          <w:rFonts w:hint="eastAsia" w:ascii="宋体" w:hAnsi="宋体"/>
          <w:szCs w:val="21"/>
        </w:rPr>
        <w:t xml:space="preserve">    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14:paraId="5A76C754">
      <w:pPr>
        <w:tabs>
          <w:tab w:val="left" w:pos="1080"/>
          <w:tab w:val="left" w:pos="1260"/>
          <w:tab w:val="left" w:pos="1440"/>
        </w:tabs>
        <w:spacing w:line="360" w:lineRule="auto"/>
        <w:ind w:firstLine="420" w:firstLineChars="200"/>
        <w:rPr>
          <w:rFonts w:ascii="宋体" w:hAnsi="宋体"/>
          <w:snapToGrid w:val="0"/>
          <w:spacing w:val="-4"/>
          <w:kern w:val="0"/>
          <w:szCs w:val="21"/>
        </w:rPr>
      </w:pPr>
      <w:r>
        <w:rPr>
          <w:rFonts w:hint="eastAsia" w:ascii="宋体" w:hAnsi="宋体"/>
          <w:szCs w:val="21"/>
        </w:rPr>
        <w:t>六、本协议经双方法定代表人或委托代理人签字并加盖公章后生效，履行完毕后自然失效。</w:t>
      </w:r>
    </w:p>
    <w:p w14:paraId="2B136208">
      <w:pPr>
        <w:spacing w:line="360" w:lineRule="auto"/>
        <w:ind w:firstLine="420" w:firstLineChars="200"/>
        <w:rPr>
          <w:rFonts w:ascii="宋体" w:hAnsi="宋体"/>
          <w:szCs w:val="21"/>
        </w:rPr>
      </w:pPr>
      <w:r>
        <w:rPr>
          <w:rFonts w:hint="eastAsia" w:ascii="宋体" w:hAnsi="宋体"/>
          <w:szCs w:val="21"/>
        </w:rPr>
        <w:t>附件：</w:t>
      </w:r>
    </w:p>
    <w:p w14:paraId="451E16D7">
      <w:pPr>
        <w:spacing w:line="360" w:lineRule="auto"/>
        <w:ind w:firstLine="420" w:firstLineChars="200"/>
        <w:rPr>
          <w:rFonts w:ascii="宋体" w:hAnsi="宋体"/>
          <w:szCs w:val="21"/>
        </w:rPr>
      </w:pPr>
      <w:r>
        <w:rPr>
          <w:rFonts w:hint="eastAsia" w:ascii="宋体" w:hAnsi="宋体"/>
          <w:szCs w:val="21"/>
        </w:rPr>
        <w:t>1、关于农民工工资发放情况的说明表</w:t>
      </w:r>
    </w:p>
    <w:p w14:paraId="10B9C33A">
      <w:pPr>
        <w:pStyle w:val="2"/>
        <w:spacing w:line="360" w:lineRule="auto"/>
        <w:ind w:firstLine="420" w:firstLineChars="200"/>
        <w:rPr>
          <w:rFonts w:ascii="宋体" w:hAnsi="宋体"/>
          <w:szCs w:val="21"/>
        </w:rPr>
      </w:pPr>
    </w:p>
    <w:p w14:paraId="19E341E6">
      <w:pPr>
        <w:pStyle w:val="2"/>
        <w:spacing w:line="360" w:lineRule="auto"/>
        <w:ind w:firstLine="420" w:firstLineChars="200"/>
        <w:rPr>
          <w:rFonts w:ascii="宋体" w:hAnsi="宋体"/>
          <w:szCs w:val="21"/>
        </w:rPr>
      </w:pPr>
    </w:p>
    <w:p w14:paraId="0D9D3D33">
      <w:pPr>
        <w:pStyle w:val="2"/>
        <w:spacing w:line="360" w:lineRule="auto"/>
        <w:ind w:firstLine="420" w:firstLineChars="200"/>
        <w:rPr>
          <w:rFonts w:ascii="宋体" w:hAnsi="宋体"/>
          <w:szCs w:val="21"/>
        </w:rPr>
      </w:pPr>
    </w:p>
    <w:p w14:paraId="75ED812A">
      <w:pPr>
        <w:spacing w:line="360" w:lineRule="auto"/>
        <w:ind w:firstLine="420" w:firstLineChars="200"/>
        <w:rPr>
          <w:rFonts w:ascii="宋体" w:hAnsi="宋体"/>
          <w:szCs w:val="21"/>
        </w:rPr>
      </w:pPr>
      <w:r>
        <w:rPr>
          <w:rFonts w:hint="eastAsia" w:ascii="宋体" w:hAnsi="宋体"/>
          <w:szCs w:val="21"/>
        </w:rPr>
        <w:t>（以下无正文）</w:t>
      </w:r>
    </w:p>
    <w:p w14:paraId="042B8042">
      <w:pPr>
        <w:spacing w:line="360" w:lineRule="auto"/>
        <w:ind w:firstLine="420" w:firstLineChars="200"/>
        <w:rPr>
          <w:rFonts w:ascii="宋体" w:hAnsi="宋体"/>
          <w:szCs w:val="21"/>
        </w:rPr>
      </w:pPr>
    </w:p>
    <w:p w14:paraId="2B828B4B">
      <w:pPr>
        <w:spacing w:line="360" w:lineRule="auto"/>
        <w:ind w:firstLine="420" w:firstLineChars="200"/>
        <w:rPr>
          <w:rFonts w:ascii="宋体" w:hAnsi="宋体"/>
          <w:szCs w:val="21"/>
        </w:rPr>
      </w:pPr>
    </w:p>
    <w:p w14:paraId="7E246EAF">
      <w:pPr>
        <w:pStyle w:val="2"/>
        <w:spacing w:line="360" w:lineRule="auto"/>
        <w:rPr>
          <w:rFonts w:ascii="宋体" w:hAnsi="宋体"/>
          <w:szCs w:val="21"/>
        </w:rPr>
      </w:pPr>
    </w:p>
    <w:p w14:paraId="3BE93B5C">
      <w:pPr>
        <w:spacing w:line="360" w:lineRule="auto"/>
        <w:rPr>
          <w:rFonts w:ascii="宋体" w:hAnsi="宋体"/>
          <w:szCs w:val="21"/>
        </w:rPr>
      </w:pPr>
      <w:r>
        <w:rPr>
          <w:rFonts w:hint="eastAsia" w:ascii="宋体" w:hAnsi="宋体"/>
          <w:szCs w:val="21"/>
        </w:rPr>
        <w:t>发包人：</w:t>
      </w:r>
      <w:r>
        <w:rPr>
          <w:rFonts w:hint="eastAsia" w:ascii="宋体" w:hAnsi="宋体" w:cs="宋体"/>
          <w:szCs w:val="21"/>
          <w:u w:val="single"/>
        </w:rPr>
        <w:t xml:space="preserve">       </w:t>
      </w:r>
      <w:r>
        <w:rPr>
          <w:rFonts w:hint="eastAsia" w:ascii="宋体" w:hAnsi="宋体"/>
          <w:szCs w:val="21"/>
        </w:rPr>
        <w:t>（发包人）</w:t>
      </w:r>
    </w:p>
    <w:p w14:paraId="33749FBF">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220CE6A8">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20B5B2C1">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51B54F4E">
      <w:pPr>
        <w:spacing w:line="360" w:lineRule="auto"/>
        <w:rPr>
          <w:rFonts w:ascii="宋体" w:hAnsi="宋体"/>
          <w:szCs w:val="21"/>
        </w:rPr>
      </w:pPr>
    </w:p>
    <w:p w14:paraId="5D940A4A">
      <w:pPr>
        <w:spacing w:line="360" w:lineRule="auto"/>
        <w:rPr>
          <w:rFonts w:ascii="宋体" w:hAnsi="宋体"/>
          <w:szCs w:val="21"/>
        </w:rPr>
      </w:pPr>
    </w:p>
    <w:p w14:paraId="2128C5EF">
      <w:pPr>
        <w:spacing w:line="360" w:lineRule="auto"/>
        <w:rPr>
          <w:rFonts w:ascii="宋体" w:hAnsi="宋体"/>
          <w:szCs w:val="21"/>
        </w:rPr>
      </w:pPr>
    </w:p>
    <w:p w14:paraId="08550F9F">
      <w:pPr>
        <w:spacing w:line="360" w:lineRule="auto"/>
        <w:rPr>
          <w:rFonts w:ascii="宋体" w:hAnsi="宋体"/>
          <w:szCs w:val="21"/>
        </w:rPr>
      </w:pPr>
      <w:r>
        <w:rPr>
          <w:rFonts w:hint="eastAsia" w:ascii="宋体" w:hAnsi="宋体"/>
          <w:szCs w:val="21"/>
        </w:rPr>
        <w:t>承包人：</w:t>
      </w:r>
      <w:r>
        <w:rPr>
          <w:rFonts w:hint="eastAsia" w:ascii="宋体" w:hAnsi="宋体" w:cs="宋体"/>
          <w:szCs w:val="21"/>
          <w:u w:val="single"/>
        </w:rPr>
        <w:t xml:space="preserve">       </w:t>
      </w:r>
      <w:r>
        <w:rPr>
          <w:rFonts w:hint="eastAsia" w:ascii="宋体" w:hAnsi="宋体"/>
          <w:szCs w:val="21"/>
        </w:rPr>
        <w:t>（承包人）</w:t>
      </w:r>
    </w:p>
    <w:p w14:paraId="5AE3F0E0">
      <w:pPr>
        <w:spacing w:line="360" w:lineRule="auto"/>
        <w:rPr>
          <w:rFonts w:ascii="宋体" w:hAnsi="宋体"/>
          <w:szCs w:val="21"/>
        </w:rPr>
      </w:pPr>
      <w:r>
        <w:rPr>
          <w:rFonts w:hint="eastAsia" w:ascii="宋体" w:hAnsi="宋体"/>
          <w:szCs w:val="21"/>
        </w:rPr>
        <w:t>法定代表人：</w:t>
      </w:r>
      <w:r>
        <w:rPr>
          <w:rFonts w:hint="eastAsia" w:ascii="宋体" w:hAnsi="宋体" w:cs="宋体"/>
          <w:szCs w:val="21"/>
          <w:u w:val="single"/>
        </w:rPr>
        <w:t xml:space="preserve">       </w:t>
      </w:r>
    </w:p>
    <w:p w14:paraId="03442059">
      <w:pPr>
        <w:spacing w:line="360" w:lineRule="auto"/>
        <w:rPr>
          <w:rFonts w:ascii="宋体" w:hAnsi="宋体"/>
          <w:szCs w:val="21"/>
        </w:rPr>
      </w:pPr>
      <w:r>
        <w:rPr>
          <w:rFonts w:hint="eastAsia" w:ascii="宋体" w:hAnsi="宋体"/>
          <w:szCs w:val="21"/>
        </w:rPr>
        <w:t>或委托代理人：</w:t>
      </w:r>
      <w:r>
        <w:rPr>
          <w:rFonts w:hint="eastAsia" w:ascii="宋体" w:hAnsi="宋体" w:cs="宋体"/>
          <w:szCs w:val="21"/>
          <w:u w:val="single"/>
        </w:rPr>
        <w:t xml:space="preserve">       </w:t>
      </w:r>
    </w:p>
    <w:p w14:paraId="34177BE3">
      <w:pPr>
        <w:spacing w:line="360" w:lineRule="auto"/>
        <w:rPr>
          <w:rFonts w:ascii="宋体" w:hAnsi="宋体"/>
          <w:szCs w:val="21"/>
        </w:rPr>
      </w:pPr>
      <w:r>
        <w:rPr>
          <w:rFonts w:hint="eastAsia" w:ascii="宋体" w:hAnsi="宋体"/>
          <w:szCs w:val="21"/>
        </w:rPr>
        <w:t>联系人：</w:t>
      </w:r>
      <w:r>
        <w:rPr>
          <w:rFonts w:hint="eastAsia" w:ascii="宋体" w:hAnsi="宋体" w:cs="宋体"/>
          <w:szCs w:val="21"/>
          <w:u w:val="single"/>
        </w:rPr>
        <w:t xml:space="preserve">       </w:t>
      </w:r>
    </w:p>
    <w:p w14:paraId="73FF018B">
      <w:pPr>
        <w:snapToGrid w:val="0"/>
        <w:spacing w:line="360" w:lineRule="auto"/>
        <w:ind w:firstLine="560"/>
        <w:rPr>
          <w:rFonts w:ascii="宋体" w:hAnsi="宋体"/>
          <w:szCs w:val="21"/>
        </w:rPr>
      </w:pPr>
    </w:p>
    <w:p w14:paraId="5A080E53">
      <w:pPr>
        <w:spacing w:line="480" w:lineRule="auto"/>
        <w:rPr>
          <w:rFonts w:ascii="宋体" w:hAnsi="宋体"/>
          <w:szCs w:val="21"/>
        </w:rPr>
      </w:pPr>
      <w:r>
        <w:rPr>
          <w:rFonts w:hint="eastAsia" w:ascii="宋体" w:hAnsi="宋体"/>
          <w:szCs w:val="21"/>
        </w:rPr>
        <w:br w:type="page"/>
      </w:r>
      <w:r>
        <w:rPr>
          <w:rFonts w:hint="eastAsia" w:ascii="宋体" w:hAnsi="宋体"/>
          <w:szCs w:val="21"/>
        </w:rPr>
        <w:t>保障农民工工资支付协议附件1：</w:t>
      </w:r>
    </w:p>
    <w:p w14:paraId="19E766F2">
      <w:pPr>
        <w:widowControl/>
        <w:snapToGrid w:val="0"/>
        <w:spacing w:after="100" w:afterAutospacing="1" w:line="480" w:lineRule="auto"/>
        <w:jc w:val="center"/>
        <w:rPr>
          <w:rFonts w:ascii="宋体" w:hAnsi="宋体"/>
          <w:szCs w:val="21"/>
        </w:rPr>
      </w:pPr>
      <w:r>
        <w:rPr>
          <w:rFonts w:hint="eastAsia" w:ascii="宋体" w:hAnsi="宋体"/>
          <w:szCs w:val="21"/>
        </w:rPr>
        <w:t>关于农民工工资发放情况的说明表</w:t>
      </w:r>
    </w:p>
    <w:tbl>
      <w:tblPr>
        <w:tblStyle w:val="4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14:paraId="3A27B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14:paraId="29A3AF44">
            <w:pPr>
              <w:widowControl/>
              <w:snapToGrid w:val="0"/>
              <w:spacing w:after="100" w:afterAutospacing="1" w:line="400" w:lineRule="exact"/>
              <w:jc w:val="left"/>
              <w:rPr>
                <w:rFonts w:ascii="宋体" w:hAnsi="宋体"/>
                <w:kern w:val="0"/>
                <w:szCs w:val="21"/>
              </w:rPr>
            </w:pPr>
            <w:r>
              <w:rPr>
                <w:rFonts w:hint="eastAsia" w:ascii="宋体" w:hAnsi="宋体"/>
                <w:kern w:val="0"/>
                <w:szCs w:val="21"/>
              </w:rPr>
              <w:t>工程名称：</w:t>
            </w:r>
          </w:p>
        </w:tc>
      </w:tr>
      <w:tr w14:paraId="577BA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14:paraId="389FEF93">
            <w:pPr>
              <w:widowControl/>
              <w:snapToGrid w:val="0"/>
              <w:spacing w:after="100" w:afterAutospacing="1" w:line="400" w:lineRule="exact"/>
              <w:rPr>
                <w:rFonts w:ascii="宋体" w:hAnsi="宋体"/>
                <w:kern w:val="0"/>
                <w:szCs w:val="21"/>
              </w:rPr>
            </w:pPr>
            <w:r>
              <w:rPr>
                <w:rFonts w:hint="eastAsia" w:ascii="宋体" w:hAnsi="宋体"/>
                <w:kern w:val="0"/>
                <w:szCs w:val="21"/>
              </w:rPr>
              <w:t>施工单位：</w:t>
            </w:r>
          </w:p>
        </w:tc>
        <w:tc>
          <w:tcPr>
            <w:tcW w:w="6201" w:type="dxa"/>
          </w:tcPr>
          <w:p w14:paraId="0D1A26AC">
            <w:pPr>
              <w:widowControl/>
              <w:snapToGrid w:val="0"/>
              <w:spacing w:after="100" w:afterAutospacing="1" w:line="400" w:lineRule="exact"/>
              <w:rPr>
                <w:rFonts w:ascii="宋体" w:hAnsi="宋体"/>
                <w:kern w:val="0"/>
                <w:szCs w:val="21"/>
              </w:rPr>
            </w:pPr>
          </w:p>
        </w:tc>
      </w:tr>
      <w:tr w14:paraId="3D74B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14:paraId="7C9B522D">
            <w:pPr>
              <w:widowControl/>
              <w:snapToGrid w:val="0"/>
              <w:spacing w:after="100" w:afterAutospacing="1" w:line="400" w:lineRule="exact"/>
              <w:rPr>
                <w:rFonts w:ascii="宋体" w:hAnsi="宋体"/>
                <w:kern w:val="0"/>
                <w:szCs w:val="21"/>
              </w:rPr>
            </w:pPr>
            <w:r>
              <w:rPr>
                <w:rFonts w:hint="eastAsia" w:ascii="宋体" w:hAnsi="宋体"/>
                <w:kern w:val="0"/>
                <w:szCs w:val="21"/>
              </w:rPr>
              <w:t>监理单位：</w:t>
            </w:r>
          </w:p>
        </w:tc>
        <w:tc>
          <w:tcPr>
            <w:tcW w:w="6201" w:type="dxa"/>
          </w:tcPr>
          <w:p w14:paraId="2F87D16C">
            <w:pPr>
              <w:widowControl/>
              <w:snapToGrid w:val="0"/>
              <w:spacing w:after="100" w:afterAutospacing="1" w:line="400" w:lineRule="exact"/>
              <w:rPr>
                <w:rFonts w:ascii="宋体" w:hAnsi="宋体"/>
                <w:kern w:val="0"/>
                <w:szCs w:val="21"/>
              </w:rPr>
            </w:pPr>
          </w:p>
        </w:tc>
      </w:tr>
      <w:tr w14:paraId="2574A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14:paraId="2875F0EB">
            <w:pPr>
              <w:widowControl/>
              <w:snapToGrid w:val="0"/>
              <w:spacing w:after="100" w:afterAutospacing="1" w:line="400" w:lineRule="exact"/>
              <w:rPr>
                <w:rFonts w:ascii="宋体" w:hAnsi="宋体"/>
                <w:kern w:val="0"/>
                <w:szCs w:val="21"/>
                <w:u w:val="single"/>
              </w:rPr>
            </w:pPr>
          </w:p>
          <w:p w14:paraId="32D214AD">
            <w:pPr>
              <w:widowControl/>
              <w:snapToGrid w:val="0"/>
              <w:spacing w:after="100" w:afterAutospacing="1" w:line="400" w:lineRule="exact"/>
              <w:rPr>
                <w:rFonts w:ascii="宋体" w:hAnsi="宋体"/>
                <w:kern w:val="0"/>
                <w:szCs w:val="21"/>
              </w:rPr>
            </w:pPr>
            <w:r>
              <w:rPr>
                <w:rFonts w:hint="eastAsia" w:ascii="宋体" w:hAnsi="宋体"/>
                <w:kern w:val="0"/>
                <w:szCs w:val="21"/>
              </w:rPr>
              <w:t>（项目业主单位名称）：</w:t>
            </w:r>
            <w:r>
              <w:rPr>
                <w:rFonts w:hint="eastAsia" w:ascii="宋体" w:hAnsi="宋体"/>
                <w:kern w:val="0"/>
                <w:szCs w:val="21"/>
                <w:u w:val="single"/>
              </w:rPr>
              <w:br w:type="textWrapping"/>
            </w:r>
            <w:r>
              <w:rPr>
                <w:rFonts w:hint="eastAsia" w:ascii="宋体" w:hAnsi="宋体"/>
                <w:kern w:val="0"/>
                <w:szCs w:val="21"/>
              </w:rPr>
              <w:t xml:space="preserve">    我单位负责承建的（工程名称）无拖欠农民工资的情况，贵单位先期支付我单位的工程款已优先用于支付了农民工工资，农民工工资全部按时足额进行了发放，请贵单位予以审核。</w:t>
            </w:r>
            <w:r>
              <w:rPr>
                <w:rFonts w:hint="eastAsia" w:ascii="宋体" w:hAnsi="宋体"/>
                <w:kern w:val="0"/>
                <w:szCs w:val="21"/>
              </w:rPr>
              <w:br w:type="textWrapping"/>
            </w:r>
          </w:p>
          <w:p w14:paraId="23EE7345">
            <w:pPr>
              <w:widowControl/>
              <w:snapToGrid w:val="0"/>
              <w:spacing w:after="100" w:afterAutospacing="1" w:line="400" w:lineRule="exact"/>
              <w:ind w:firstLine="1260" w:firstLineChars="600"/>
              <w:rPr>
                <w:rFonts w:ascii="宋体" w:hAnsi="宋体"/>
                <w:kern w:val="0"/>
                <w:szCs w:val="21"/>
                <w:u w:val="single"/>
              </w:rPr>
            </w:pPr>
            <w:r>
              <w:rPr>
                <w:rFonts w:hint="eastAsia" w:ascii="宋体" w:hAnsi="宋体"/>
                <w:kern w:val="0"/>
                <w:szCs w:val="21"/>
              </w:rPr>
              <w:t>施工单位项目负责人签字（加盖项目章）：</w:t>
            </w:r>
            <w:r>
              <w:rPr>
                <w:rFonts w:hint="eastAsia" w:ascii="宋体" w:hAnsi="宋体"/>
                <w:kern w:val="0"/>
                <w:szCs w:val="21"/>
                <w:u w:val="single"/>
              </w:rPr>
              <w:t xml:space="preserve">        </w:t>
            </w:r>
          </w:p>
        </w:tc>
      </w:tr>
      <w:tr w14:paraId="32A90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14:paraId="2153EAC9">
            <w:pPr>
              <w:widowControl/>
              <w:snapToGrid w:val="0"/>
              <w:spacing w:after="100" w:afterAutospacing="1" w:line="400" w:lineRule="exact"/>
              <w:jc w:val="center"/>
              <w:rPr>
                <w:rFonts w:ascii="宋体" w:hAnsi="宋体" w:cs="宋体"/>
                <w:kern w:val="0"/>
                <w:szCs w:val="21"/>
              </w:rPr>
            </w:pPr>
            <w:r>
              <w:rPr>
                <w:rFonts w:hint="eastAsia" w:ascii="宋体" w:hAnsi="宋体" w:cs="宋体"/>
                <w:kern w:val="0"/>
                <w:szCs w:val="21"/>
              </w:rPr>
              <w:t>监理单位意见：</w:t>
            </w:r>
          </w:p>
        </w:tc>
        <w:tc>
          <w:tcPr>
            <w:tcW w:w="6201" w:type="dxa"/>
          </w:tcPr>
          <w:p w14:paraId="76444C33">
            <w:pPr>
              <w:widowControl/>
              <w:snapToGrid w:val="0"/>
              <w:spacing w:after="100" w:afterAutospacing="1" w:line="400" w:lineRule="exact"/>
              <w:rPr>
                <w:rFonts w:ascii="宋体" w:hAnsi="宋体"/>
                <w:kern w:val="0"/>
                <w:szCs w:val="21"/>
                <w:u w:val="single"/>
              </w:rPr>
            </w:pPr>
          </w:p>
          <w:p w14:paraId="6CCA8DFC">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总监签字并加盖项目章：</w:t>
            </w:r>
            <w:r>
              <w:rPr>
                <w:rFonts w:hint="eastAsia" w:ascii="宋体" w:hAnsi="宋体"/>
                <w:kern w:val="0"/>
                <w:szCs w:val="21"/>
                <w:u w:val="single"/>
              </w:rPr>
              <w:t xml:space="preserve">        </w:t>
            </w:r>
          </w:p>
        </w:tc>
      </w:tr>
      <w:tr w14:paraId="61830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14:paraId="296A8DD1">
            <w:pPr>
              <w:widowControl/>
              <w:snapToGrid w:val="0"/>
              <w:spacing w:after="100" w:afterAutospacing="1" w:line="400" w:lineRule="exact"/>
              <w:jc w:val="center"/>
              <w:rPr>
                <w:rFonts w:ascii="宋体" w:hAnsi="宋体"/>
                <w:kern w:val="0"/>
                <w:szCs w:val="21"/>
              </w:rPr>
            </w:pPr>
            <w:r>
              <w:rPr>
                <w:rFonts w:hint="eastAsia" w:ascii="宋体" w:hAnsi="宋体"/>
                <w:kern w:val="0"/>
                <w:szCs w:val="21"/>
              </w:rPr>
              <w:t>工程部项目负责人意见：</w:t>
            </w:r>
          </w:p>
        </w:tc>
        <w:tc>
          <w:tcPr>
            <w:tcW w:w="6201" w:type="dxa"/>
          </w:tcPr>
          <w:p w14:paraId="4B340DE9">
            <w:pPr>
              <w:widowControl/>
              <w:snapToGrid w:val="0"/>
              <w:spacing w:after="100" w:afterAutospacing="1" w:line="400" w:lineRule="exact"/>
              <w:rPr>
                <w:rFonts w:ascii="宋体" w:hAnsi="宋体"/>
                <w:kern w:val="0"/>
                <w:szCs w:val="21"/>
                <w:u w:val="single"/>
              </w:rPr>
            </w:pPr>
          </w:p>
          <w:p w14:paraId="64A2DF2F">
            <w:pPr>
              <w:widowControl/>
              <w:snapToGrid w:val="0"/>
              <w:spacing w:after="100" w:afterAutospacing="1" w:line="400" w:lineRule="exact"/>
              <w:rPr>
                <w:rFonts w:ascii="宋体" w:hAnsi="宋体"/>
                <w:kern w:val="0"/>
                <w:szCs w:val="21"/>
                <w:u w:val="single"/>
              </w:rPr>
            </w:pPr>
            <w:r>
              <w:rPr>
                <w:rFonts w:hint="eastAsia" w:ascii="宋体" w:hAnsi="宋体"/>
                <w:kern w:val="0"/>
                <w:szCs w:val="21"/>
              </w:rPr>
              <w:t xml:space="preserve">                   项目负责人签字：</w:t>
            </w:r>
            <w:r>
              <w:rPr>
                <w:rFonts w:hint="eastAsia" w:ascii="宋体" w:hAnsi="宋体"/>
                <w:kern w:val="0"/>
                <w:szCs w:val="21"/>
                <w:u w:val="single"/>
              </w:rPr>
              <w:t xml:space="preserve">        </w:t>
            </w:r>
          </w:p>
        </w:tc>
      </w:tr>
    </w:tbl>
    <w:p w14:paraId="63F3555E">
      <w:pPr>
        <w:pStyle w:val="2"/>
        <w:rPr>
          <w:rFonts w:ascii="宋体" w:hAnsi="宋体"/>
          <w:sz w:val="24"/>
        </w:rPr>
      </w:pPr>
    </w:p>
    <w:p w14:paraId="654006E6">
      <w:pPr>
        <w:pStyle w:val="2"/>
        <w:rPr>
          <w:rFonts w:ascii="宋体" w:hAnsi="宋体"/>
          <w:sz w:val="24"/>
        </w:rPr>
      </w:pPr>
    </w:p>
    <w:p w14:paraId="4EF4C5C0">
      <w:pPr>
        <w:pStyle w:val="2"/>
        <w:rPr>
          <w:rFonts w:ascii="宋体" w:hAnsi="宋体"/>
          <w:sz w:val="24"/>
        </w:rPr>
      </w:pPr>
    </w:p>
    <w:p w14:paraId="1470541C">
      <w:pPr>
        <w:pStyle w:val="2"/>
        <w:rPr>
          <w:rFonts w:ascii="宋体" w:hAnsi="宋体"/>
          <w:sz w:val="24"/>
        </w:rPr>
      </w:pPr>
    </w:p>
    <w:p w14:paraId="03EE29CB">
      <w:pPr>
        <w:pStyle w:val="2"/>
        <w:rPr>
          <w:rFonts w:ascii="宋体" w:hAnsi="宋体"/>
          <w:sz w:val="24"/>
        </w:rPr>
      </w:pPr>
    </w:p>
    <w:p w14:paraId="1ED5DC7E">
      <w:pPr>
        <w:pStyle w:val="2"/>
        <w:rPr>
          <w:rFonts w:ascii="宋体" w:hAnsi="宋体"/>
          <w:sz w:val="24"/>
        </w:rPr>
      </w:pPr>
    </w:p>
    <w:p w14:paraId="0DEF9EC6">
      <w:pPr>
        <w:pStyle w:val="2"/>
        <w:rPr>
          <w:rFonts w:ascii="宋体" w:hAnsi="宋体"/>
          <w:sz w:val="24"/>
        </w:rPr>
      </w:pPr>
    </w:p>
    <w:p w14:paraId="2A04B8C8">
      <w:pPr>
        <w:pStyle w:val="2"/>
        <w:rPr>
          <w:rFonts w:ascii="宋体" w:hAnsi="宋体"/>
          <w:sz w:val="24"/>
        </w:rPr>
      </w:pPr>
    </w:p>
    <w:p w14:paraId="6DB03CE9">
      <w:pPr>
        <w:pStyle w:val="2"/>
        <w:rPr>
          <w:rFonts w:ascii="宋体" w:hAnsi="宋体"/>
          <w:sz w:val="24"/>
        </w:rPr>
      </w:pPr>
    </w:p>
    <w:p w14:paraId="6C9B1D07">
      <w:pPr>
        <w:pStyle w:val="2"/>
        <w:rPr>
          <w:rFonts w:ascii="宋体" w:hAnsi="宋体"/>
          <w:sz w:val="24"/>
        </w:rPr>
      </w:pPr>
    </w:p>
    <w:p w14:paraId="562422BE">
      <w:pPr>
        <w:pStyle w:val="2"/>
        <w:rPr>
          <w:rFonts w:ascii="宋体" w:hAnsi="宋体"/>
          <w:szCs w:val="20"/>
        </w:rPr>
      </w:pPr>
      <w:r>
        <w:rPr>
          <w:rFonts w:ascii="宋体" w:hAnsi="宋体"/>
          <w:sz w:val="24"/>
        </w:rPr>
        <w:br w:type="page"/>
      </w:r>
      <w:bookmarkEnd w:id="424"/>
      <w:bookmarkStart w:id="1901" w:name="招标文件05章工程量清单"/>
      <w:bookmarkEnd w:id="1901"/>
    </w:p>
    <w:p w14:paraId="0661EE0D">
      <w:pPr>
        <w:pStyle w:val="3"/>
        <w:spacing w:before="0" w:after="0" w:line="360" w:lineRule="auto"/>
        <w:jc w:val="center"/>
        <w:rPr>
          <w:rFonts w:ascii="宋体" w:hAnsi="宋体"/>
        </w:rPr>
      </w:pPr>
      <w:bookmarkStart w:id="1902" w:name="_Toc534185822"/>
      <w:bookmarkStart w:id="1903" w:name="_Toc430530513"/>
      <w:bookmarkStart w:id="1904" w:name="_Toc509218843"/>
      <w:bookmarkStart w:id="1905" w:name="_Toc287620797"/>
      <w:bookmarkStart w:id="1906" w:name="_Toc287607855"/>
      <w:bookmarkStart w:id="1907" w:name="_Toc12440"/>
      <w:r>
        <w:rPr>
          <w:rFonts w:hint="eastAsia" w:ascii="宋体" w:hAnsi="宋体"/>
        </w:rPr>
        <w:t>第五章  工程量清单</w:t>
      </w:r>
      <w:bookmarkEnd w:id="1902"/>
      <w:bookmarkEnd w:id="1903"/>
      <w:bookmarkEnd w:id="1904"/>
      <w:bookmarkEnd w:id="1905"/>
      <w:bookmarkEnd w:id="1906"/>
      <w:bookmarkEnd w:id="1907"/>
      <w:bookmarkStart w:id="1908" w:name="招标文件05章工程量清单01"/>
      <w:bookmarkEnd w:id="1908"/>
      <w:bookmarkStart w:id="1909" w:name="_Toc287620798"/>
      <w:bookmarkStart w:id="1910" w:name="_Toc430530514"/>
      <w:bookmarkStart w:id="1911" w:name="_Toc224103477"/>
      <w:bookmarkStart w:id="1912" w:name="_Toc287607856"/>
      <w:bookmarkStart w:id="1913" w:name="_Toc277082638"/>
    </w:p>
    <w:bookmarkEnd w:id="1909"/>
    <w:bookmarkEnd w:id="1910"/>
    <w:bookmarkEnd w:id="1911"/>
    <w:bookmarkEnd w:id="1912"/>
    <w:bookmarkEnd w:id="1913"/>
    <w:p w14:paraId="5BB64BA9">
      <w:pPr>
        <w:snapToGrid w:val="0"/>
        <w:spacing w:line="360" w:lineRule="auto"/>
        <w:jc w:val="center"/>
        <w:rPr>
          <w:rFonts w:ascii="宋体" w:hAnsi="宋体"/>
          <w:sz w:val="24"/>
        </w:rPr>
      </w:pPr>
    </w:p>
    <w:p w14:paraId="304BEC0B">
      <w:pPr>
        <w:snapToGrid w:val="0"/>
        <w:spacing w:line="360" w:lineRule="auto"/>
        <w:jc w:val="center"/>
        <w:rPr>
          <w:rFonts w:ascii="宋体" w:hAnsi="宋体"/>
          <w:szCs w:val="21"/>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5772CC72">
      <w:pPr>
        <w:ind w:right="561"/>
        <w:rPr>
          <w:rFonts w:ascii="宋体" w:hAnsi="宋体"/>
          <w:szCs w:val="21"/>
        </w:rPr>
      </w:pPr>
      <w:r>
        <w:rPr>
          <w:rFonts w:ascii="宋体" w:hAnsi="宋体"/>
          <w:sz w:val="24"/>
        </w:rPr>
        <w:br w:type="page"/>
      </w:r>
    </w:p>
    <w:p w14:paraId="509CCFD7">
      <w:pPr>
        <w:pStyle w:val="3"/>
        <w:spacing w:before="0" w:after="0" w:line="360" w:lineRule="auto"/>
        <w:jc w:val="center"/>
        <w:rPr>
          <w:rFonts w:ascii="宋体" w:hAnsi="宋体"/>
          <w:sz w:val="52"/>
          <w:szCs w:val="52"/>
        </w:rPr>
      </w:pPr>
      <w:bookmarkStart w:id="1914" w:name="_Toc509218844"/>
      <w:bookmarkStart w:id="1915" w:name="_Toc18984"/>
      <w:bookmarkStart w:id="1916" w:name="_Toc534185823"/>
      <w:r>
        <w:rPr>
          <w:rFonts w:ascii="宋体" w:hAnsi="宋体"/>
          <w:sz w:val="52"/>
          <w:szCs w:val="52"/>
        </w:rPr>
        <w:t>第 二 卷</w:t>
      </w:r>
      <w:bookmarkEnd w:id="1914"/>
      <w:bookmarkEnd w:id="1915"/>
      <w:bookmarkEnd w:id="1916"/>
    </w:p>
    <w:p w14:paraId="12546249">
      <w:pPr>
        <w:spacing w:line="360" w:lineRule="auto"/>
        <w:rPr>
          <w:rFonts w:ascii="宋体" w:hAnsi="宋体"/>
          <w:szCs w:val="20"/>
        </w:rPr>
      </w:pPr>
      <w:r>
        <w:rPr>
          <w:rFonts w:ascii="宋体" w:hAnsi="宋体"/>
          <w:szCs w:val="20"/>
        </w:rPr>
        <w:br w:type="page"/>
      </w:r>
    </w:p>
    <w:p w14:paraId="54CC4AD8">
      <w:pPr>
        <w:pStyle w:val="3"/>
        <w:spacing w:line="360" w:lineRule="auto"/>
        <w:jc w:val="center"/>
        <w:rPr>
          <w:rFonts w:ascii="宋体" w:hAnsi="宋体"/>
        </w:rPr>
      </w:pPr>
      <w:bookmarkStart w:id="1917" w:name="招标文件06章图纸"/>
      <w:bookmarkEnd w:id="1917"/>
      <w:bookmarkStart w:id="1918" w:name="_Toc287620803"/>
      <w:bookmarkStart w:id="1919" w:name="_Toc509218846"/>
      <w:bookmarkStart w:id="1920" w:name="_Toc430530519"/>
      <w:bookmarkStart w:id="1921" w:name="_Toc5006"/>
      <w:bookmarkStart w:id="1922" w:name="_Toc534185825"/>
      <w:bookmarkStart w:id="1923" w:name="_Toc287607861"/>
      <w:r>
        <w:rPr>
          <w:rFonts w:hint="eastAsia" w:ascii="宋体" w:hAnsi="宋体"/>
        </w:rPr>
        <w:t>第六章  图纸</w:t>
      </w:r>
      <w:bookmarkEnd w:id="1918"/>
      <w:bookmarkEnd w:id="1919"/>
      <w:bookmarkEnd w:id="1920"/>
      <w:bookmarkEnd w:id="1921"/>
      <w:bookmarkEnd w:id="1922"/>
      <w:bookmarkEnd w:id="1923"/>
    </w:p>
    <w:p w14:paraId="3BDDB1AE">
      <w:pPr>
        <w:spacing w:line="360" w:lineRule="auto"/>
        <w:jc w:val="center"/>
        <w:rPr>
          <w:rFonts w:ascii="宋体" w:hAnsi="宋体"/>
          <w:szCs w:val="20"/>
        </w:rPr>
      </w:pPr>
      <w:r>
        <w:rPr>
          <w:rFonts w:hint="eastAsia" w:ascii="宋体" w:hAnsi="宋体"/>
          <w:szCs w:val="20"/>
        </w:rPr>
        <w:t>在</w:t>
      </w:r>
      <w:r>
        <w:rPr>
          <w:rFonts w:hint="eastAsia" w:ascii="方正仿宋_GBK" w:hAnsi="宋体" w:eastAsia="方正仿宋_GBK"/>
          <w:color w:val="000000"/>
          <w:sz w:val="24"/>
        </w:rPr>
        <w:t>重庆</w:t>
      </w:r>
      <w:r>
        <w:rPr>
          <w:rFonts w:hint="eastAsia" w:ascii="方正仿宋_GBK" w:hAnsi="宋体" w:eastAsia="方正仿宋_GBK"/>
          <w:color w:val="000000"/>
          <w:sz w:val="24"/>
          <w:lang w:bidi="en-US"/>
        </w:rPr>
        <w:t>经开区投资集团官方</w:t>
      </w:r>
      <w:r>
        <w:rPr>
          <w:rFonts w:ascii="方正仿宋_GBK" w:hAnsi="宋体" w:eastAsia="方正仿宋_GBK"/>
          <w:color w:val="000000"/>
          <w:sz w:val="24"/>
          <w:lang w:bidi="en-US"/>
        </w:rPr>
        <w:t>网</w:t>
      </w:r>
      <w:r>
        <w:rPr>
          <w:rFonts w:hint="eastAsia" w:ascii="方正仿宋_GBK" w:hAnsi="宋体" w:eastAsia="方正仿宋_GBK"/>
          <w:color w:val="000000"/>
          <w:sz w:val="24"/>
          <w:lang w:bidi="en-US"/>
        </w:rPr>
        <w:t>站</w:t>
      </w:r>
      <w:r>
        <w:rPr>
          <w:rFonts w:ascii="方正仿宋_GBK" w:hAnsi="宋体" w:eastAsia="方正仿宋_GBK"/>
          <w:color w:val="000000"/>
          <w:sz w:val="24"/>
          <w:lang w:bidi="en-US"/>
        </w:rPr>
        <w:t>（http://www.cetzig.com/）</w:t>
      </w:r>
      <w:r>
        <w:rPr>
          <w:rFonts w:hint="eastAsia" w:ascii="宋体" w:hAnsi="宋体"/>
          <w:szCs w:val="20"/>
        </w:rPr>
        <w:t>下载。</w:t>
      </w:r>
    </w:p>
    <w:p w14:paraId="361E9EFA">
      <w:pPr>
        <w:spacing w:line="360" w:lineRule="auto"/>
        <w:rPr>
          <w:rFonts w:ascii="宋体" w:hAnsi="宋体"/>
          <w:szCs w:val="20"/>
        </w:rPr>
      </w:pPr>
      <w:bookmarkStart w:id="1924" w:name="招标文件06章图纸01"/>
      <w:bookmarkEnd w:id="1924"/>
      <w:bookmarkStart w:id="1925" w:name="_Toc287620804"/>
      <w:bookmarkStart w:id="1926" w:name="_Toc430530520"/>
    </w:p>
    <w:bookmarkEnd w:id="1925"/>
    <w:bookmarkEnd w:id="1926"/>
    <w:p w14:paraId="4DA44AA3">
      <w:pPr>
        <w:spacing w:line="360" w:lineRule="auto"/>
        <w:rPr>
          <w:rFonts w:ascii="宋体" w:hAnsi="宋体"/>
        </w:rPr>
      </w:pPr>
      <w:r>
        <w:rPr>
          <w:rFonts w:ascii="宋体" w:hAnsi="宋体"/>
          <w:szCs w:val="20"/>
        </w:rPr>
        <w:br w:type="page"/>
      </w:r>
    </w:p>
    <w:p w14:paraId="1F3EC9DC">
      <w:pPr>
        <w:pStyle w:val="3"/>
        <w:spacing w:before="0" w:after="0" w:line="360" w:lineRule="auto"/>
        <w:jc w:val="center"/>
        <w:rPr>
          <w:rFonts w:ascii="宋体" w:hAnsi="宋体"/>
          <w:sz w:val="52"/>
          <w:szCs w:val="52"/>
        </w:rPr>
      </w:pPr>
      <w:bookmarkStart w:id="1927" w:name="_Toc1031"/>
      <w:r>
        <w:rPr>
          <w:rFonts w:hint="eastAsia" w:ascii="宋体" w:hAnsi="宋体"/>
          <w:sz w:val="52"/>
          <w:szCs w:val="52"/>
        </w:rPr>
        <w:t>第 三 卷</w:t>
      </w:r>
      <w:bookmarkEnd w:id="1927"/>
      <w:bookmarkStart w:id="1928" w:name="_Toc509218847"/>
      <w:bookmarkStart w:id="1929" w:name="_Toc536619968"/>
      <w:bookmarkStart w:id="1930" w:name="_Toc536628344"/>
      <w:bookmarkStart w:id="1931" w:name="_Toc536796850"/>
      <w:bookmarkStart w:id="1932" w:name="_Toc536620100"/>
      <w:bookmarkStart w:id="1933" w:name="_Toc536797255"/>
      <w:bookmarkStart w:id="1934" w:name="_Toc536797390"/>
      <w:bookmarkStart w:id="1935" w:name="_Toc536796986"/>
      <w:bookmarkStart w:id="1936" w:name="_Toc536621880"/>
      <w:bookmarkStart w:id="1937" w:name="_Toc536797121"/>
      <w:bookmarkStart w:id="1938" w:name="_Toc13211764"/>
      <w:bookmarkStart w:id="1939" w:name="_Toc13210772"/>
      <w:bookmarkStart w:id="1940" w:name="_Toc13211206"/>
      <w:bookmarkStart w:id="1941" w:name="_Toc534185826"/>
    </w:p>
    <w:bookmarkEnd w:id="1928"/>
    <w:p w14:paraId="25CDA83E">
      <w:r>
        <w:br w:type="page"/>
      </w:r>
      <w:bookmarkEnd w:id="1929"/>
      <w:bookmarkEnd w:id="1930"/>
      <w:bookmarkEnd w:id="1931"/>
      <w:bookmarkEnd w:id="1932"/>
      <w:bookmarkEnd w:id="1933"/>
      <w:bookmarkEnd w:id="1934"/>
      <w:bookmarkEnd w:id="1935"/>
      <w:bookmarkEnd w:id="1936"/>
      <w:bookmarkEnd w:id="1937"/>
      <w:bookmarkEnd w:id="1938"/>
      <w:bookmarkEnd w:id="1939"/>
      <w:bookmarkEnd w:id="1940"/>
      <w:bookmarkEnd w:id="1941"/>
    </w:p>
    <w:p w14:paraId="5F0ABE01">
      <w:pPr>
        <w:pStyle w:val="3"/>
        <w:spacing w:line="360" w:lineRule="auto"/>
        <w:jc w:val="center"/>
        <w:rPr>
          <w:rFonts w:ascii="宋体" w:hAnsi="宋体"/>
        </w:rPr>
      </w:pPr>
      <w:bookmarkStart w:id="1942" w:name="招标文件07章技术标准和要求"/>
      <w:bookmarkEnd w:id="1942"/>
      <w:bookmarkStart w:id="1943" w:name="_Toc24524"/>
      <w:r>
        <w:rPr>
          <w:rFonts w:ascii="宋体" w:hAnsi="宋体"/>
        </w:rPr>
        <w:t>第七章</w:t>
      </w:r>
      <w:r>
        <w:rPr>
          <w:rFonts w:hint="eastAsia" w:ascii="宋体" w:hAnsi="宋体"/>
        </w:rPr>
        <w:t xml:space="preserve">  </w:t>
      </w:r>
      <w:r>
        <w:rPr>
          <w:rFonts w:ascii="宋体" w:hAnsi="宋体"/>
        </w:rPr>
        <w:t>技术标准和要求</w:t>
      </w:r>
      <w:bookmarkEnd w:id="1943"/>
      <w:bookmarkStart w:id="1944" w:name="招标文件07章技术标准和要求01"/>
      <w:bookmarkEnd w:id="1944"/>
      <w:bookmarkStart w:id="1945" w:name="_Toc287620808"/>
      <w:bookmarkStart w:id="1946" w:name="_Toc430530524"/>
    </w:p>
    <w:bookmarkEnd w:id="1945"/>
    <w:bookmarkEnd w:id="1946"/>
    <w:p w14:paraId="0F99646D">
      <w:pPr>
        <w:spacing w:line="360" w:lineRule="auto"/>
        <w:jc w:val="center"/>
        <w:rPr>
          <w:rStyle w:val="54"/>
        </w:rPr>
      </w:pPr>
      <w:r>
        <w:rPr>
          <w:rFonts w:hint="eastAsia" w:ascii="宋体" w:hAnsi="宋体"/>
          <w:szCs w:val="21"/>
        </w:rPr>
        <w:t>无。</w:t>
      </w:r>
    </w:p>
    <w:p w14:paraId="3E6AAC9F">
      <w:pPr>
        <w:spacing w:line="360" w:lineRule="auto"/>
        <w:rPr>
          <w:rFonts w:ascii="宋体" w:hAnsi="宋体"/>
        </w:rPr>
      </w:pPr>
      <w:r>
        <w:rPr>
          <w:rFonts w:ascii="宋体" w:hAnsi="宋体"/>
        </w:rPr>
        <w:br w:type="page"/>
      </w:r>
    </w:p>
    <w:p w14:paraId="2A7FC868">
      <w:pPr>
        <w:pStyle w:val="3"/>
        <w:spacing w:before="0" w:after="0" w:line="360" w:lineRule="auto"/>
        <w:jc w:val="center"/>
        <w:rPr>
          <w:rFonts w:ascii="宋体" w:hAnsi="宋体"/>
          <w:sz w:val="52"/>
          <w:szCs w:val="52"/>
        </w:rPr>
      </w:pPr>
      <w:bookmarkStart w:id="1947" w:name="_Toc534185827"/>
      <w:bookmarkStart w:id="1948" w:name="_Toc509218849"/>
      <w:bookmarkStart w:id="1949" w:name="_Toc19295"/>
      <w:r>
        <w:rPr>
          <w:rFonts w:ascii="宋体" w:hAnsi="宋体"/>
          <w:sz w:val="52"/>
          <w:szCs w:val="52"/>
        </w:rPr>
        <w:t>第 四 卷</w:t>
      </w:r>
      <w:bookmarkEnd w:id="1947"/>
      <w:bookmarkEnd w:id="1948"/>
      <w:bookmarkEnd w:id="1949"/>
      <w:bookmarkStart w:id="1950" w:name="_Toc13211209"/>
      <w:bookmarkStart w:id="1951" w:name="_Toc509218850"/>
      <w:bookmarkStart w:id="1952" w:name="_Toc536621883"/>
      <w:bookmarkStart w:id="1953" w:name="_Toc536796853"/>
      <w:bookmarkStart w:id="1954" w:name="_Toc13211767"/>
      <w:bookmarkStart w:id="1955" w:name="_Toc536797258"/>
      <w:bookmarkStart w:id="1956" w:name="_Toc536628347"/>
      <w:bookmarkStart w:id="1957" w:name="_Toc536620102"/>
      <w:bookmarkStart w:id="1958" w:name="_Toc536796989"/>
      <w:bookmarkStart w:id="1959" w:name="_Toc536797124"/>
      <w:bookmarkStart w:id="1960" w:name="_Toc536619970"/>
      <w:bookmarkStart w:id="1961" w:name="_Toc534185828"/>
      <w:bookmarkStart w:id="1962" w:name="_Toc13210775"/>
      <w:bookmarkStart w:id="1963" w:name="_Toc536797393"/>
    </w:p>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p w14:paraId="427696CE">
      <w:r>
        <w:br w:type="page"/>
      </w:r>
      <w:bookmarkStart w:id="1964" w:name="招标文件08章投标文件格式"/>
      <w:bookmarkEnd w:id="1964"/>
      <w:bookmarkStart w:id="1965" w:name="_Toc287607865"/>
      <w:bookmarkStart w:id="1966" w:name="_Toc287620812"/>
    </w:p>
    <w:p w14:paraId="4A929815">
      <w:pPr>
        <w:pStyle w:val="3"/>
        <w:spacing w:line="360" w:lineRule="auto"/>
        <w:jc w:val="center"/>
        <w:rPr>
          <w:rFonts w:ascii="宋体" w:hAnsi="宋体"/>
        </w:rPr>
      </w:pPr>
      <w:bookmarkStart w:id="1967" w:name="_Toc509218852"/>
      <w:bookmarkStart w:id="1968" w:name="_Toc534185829"/>
      <w:bookmarkStart w:id="1969" w:name="_Toc14509"/>
      <w:bookmarkStart w:id="1970" w:name="_Toc430530528"/>
      <w:r>
        <w:rPr>
          <w:rFonts w:hint="eastAsia" w:ascii="宋体" w:hAnsi="宋体"/>
        </w:rPr>
        <w:t>第八章  投标文件格式</w:t>
      </w:r>
      <w:bookmarkEnd w:id="1965"/>
      <w:bookmarkEnd w:id="1966"/>
      <w:bookmarkEnd w:id="1967"/>
      <w:bookmarkEnd w:id="1968"/>
      <w:bookmarkEnd w:id="1969"/>
      <w:bookmarkEnd w:id="1970"/>
    </w:p>
    <w:p w14:paraId="1E8709A7">
      <w:pPr>
        <w:spacing w:line="360" w:lineRule="auto"/>
        <w:rPr>
          <w:rFonts w:ascii="宋体" w:hAnsi="宋体"/>
          <w:sz w:val="32"/>
          <w:szCs w:val="32"/>
        </w:rPr>
      </w:pPr>
    </w:p>
    <w:p w14:paraId="4F1BF20C">
      <w:pPr>
        <w:spacing w:line="360" w:lineRule="auto"/>
        <w:jc w:val="center"/>
        <w:rPr>
          <w:rFonts w:ascii="宋体" w:hAnsi="宋体"/>
          <w:sz w:val="36"/>
          <w:szCs w:val="36"/>
        </w:rPr>
      </w:pPr>
      <w:r>
        <w:rPr>
          <w:rFonts w:ascii="宋体" w:hAnsi="宋体"/>
          <w:szCs w:val="20"/>
        </w:rPr>
        <w:br w:type="page"/>
      </w:r>
      <w:bookmarkStart w:id="1971" w:name="_Toc224103493"/>
      <w:r>
        <w:rPr>
          <w:rFonts w:hint="eastAsia" w:ascii="宋体" w:hAnsi="宋体"/>
          <w:sz w:val="36"/>
          <w:szCs w:val="36"/>
        </w:rPr>
        <w:t>目  录</w:t>
      </w:r>
      <w:bookmarkEnd w:id="1971"/>
    </w:p>
    <w:p w14:paraId="37BE3E7F">
      <w:pPr>
        <w:spacing w:line="360" w:lineRule="auto"/>
        <w:jc w:val="center"/>
        <w:rPr>
          <w:rFonts w:ascii="宋体" w:hAnsi="宋体"/>
          <w:szCs w:val="20"/>
        </w:rPr>
      </w:pPr>
    </w:p>
    <w:p w14:paraId="2B76A4BE">
      <w:pPr>
        <w:spacing w:line="360" w:lineRule="auto"/>
        <w:rPr>
          <w:rFonts w:ascii="宋体" w:hAnsi="宋体"/>
          <w:b/>
        </w:rPr>
      </w:pPr>
      <w:r>
        <w:rPr>
          <w:rFonts w:hint="eastAsia" w:ascii="宋体" w:hAnsi="宋体"/>
          <w:b/>
        </w:rPr>
        <w:t>一</w:t>
      </w:r>
      <w:r>
        <w:rPr>
          <w:rFonts w:ascii="宋体" w:hAnsi="宋体"/>
          <w:b/>
        </w:rPr>
        <w:t>、投标函部分</w:t>
      </w:r>
    </w:p>
    <w:p w14:paraId="1ADBE568">
      <w:pPr>
        <w:spacing w:line="360" w:lineRule="auto"/>
        <w:ind w:firstLine="420" w:firstLineChars="200"/>
        <w:rPr>
          <w:rFonts w:ascii="宋体" w:hAnsi="宋体"/>
        </w:rPr>
      </w:pPr>
      <w:r>
        <w:rPr>
          <w:rFonts w:ascii="宋体" w:hAnsi="宋体"/>
        </w:rPr>
        <w:t>（一）投标函</w:t>
      </w:r>
    </w:p>
    <w:p w14:paraId="1C2AFAE0">
      <w:pPr>
        <w:spacing w:line="360" w:lineRule="auto"/>
        <w:ind w:firstLine="420" w:firstLineChars="200"/>
        <w:rPr>
          <w:rFonts w:ascii="宋体" w:hAnsi="宋体"/>
        </w:rPr>
      </w:pPr>
      <w:r>
        <w:rPr>
          <w:rFonts w:ascii="宋体" w:hAnsi="宋体"/>
        </w:rPr>
        <w:t>（二）投标函附录</w:t>
      </w:r>
    </w:p>
    <w:p w14:paraId="5DC4A933">
      <w:pPr>
        <w:spacing w:line="360" w:lineRule="auto"/>
        <w:ind w:firstLine="420" w:firstLineChars="200"/>
        <w:rPr>
          <w:rFonts w:ascii="宋体" w:hAnsi="宋体"/>
        </w:rPr>
      </w:pPr>
      <w:r>
        <w:rPr>
          <w:rFonts w:ascii="宋体" w:hAnsi="宋体"/>
        </w:rPr>
        <w:t>（三）</w:t>
      </w:r>
      <w:r>
        <w:rPr>
          <w:rFonts w:hint="eastAsia" w:ascii="宋体" w:hAnsi="宋体"/>
        </w:rPr>
        <w:t>法定代表人身份证明或附有法定代表人身份证明的授权委托书</w:t>
      </w:r>
    </w:p>
    <w:p w14:paraId="1661B5E3">
      <w:pPr>
        <w:spacing w:line="360" w:lineRule="auto"/>
        <w:ind w:firstLine="420" w:firstLineChars="200"/>
        <w:rPr>
          <w:rFonts w:ascii="宋体" w:hAnsi="宋体"/>
        </w:rPr>
      </w:pPr>
      <w:r>
        <w:rPr>
          <w:rFonts w:ascii="宋体" w:hAnsi="宋体"/>
        </w:rPr>
        <w:t>（四）</w:t>
      </w:r>
      <w:r>
        <w:rPr>
          <w:rFonts w:hint="eastAsia" w:ascii="宋体" w:hAnsi="宋体"/>
        </w:rPr>
        <w:t>低价风险担保缴纳承诺书（如有）</w:t>
      </w:r>
    </w:p>
    <w:p w14:paraId="0B62EB8E">
      <w:pPr>
        <w:spacing w:line="360" w:lineRule="auto"/>
        <w:ind w:firstLine="420" w:firstLineChars="200"/>
        <w:rPr>
          <w:rFonts w:ascii="宋体" w:hAnsi="宋体"/>
        </w:rPr>
      </w:pPr>
      <w:r>
        <w:rPr>
          <w:rFonts w:ascii="宋体" w:hAnsi="宋体"/>
        </w:rPr>
        <w:t>（五）联合体协议书</w:t>
      </w:r>
      <w:r>
        <w:rPr>
          <w:rFonts w:hint="eastAsia" w:ascii="宋体" w:hAnsi="宋体"/>
        </w:rPr>
        <w:t>（如有）</w:t>
      </w:r>
    </w:p>
    <w:p w14:paraId="075CD428">
      <w:pPr>
        <w:spacing w:line="360" w:lineRule="auto"/>
        <w:rPr>
          <w:rFonts w:ascii="宋体" w:hAnsi="宋体"/>
          <w:b/>
        </w:rPr>
      </w:pPr>
      <w:r>
        <w:rPr>
          <w:rFonts w:hint="eastAsia" w:ascii="宋体" w:hAnsi="宋体"/>
          <w:b/>
        </w:rPr>
        <w:t>二</w:t>
      </w:r>
      <w:r>
        <w:rPr>
          <w:rFonts w:ascii="宋体" w:hAnsi="宋体"/>
          <w:b/>
        </w:rPr>
        <w:t>、</w:t>
      </w:r>
      <w:r>
        <w:rPr>
          <w:rFonts w:hint="eastAsia" w:ascii="宋体" w:hAnsi="宋体"/>
          <w:b/>
        </w:rPr>
        <w:t>经济</w:t>
      </w:r>
      <w:r>
        <w:rPr>
          <w:rFonts w:ascii="宋体" w:hAnsi="宋体"/>
          <w:b/>
        </w:rPr>
        <w:t>部分</w:t>
      </w:r>
    </w:p>
    <w:p w14:paraId="1433971A">
      <w:pPr>
        <w:spacing w:line="360" w:lineRule="auto"/>
        <w:ind w:firstLine="420" w:firstLineChars="200"/>
        <w:rPr>
          <w:rFonts w:ascii="宋体" w:hAnsi="宋体"/>
        </w:rPr>
      </w:pPr>
      <w:r>
        <w:rPr>
          <w:rFonts w:ascii="宋体" w:hAnsi="宋体"/>
        </w:rPr>
        <w:t>已标价工程量清单</w:t>
      </w:r>
    </w:p>
    <w:p w14:paraId="3AC24E44">
      <w:pPr>
        <w:spacing w:line="360" w:lineRule="auto"/>
        <w:rPr>
          <w:rFonts w:ascii="宋体" w:hAnsi="宋体"/>
          <w:b/>
        </w:rPr>
      </w:pPr>
      <w:r>
        <w:rPr>
          <w:rFonts w:hint="eastAsia" w:ascii="宋体" w:hAnsi="宋体"/>
          <w:b/>
        </w:rPr>
        <w:t>三</w:t>
      </w:r>
      <w:r>
        <w:rPr>
          <w:rFonts w:ascii="宋体" w:hAnsi="宋体"/>
          <w:b/>
        </w:rPr>
        <w:t>、技术部分（不设置</w:t>
      </w:r>
      <w:r>
        <w:rPr>
          <w:rFonts w:hint="eastAsia" w:ascii="宋体" w:hAnsi="宋体"/>
          <w:b/>
        </w:rPr>
        <w:t>技术方案</w:t>
      </w:r>
      <w:r>
        <w:rPr>
          <w:rFonts w:ascii="宋体" w:hAnsi="宋体"/>
          <w:b/>
        </w:rPr>
        <w:t>评审的不设此部分）</w:t>
      </w:r>
    </w:p>
    <w:p w14:paraId="0D4B9546">
      <w:pPr>
        <w:spacing w:line="360" w:lineRule="auto"/>
        <w:ind w:firstLine="420" w:firstLineChars="200"/>
        <w:rPr>
          <w:rFonts w:ascii="宋体" w:hAnsi="宋体"/>
        </w:rPr>
      </w:pPr>
      <w:r>
        <w:rPr>
          <w:rFonts w:hint="eastAsia" w:ascii="宋体" w:hAnsi="宋体"/>
        </w:rPr>
        <w:t>技术方案</w:t>
      </w:r>
    </w:p>
    <w:p w14:paraId="7D5E2FCE">
      <w:pPr>
        <w:spacing w:line="360" w:lineRule="auto"/>
        <w:ind w:firstLine="420" w:firstLineChars="200"/>
        <w:rPr>
          <w:rFonts w:ascii="宋体" w:hAnsi="宋体"/>
        </w:rPr>
      </w:pPr>
      <w:r>
        <w:rPr>
          <w:rFonts w:ascii="宋体" w:hAnsi="宋体"/>
        </w:rPr>
        <w:t>附表一</w:t>
      </w:r>
      <w:r>
        <w:rPr>
          <w:rFonts w:hint="eastAsia" w:ascii="宋体" w:hAnsi="宋体"/>
        </w:rPr>
        <w:t xml:space="preserve"> </w:t>
      </w:r>
      <w:r>
        <w:rPr>
          <w:rFonts w:ascii="宋体" w:hAnsi="宋体"/>
        </w:rPr>
        <w:t>拟投入本标段的主要施工设备表</w:t>
      </w:r>
    </w:p>
    <w:p w14:paraId="18BFBB61">
      <w:pPr>
        <w:spacing w:line="360" w:lineRule="auto"/>
        <w:ind w:firstLine="420" w:firstLineChars="200"/>
        <w:rPr>
          <w:rFonts w:ascii="宋体" w:hAnsi="宋体"/>
        </w:rPr>
      </w:pPr>
      <w:r>
        <w:rPr>
          <w:rFonts w:ascii="宋体" w:hAnsi="宋体"/>
        </w:rPr>
        <w:t>附表二</w:t>
      </w:r>
      <w:r>
        <w:rPr>
          <w:rFonts w:hint="eastAsia" w:ascii="宋体" w:hAnsi="宋体"/>
        </w:rPr>
        <w:t xml:space="preserve"> </w:t>
      </w:r>
      <w:r>
        <w:rPr>
          <w:rFonts w:ascii="宋体" w:hAnsi="宋体"/>
        </w:rPr>
        <w:t>拟配备本标段的试验和检测仪器设备表</w:t>
      </w:r>
    </w:p>
    <w:p w14:paraId="498BD109">
      <w:pPr>
        <w:spacing w:line="360" w:lineRule="auto"/>
        <w:ind w:firstLine="420" w:firstLineChars="200"/>
        <w:rPr>
          <w:rFonts w:ascii="宋体" w:hAnsi="宋体"/>
        </w:rPr>
      </w:pPr>
      <w:r>
        <w:rPr>
          <w:rFonts w:ascii="宋体" w:hAnsi="宋体"/>
        </w:rPr>
        <w:t>附表三</w:t>
      </w:r>
      <w:r>
        <w:rPr>
          <w:rFonts w:hint="eastAsia" w:ascii="宋体" w:hAnsi="宋体"/>
        </w:rPr>
        <w:t xml:space="preserve"> </w:t>
      </w:r>
      <w:r>
        <w:rPr>
          <w:rFonts w:ascii="宋体" w:hAnsi="宋体"/>
        </w:rPr>
        <w:t>劳动力计划表</w:t>
      </w:r>
    </w:p>
    <w:p w14:paraId="0A03EE62">
      <w:pPr>
        <w:spacing w:line="360" w:lineRule="auto"/>
        <w:ind w:firstLine="420" w:firstLineChars="200"/>
        <w:rPr>
          <w:rFonts w:ascii="宋体" w:hAnsi="宋体"/>
        </w:rPr>
      </w:pPr>
      <w:r>
        <w:rPr>
          <w:rFonts w:ascii="宋体" w:hAnsi="宋体"/>
        </w:rPr>
        <w:t>附表四</w:t>
      </w:r>
      <w:r>
        <w:rPr>
          <w:rFonts w:hint="eastAsia" w:ascii="宋体" w:hAnsi="宋体"/>
        </w:rPr>
        <w:t xml:space="preserve"> </w:t>
      </w:r>
      <w:r>
        <w:rPr>
          <w:rFonts w:ascii="宋体" w:hAnsi="宋体"/>
        </w:rPr>
        <w:t>计划开、竣工日期和施工进度网络图</w:t>
      </w:r>
    </w:p>
    <w:p w14:paraId="2455D364">
      <w:pPr>
        <w:spacing w:line="360" w:lineRule="auto"/>
        <w:ind w:firstLine="420" w:firstLineChars="200"/>
        <w:rPr>
          <w:rFonts w:ascii="宋体" w:hAnsi="宋体"/>
        </w:rPr>
      </w:pPr>
      <w:r>
        <w:rPr>
          <w:rFonts w:ascii="宋体" w:hAnsi="宋体"/>
        </w:rPr>
        <w:t>附表五</w:t>
      </w:r>
      <w:r>
        <w:rPr>
          <w:rFonts w:hint="eastAsia" w:ascii="宋体" w:hAnsi="宋体"/>
        </w:rPr>
        <w:t xml:space="preserve"> </w:t>
      </w:r>
      <w:r>
        <w:rPr>
          <w:rFonts w:ascii="宋体" w:hAnsi="宋体"/>
        </w:rPr>
        <w:t>施工总平面图</w:t>
      </w:r>
    </w:p>
    <w:p w14:paraId="1B72FF9B">
      <w:pPr>
        <w:spacing w:line="360" w:lineRule="auto"/>
        <w:ind w:firstLine="420" w:firstLineChars="200"/>
        <w:rPr>
          <w:rFonts w:ascii="宋体" w:hAnsi="宋体"/>
        </w:rPr>
      </w:pPr>
      <w:r>
        <w:rPr>
          <w:rFonts w:ascii="宋体" w:hAnsi="宋体"/>
        </w:rPr>
        <w:t>附表六</w:t>
      </w:r>
      <w:r>
        <w:rPr>
          <w:rFonts w:hint="eastAsia" w:ascii="宋体" w:hAnsi="宋体"/>
        </w:rPr>
        <w:t xml:space="preserve"> </w:t>
      </w:r>
      <w:r>
        <w:rPr>
          <w:rFonts w:ascii="宋体" w:hAnsi="宋体"/>
        </w:rPr>
        <w:t>临时用地表</w:t>
      </w:r>
    </w:p>
    <w:p w14:paraId="34350F9E">
      <w:pPr>
        <w:spacing w:line="360" w:lineRule="auto"/>
        <w:rPr>
          <w:rFonts w:ascii="宋体" w:hAnsi="宋体"/>
          <w:b/>
        </w:rPr>
      </w:pPr>
      <w:r>
        <w:rPr>
          <w:rFonts w:hint="eastAsia" w:ascii="宋体" w:hAnsi="宋体"/>
          <w:b/>
        </w:rPr>
        <w:t>四</w:t>
      </w:r>
      <w:r>
        <w:rPr>
          <w:rFonts w:ascii="宋体" w:hAnsi="宋体"/>
          <w:b/>
        </w:rPr>
        <w:t>、</w:t>
      </w:r>
      <w:r>
        <w:rPr>
          <w:rFonts w:hint="eastAsia" w:ascii="宋体" w:hAnsi="宋体"/>
          <w:b/>
        </w:rPr>
        <w:t>资格审查部分</w:t>
      </w:r>
    </w:p>
    <w:p w14:paraId="11716BEC">
      <w:pPr>
        <w:spacing w:line="360" w:lineRule="auto"/>
        <w:ind w:firstLine="420" w:firstLineChars="200"/>
        <w:rPr>
          <w:rFonts w:ascii="宋体" w:hAnsi="宋体"/>
        </w:rPr>
      </w:pPr>
      <w:r>
        <w:rPr>
          <w:rFonts w:ascii="宋体" w:hAnsi="宋体"/>
        </w:rPr>
        <w:t>（一）</w:t>
      </w:r>
      <w:r>
        <w:rPr>
          <w:rFonts w:hint="eastAsia" w:ascii="宋体" w:hAnsi="宋体"/>
        </w:rPr>
        <w:t>法定代表人身份证明或附有法定代表人身份证明的授权委托书</w:t>
      </w:r>
    </w:p>
    <w:p w14:paraId="3704347A">
      <w:pPr>
        <w:spacing w:line="360" w:lineRule="auto"/>
        <w:ind w:firstLine="420" w:firstLineChars="200"/>
        <w:rPr>
          <w:rFonts w:ascii="宋体" w:hAnsi="宋体"/>
        </w:rPr>
      </w:pPr>
      <w:r>
        <w:rPr>
          <w:rFonts w:ascii="宋体" w:hAnsi="宋体"/>
        </w:rPr>
        <w:t>（二）联合体协议书</w:t>
      </w:r>
      <w:r>
        <w:rPr>
          <w:rFonts w:hint="eastAsia" w:ascii="宋体" w:hAnsi="宋体"/>
        </w:rPr>
        <w:t>（如有）</w:t>
      </w:r>
    </w:p>
    <w:p w14:paraId="212106BB">
      <w:pPr>
        <w:spacing w:line="360" w:lineRule="auto"/>
        <w:ind w:firstLine="420" w:firstLineChars="200"/>
        <w:rPr>
          <w:rFonts w:ascii="宋体" w:hAnsi="宋体"/>
        </w:rPr>
      </w:pPr>
      <w:r>
        <w:rPr>
          <w:rFonts w:ascii="宋体" w:hAnsi="宋体"/>
        </w:rPr>
        <w:t>（三）投标人基本情况表</w:t>
      </w:r>
    </w:p>
    <w:p w14:paraId="4992667D">
      <w:pPr>
        <w:spacing w:line="360" w:lineRule="auto"/>
        <w:ind w:firstLine="420" w:firstLineChars="200"/>
        <w:rPr>
          <w:rFonts w:ascii="宋体" w:hAnsi="宋体"/>
        </w:rPr>
      </w:pPr>
      <w:r>
        <w:rPr>
          <w:rFonts w:ascii="宋体" w:hAnsi="宋体"/>
        </w:rPr>
        <w:t>（四）项目管理机构</w:t>
      </w:r>
    </w:p>
    <w:p w14:paraId="5C3074B2">
      <w:pPr>
        <w:spacing w:line="360" w:lineRule="auto"/>
        <w:ind w:firstLine="420" w:firstLineChars="200"/>
        <w:rPr>
          <w:rFonts w:ascii="宋体" w:hAnsi="宋体"/>
        </w:rPr>
      </w:pPr>
      <w:r>
        <w:rPr>
          <w:rFonts w:ascii="宋体" w:hAnsi="宋体"/>
        </w:rPr>
        <w:t>（五）近年财务状况表</w:t>
      </w:r>
    </w:p>
    <w:p w14:paraId="684C956D">
      <w:pPr>
        <w:spacing w:line="360" w:lineRule="auto"/>
        <w:ind w:firstLine="420" w:firstLineChars="200"/>
        <w:rPr>
          <w:rFonts w:ascii="宋体" w:hAnsi="宋体"/>
        </w:rPr>
      </w:pPr>
      <w:r>
        <w:rPr>
          <w:rFonts w:ascii="宋体" w:hAnsi="宋体"/>
        </w:rPr>
        <w:t>（六）类似项目情况表</w:t>
      </w:r>
    </w:p>
    <w:p w14:paraId="1E440AA2">
      <w:pPr>
        <w:spacing w:line="360" w:lineRule="auto"/>
        <w:ind w:firstLine="420" w:firstLineChars="200"/>
        <w:rPr>
          <w:rFonts w:ascii="宋体" w:hAnsi="宋体"/>
        </w:rPr>
      </w:pPr>
      <w:r>
        <w:rPr>
          <w:rFonts w:ascii="宋体" w:hAnsi="宋体"/>
        </w:rPr>
        <w:t>（七）</w:t>
      </w:r>
      <w:r>
        <w:rPr>
          <w:rFonts w:hint="eastAsia" w:ascii="宋体" w:hAnsi="宋体"/>
        </w:rPr>
        <w:t>承诺</w:t>
      </w:r>
    </w:p>
    <w:p w14:paraId="4F67B649">
      <w:pPr>
        <w:spacing w:line="360" w:lineRule="auto"/>
        <w:ind w:firstLine="420" w:firstLineChars="200"/>
        <w:rPr>
          <w:rFonts w:ascii="宋体" w:hAnsi="宋体"/>
        </w:rPr>
      </w:pPr>
      <w:r>
        <w:rPr>
          <w:rFonts w:ascii="宋体" w:hAnsi="宋体"/>
        </w:rPr>
        <w:t>（</w:t>
      </w:r>
      <w:r>
        <w:rPr>
          <w:rFonts w:hint="eastAsia" w:ascii="宋体" w:hAnsi="宋体"/>
        </w:rPr>
        <w:t>八</w:t>
      </w:r>
      <w:r>
        <w:rPr>
          <w:rFonts w:ascii="宋体" w:hAnsi="宋体"/>
        </w:rPr>
        <w:t>）其他资料</w:t>
      </w:r>
    </w:p>
    <w:p w14:paraId="1C7E48CC">
      <w:pPr>
        <w:autoSpaceDE w:val="0"/>
        <w:autoSpaceDN w:val="0"/>
        <w:adjustRightInd w:val="0"/>
        <w:spacing w:line="276" w:lineRule="auto"/>
        <w:ind w:right="-23"/>
        <w:jc w:val="left"/>
        <w:rPr>
          <w:rFonts w:ascii="宋体" w:hAnsi="宋体"/>
          <w:kern w:val="0"/>
          <w:szCs w:val="21"/>
          <w:u w:val="single"/>
        </w:rPr>
      </w:pPr>
      <w:r>
        <w:rPr>
          <w:rFonts w:ascii="宋体" w:hAnsi="宋体"/>
          <w:b/>
          <w:kern w:val="0"/>
          <w:sz w:val="24"/>
        </w:rPr>
        <w:br w:type="page"/>
      </w:r>
      <w:bookmarkStart w:id="1972" w:name="_Toc430530529"/>
      <w:bookmarkStart w:id="1973" w:name="_Toc277082642"/>
      <w:bookmarkStart w:id="1974" w:name="_Toc287607866"/>
      <w:bookmarkStart w:id="1975" w:name="_Toc224103494"/>
      <w:bookmarkStart w:id="1976" w:name="_Toc287620813"/>
    </w:p>
    <w:p w14:paraId="4C4920FD">
      <w:pPr>
        <w:pStyle w:val="4"/>
        <w:spacing w:line="360" w:lineRule="auto"/>
        <w:jc w:val="center"/>
        <w:rPr>
          <w:rFonts w:ascii="宋体" w:hAnsi="宋体"/>
          <w:b w:val="0"/>
          <w:bCs w:val="0"/>
          <w:sz w:val="44"/>
          <w:szCs w:val="44"/>
        </w:rPr>
      </w:pPr>
      <w:bookmarkStart w:id="1977" w:name="_Toc6817"/>
      <w:r>
        <w:rPr>
          <w:rFonts w:hint="eastAsia" w:ascii="宋体" w:hAnsi="宋体"/>
          <w:b w:val="0"/>
          <w:bCs w:val="0"/>
          <w:sz w:val="44"/>
          <w:szCs w:val="44"/>
        </w:rPr>
        <w:t>一、投标函部分</w:t>
      </w:r>
      <w:bookmarkEnd w:id="1972"/>
      <w:bookmarkEnd w:id="1973"/>
      <w:bookmarkEnd w:id="1974"/>
      <w:bookmarkEnd w:id="1975"/>
      <w:bookmarkEnd w:id="1976"/>
      <w:bookmarkEnd w:id="1977"/>
    </w:p>
    <w:p w14:paraId="45991288">
      <w:pPr>
        <w:tabs>
          <w:tab w:val="left" w:pos="2580"/>
          <w:tab w:val="left" w:pos="5940"/>
        </w:tabs>
        <w:autoSpaceDE w:val="0"/>
        <w:autoSpaceDN w:val="0"/>
        <w:adjustRightInd w:val="0"/>
        <w:snapToGrid w:val="0"/>
        <w:spacing w:line="360" w:lineRule="auto"/>
        <w:jc w:val="left"/>
        <w:rPr>
          <w:rFonts w:ascii="宋体" w:hAnsi="宋体"/>
          <w:kern w:val="0"/>
          <w:sz w:val="28"/>
          <w:szCs w:val="28"/>
          <w:u w:val="single"/>
        </w:rPr>
      </w:pPr>
      <w:r>
        <w:rPr>
          <w:rFonts w:ascii="宋体" w:hAnsi="宋体"/>
          <w:kern w:val="0"/>
          <w:sz w:val="28"/>
          <w:szCs w:val="28"/>
          <w:u w:val="single"/>
        </w:rPr>
        <w:br w:type="page"/>
      </w:r>
    </w:p>
    <w:p w14:paraId="5E788140">
      <w:pPr>
        <w:spacing w:line="360" w:lineRule="auto"/>
        <w:jc w:val="center"/>
        <w:rPr>
          <w:rFonts w:ascii="宋体" w:hAnsi="宋体"/>
          <w:kern w:val="0"/>
          <w:sz w:val="32"/>
          <w:szCs w:val="32"/>
        </w:rPr>
      </w:pPr>
      <w:r>
        <w:rPr>
          <w:rFonts w:hint="eastAsia" w:ascii="宋体" w:hAnsi="宋体"/>
          <w:kern w:val="0"/>
          <w:sz w:val="32"/>
          <w:szCs w:val="32"/>
          <w:u w:val="single"/>
        </w:rPr>
        <w:t xml:space="preserve">                   （项目名称）</w:t>
      </w:r>
    </w:p>
    <w:p w14:paraId="026F40C3">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7343279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62EA29C">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8ADD031">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022DA34">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10D78741">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5D32458C">
      <w:pPr>
        <w:autoSpaceDE w:val="0"/>
        <w:autoSpaceDN w:val="0"/>
        <w:adjustRightInd w:val="0"/>
        <w:snapToGrid w:val="0"/>
        <w:spacing w:line="360" w:lineRule="auto"/>
        <w:jc w:val="left"/>
        <w:rPr>
          <w:rFonts w:ascii="宋体" w:hAnsi="宋体"/>
          <w:kern w:val="0"/>
          <w:sz w:val="16"/>
          <w:szCs w:val="16"/>
        </w:rPr>
      </w:pPr>
    </w:p>
    <w:p w14:paraId="44F5AF41">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投标函部分</w:t>
      </w:r>
    </w:p>
    <w:p w14:paraId="14D5E2EA">
      <w:pPr>
        <w:autoSpaceDE w:val="0"/>
        <w:autoSpaceDN w:val="0"/>
        <w:adjustRightInd w:val="0"/>
        <w:snapToGrid w:val="0"/>
        <w:spacing w:line="360" w:lineRule="auto"/>
        <w:jc w:val="left"/>
        <w:rPr>
          <w:rFonts w:ascii="宋体" w:hAnsi="宋体"/>
          <w:b/>
          <w:kern w:val="0"/>
          <w:sz w:val="20"/>
          <w:szCs w:val="20"/>
        </w:rPr>
      </w:pPr>
    </w:p>
    <w:p w14:paraId="0AEF459A">
      <w:pPr>
        <w:autoSpaceDE w:val="0"/>
        <w:autoSpaceDN w:val="0"/>
        <w:adjustRightInd w:val="0"/>
        <w:snapToGrid w:val="0"/>
        <w:spacing w:line="360" w:lineRule="auto"/>
        <w:jc w:val="left"/>
        <w:rPr>
          <w:rFonts w:ascii="宋体" w:hAnsi="宋体"/>
          <w:b/>
          <w:kern w:val="0"/>
          <w:sz w:val="20"/>
          <w:szCs w:val="20"/>
        </w:rPr>
      </w:pPr>
    </w:p>
    <w:p w14:paraId="486A9DAD">
      <w:pPr>
        <w:autoSpaceDE w:val="0"/>
        <w:autoSpaceDN w:val="0"/>
        <w:adjustRightInd w:val="0"/>
        <w:snapToGrid w:val="0"/>
        <w:spacing w:line="360" w:lineRule="auto"/>
        <w:jc w:val="left"/>
        <w:rPr>
          <w:rFonts w:ascii="宋体" w:hAnsi="宋体"/>
          <w:b/>
          <w:kern w:val="0"/>
          <w:sz w:val="20"/>
          <w:szCs w:val="20"/>
        </w:rPr>
      </w:pPr>
    </w:p>
    <w:p w14:paraId="1E198F48">
      <w:pPr>
        <w:autoSpaceDE w:val="0"/>
        <w:autoSpaceDN w:val="0"/>
        <w:adjustRightInd w:val="0"/>
        <w:snapToGrid w:val="0"/>
        <w:spacing w:line="360" w:lineRule="auto"/>
        <w:jc w:val="left"/>
        <w:rPr>
          <w:rFonts w:ascii="宋体" w:hAnsi="宋体"/>
          <w:b/>
          <w:kern w:val="0"/>
          <w:sz w:val="20"/>
          <w:szCs w:val="20"/>
        </w:rPr>
      </w:pPr>
    </w:p>
    <w:p w14:paraId="3907404C">
      <w:pPr>
        <w:autoSpaceDE w:val="0"/>
        <w:autoSpaceDN w:val="0"/>
        <w:adjustRightInd w:val="0"/>
        <w:snapToGrid w:val="0"/>
        <w:spacing w:line="360" w:lineRule="auto"/>
        <w:jc w:val="left"/>
        <w:rPr>
          <w:rFonts w:ascii="宋体" w:hAnsi="宋体"/>
          <w:b/>
          <w:kern w:val="0"/>
          <w:sz w:val="20"/>
          <w:szCs w:val="20"/>
        </w:rPr>
      </w:pPr>
    </w:p>
    <w:p w14:paraId="3CEE18A5">
      <w:pPr>
        <w:autoSpaceDE w:val="0"/>
        <w:autoSpaceDN w:val="0"/>
        <w:adjustRightInd w:val="0"/>
        <w:snapToGrid w:val="0"/>
        <w:spacing w:line="360" w:lineRule="auto"/>
        <w:jc w:val="left"/>
        <w:rPr>
          <w:rFonts w:ascii="宋体" w:hAnsi="宋体"/>
          <w:b/>
          <w:kern w:val="0"/>
          <w:sz w:val="20"/>
          <w:szCs w:val="20"/>
        </w:rPr>
      </w:pPr>
    </w:p>
    <w:p w14:paraId="3661C951">
      <w:pPr>
        <w:autoSpaceDE w:val="0"/>
        <w:autoSpaceDN w:val="0"/>
        <w:adjustRightInd w:val="0"/>
        <w:snapToGrid w:val="0"/>
        <w:spacing w:line="360" w:lineRule="auto"/>
        <w:jc w:val="left"/>
        <w:rPr>
          <w:rFonts w:ascii="宋体" w:hAnsi="宋体"/>
          <w:b/>
          <w:kern w:val="0"/>
          <w:sz w:val="20"/>
          <w:szCs w:val="20"/>
        </w:rPr>
      </w:pPr>
    </w:p>
    <w:p w14:paraId="07A4A7FB">
      <w:pPr>
        <w:autoSpaceDE w:val="0"/>
        <w:autoSpaceDN w:val="0"/>
        <w:adjustRightInd w:val="0"/>
        <w:snapToGrid w:val="0"/>
        <w:spacing w:line="360" w:lineRule="auto"/>
        <w:jc w:val="left"/>
        <w:rPr>
          <w:rFonts w:ascii="宋体" w:hAnsi="宋体"/>
          <w:b/>
          <w:kern w:val="0"/>
          <w:sz w:val="20"/>
          <w:szCs w:val="20"/>
        </w:rPr>
      </w:pPr>
    </w:p>
    <w:p w14:paraId="720F7A40">
      <w:pPr>
        <w:autoSpaceDE w:val="0"/>
        <w:autoSpaceDN w:val="0"/>
        <w:adjustRightInd w:val="0"/>
        <w:snapToGrid w:val="0"/>
        <w:spacing w:line="360" w:lineRule="auto"/>
        <w:jc w:val="left"/>
        <w:rPr>
          <w:rFonts w:ascii="宋体" w:hAnsi="宋体"/>
          <w:b/>
          <w:kern w:val="0"/>
          <w:sz w:val="20"/>
          <w:szCs w:val="20"/>
        </w:rPr>
      </w:pPr>
    </w:p>
    <w:p w14:paraId="1820EE65">
      <w:pPr>
        <w:autoSpaceDE w:val="0"/>
        <w:autoSpaceDN w:val="0"/>
        <w:adjustRightInd w:val="0"/>
        <w:snapToGrid w:val="0"/>
        <w:spacing w:line="360" w:lineRule="auto"/>
        <w:jc w:val="left"/>
        <w:rPr>
          <w:rFonts w:ascii="宋体" w:hAnsi="宋体"/>
          <w:b/>
          <w:kern w:val="0"/>
          <w:sz w:val="20"/>
          <w:szCs w:val="20"/>
        </w:rPr>
      </w:pPr>
    </w:p>
    <w:p w14:paraId="3AD1702F">
      <w:pPr>
        <w:autoSpaceDE w:val="0"/>
        <w:autoSpaceDN w:val="0"/>
        <w:adjustRightInd w:val="0"/>
        <w:snapToGrid w:val="0"/>
        <w:spacing w:line="360" w:lineRule="auto"/>
        <w:jc w:val="left"/>
        <w:rPr>
          <w:rFonts w:ascii="宋体" w:hAnsi="宋体"/>
          <w:b/>
          <w:kern w:val="0"/>
          <w:sz w:val="20"/>
          <w:szCs w:val="20"/>
        </w:rPr>
      </w:pPr>
    </w:p>
    <w:p w14:paraId="7DD88874">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716B7A30">
      <w:pPr>
        <w:tabs>
          <w:tab w:val="left" w:pos="6080"/>
          <w:tab w:val="left" w:pos="664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5D37FE85">
      <w:pPr>
        <w:autoSpaceDE w:val="0"/>
        <w:autoSpaceDN w:val="0"/>
        <w:adjustRightInd w:val="0"/>
        <w:snapToGrid w:val="0"/>
        <w:spacing w:line="360" w:lineRule="auto"/>
        <w:jc w:val="center"/>
        <w:rPr>
          <w:rFonts w:ascii="宋体" w:hAnsi="宋体"/>
          <w:kern w:val="0"/>
          <w:sz w:val="24"/>
          <w:szCs w:val="21"/>
        </w:rPr>
      </w:pPr>
      <w:r>
        <w:rPr>
          <w:rFonts w:hint="eastAsia" w:ascii="宋体" w:hAnsi="宋体"/>
          <w:w w:val="99"/>
          <w:kern w:val="0"/>
          <w:sz w:val="28"/>
          <w:szCs w:val="28"/>
          <w:u w:val="single"/>
        </w:rPr>
        <w:t xml:space="preserve">    </w:t>
      </w:r>
      <w:r>
        <w:rPr>
          <w:rFonts w:hint="eastAsia" w:ascii="宋体" w:hAnsi="宋体"/>
          <w:w w:val="99"/>
          <w:kern w:val="0"/>
          <w:sz w:val="28"/>
          <w:szCs w:val="28"/>
        </w:rPr>
        <w:t>年</w:t>
      </w:r>
      <w:r>
        <w:rPr>
          <w:rFonts w:hint="eastAsia" w:ascii="宋体" w:hAnsi="宋体"/>
          <w:w w:val="99"/>
          <w:kern w:val="0"/>
          <w:sz w:val="28"/>
          <w:szCs w:val="28"/>
          <w:u w:val="single"/>
        </w:rPr>
        <w:t xml:space="preserve">    </w:t>
      </w:r>
      <w:r>
        <w:rPr>
          <w:rFonts w:hint="eastAsia" w:ascii="宋体" w:hAnsi="宋体"/>
          <w:w w:val="99"/>
          <w:kern w:val="0"/>
          <w:sz w:val="28"/>
          <w:szCs w:val="28"/>
        </w:rPr>
        <w:t>月</w:t>
      </w:r>
      <w:r>
        <w:rPr>
          <w:rFonts w:hint="eastAsia" w:ascii="宋体" w:hAnsi="宋体"/>
          <w:w w:val="99"/>
          <w:kern w:val="0"/>
          <w:sz w:val="28"/>
          <w:szCs w:val="28"/>
          <w:u w:val="single"/>
        </w:rPr>
        <w:t xml:space="preserve">    </w:t>
      </w:r>
      <w:r>
        <w:rPr>
          <w:rFonts w:hint="eastAsia" w:ascii="宋体" w:hAnsi="宋体"/>
          <w:w w:val="99"/>
          <w:kern w:val="0"/>
          <w:sz w:val="28"/>
          <w:szCs w:val="28"/>
        </w:rPr>
        <w:t>日</w:t>
      </w:r>
      <w:r>
        <w:rPr>
          <w:rFonts w:ascii="宋体" w:hAnsi="宋体"/>
          <w:kern w:val="0"/>
          <w:sz w:val="24"/>
          <w:szCs w:val="21"/>
        </w:rPr>
        <w:br w:type="page"/>
      </w:r>
    </w:p>
    <w:p w14:paraId="2FCD00CC">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目  录</w:t>
      </w:r>
    </w:p>
    <w:p w14:paraId="0EB9AA62">
      <w:pPr>
        <w:autoSpaceDE w:val="0"/>
        <w:autoSpaceDN w:val="0"/>
        <w:adjustRightInd w:val="0"/>
        <w:snapToGrid w:val="0"/>
        <w:spacing w:line="360" w:lineRule="auto"/>
        <w:jc w:val="left"/>
        <w:rPr>
          <w:rFonts w:ascii="宋体" w:hAnsi="宋体"/>
          <w:kern w:val="0"/>
          <w:sz w:val="24"/>
          <w:szCs w:val="21"/>
        </w:rPr>
      </w:pPr>
    </w:p>
    <w:p w14:paraId="1B40AA23">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（一）投标函</w:t>
      </w:r>
    </w:p>
    <w:p w14:paraId="77149F22">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（二）投标函附录</w:t>
      </w:r>
    </w:p>
    <w:p w14:paraId="1C968871">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（三）</w:t>
      </w:r>
      <w:r>
        <w:rPr>
          <w:rFonts w:hint="eastAsia" w:ascii="宋体" w:hAnsi="宋体"/>
          <w:kern w:val="0"/>
          <w:sz w:val="24"/>
        </w:rPr>
        <w:t>法定代表人身份证明或附有法定代表人身份证明的授权委托书</w:t>
      </w:r>
    </w:p>
    <w:p w14:paraId="200135B1">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（四）</w:t>
      </w:r>
      <w:r>
        <w:rPr>
          <w:rFonts w:hint="eastAsia" w:ascii="宋体" w:hAnsi="宋体"/>
          <w:kern w:val="0"/>
          <w:sz w:val="24"/>
        </w:rPr>
        <w:t>低价风险担保缴纳承诺书（如有）</w:t>
      </w:r>
    </w:p>
    <w:p w14:paraId="3A2DA189">
      <w:pPr>
        <w:autoSpaceDE w:val="0"/>
        <w:autoSpaceDN w:val="0"/>
        <w:adjustRightInd w:val="0"/>
        <w:spacing w:line="360" w:lineRule="auto"/>
        <w:ind w:firstLine="480" w:firstLineChars="200"/>
        <w:jc w:val="left"/>
        <w:rPr>
          <w:rFonts w:ascii="宋体" w:hAnsi="宋体"/>
          <w:kern w:val="0"/>
          <w:sz w:val="24"/>
        </w:rPr>
      </w:pPr>
      <w:r>
        <w:rPr>
          <w:rFonts w:hint="eastAsia" w:ascii="宋体" w:hAnsi="宋体"/>
          <w:kern w:val="0"/>
          <w:sz w:val="24"/>
        </w:rPr>
        <w:t>（五）</w:t>
      </w:r>
      <w:r>
        <w:rPr>
          <w:rFonts w:ascii="宋体" w:hAnsi="宋体"/>
          <w:kern w:val="0"/>
          <w:sz w:val="24"/>
        </w:rPr>
        <w:t>联合体协议书</w:t>
      </w:r>
      <w:r>
        <w:rPr>
          <w:rFonts w:hint="eastAsia" w:ascii="宋体" w:hAnsi="宋体"/>
          <w:kern w:val="0"/>
          <w:sz w:val="24"/>
        </w:rPr>
        <w:t>（如有）</w:t>
      </w:r>
    </w:p>
    <w:p w14:paraId="797C7289">
      <w:pPr>
        <w:pStyle w:val="5"/>
        <w:spacing w:before="0" w:after="0" w:line="240" w:lineRule="auto"/>
        <w:jc w:val="center"/>
        <w:rPr>
          <w:rFonts w:ascii="宋体" w:hAnsi="宋体"/>
          <w:b w:val="0"/>
        </w:rPr>
      </w:pPr>
      <w:bookmarkStart w:id="1978" w:name="_Toc287607867"/>
      <w:bookmarkStart w:id="1979" w:name="_Toc277082643"/>
      <w:bookmarkStart w:id="1980" w:name="_Toc430530530"/>
      <w:bookmarkStart w:id="1981" w:name="_Toc287620814"/>
      <w:bookmarkStart w:id="1982" w:name="_Toc509218854"/>
      <w:bookmarkStart w:id="1983" w:name="_Toc224103495"/>
      <w:bookmarkStart w:id="1984" w:name="_Toc534185831"/>
      <w:r>
        <w:rPr>
          <w:rFonts w:ascii="宋体" w:hAnsi="宋体"/>
        </w:rPr>
        <w:br w:type="page"/>
      </w:r>
      <w:bookmarkStart w:id="1985" w:name="_Toc2394"/>
      <w:r>
        <w:rPr>
          <w:rFonts w:hint="eastAsia" w:ascii="宋体" w:hAnsi="宋体"/>
          <w:b w:val="0"/>
          <w:bCs w:val="0"/>
        </w:rPr>
        <w:t>（一）投标函</w:t>
      </w:r>
      <w:bookmarkEnd w:id="1978"/>
      <w:bookmarkEnd w:id="1979"/>
      <w:bookmarkEnd w:id="1980"/>
      <w:bookmarkEnd w:id="1981"/>
      <w:bookmarkEnd w:id="1982"/>
      <w:bookmarkEnd w:id="1983"/>
      <w:bookmarkEnd w:id="1984"/>
      <w:bookmarkEnd w:id="1985"/>
    </w:p>
    <w:p w14:paraId="336C64B2">
      <w:pPr>
        <w:tabs>
          <w:tab w:val="left" w:pos="2640"/>
        </w:tabs>
        <w:autoSpaceDE w:val="0"/>
        <w:autoSpaceDN w:val="0"/>
        <w:adjustRightInd w:val="0"/>
        <w:spacing w:line="400" w:lineRule="exact"/>
        <w:rPr>
          <w:rFonts w:ascii="宋体" w:hAnsi="宋体"/>
          <w:snapToGrid w:val="0"/>
          <w:kern w:val="0"/>
          <w:szCs w:val="21"/>
        </w:rPr>
      </w:pPr>
      <w:r>
        <w:rPr>
          <w:rFonts w:ascii="宋体" w:hAnsi="宋体"/>
          <w:snapToGrid w:val="0"/>
          <w:kern w:val="0"/>
          <w:szCs w:val="21"/>
          <w:u w:val="single"/>
        </w:rPr>
        <w:tab/>
      </w:r>
      <w:r>
        <w:rPr>
          <w:rFonts w:ascii="宋体" w:hAnsi="宋体"/>
          <w:snapToGrid w:val="0"/>
          <w:kern w:val="0"/>
          <w:szCs w:val="21"/>
          <w:u w:val="single"/>
        </w:rPr>
        <w:t>（</w:t>
      </w:r>
      <w:r>
        <w:rPr>
          <w:rFonts w:hint="eastAsia" w:ascii="宋体" w:hAnsi="宋体"/>
          <w:snapToGrid w:val="0"/>
          <w:kern w:val="0"/>
          <w:szCs w:val="21"/>
          <w:u w:val="single"/>
        </w:rPr>
        <w:t>采购</w:t>
      </w:r>
      <w:r>
        <w:rPr>
          <w:rFonts w:ascii="宋体" w:hAnsi="宋体"/>
          <w:snapToGrid w:val="0"/>
          <w:kern w:val="0"/>
          <w:szCs w:val="21"/>
          <w:u w:val="single"/>
        </w:rPr>
        <w:t>人名称）</w:t>
      </w:r>
      <w:r>
        <w:rPr>
          <w:rFonts w:ascii="宋体" w:hAnsi="宋体"/>
          <w:snapToGrid w:val="0"/>
          <w:kern w:val="0"/>
          <w:szCs w:val="21"/>
        </w:rPr>
        <w:t>：</w:t>
      </w:r>
    </w:p>
    <w:p w14:paraId="101C1ADE">
      <w:pPr>
        <w:tabs>
          <w:tab w:val="left" w:pos="2655"/>
          <w:tab w:val="left" w:pos="3520"/>
          <w:tab w:val="left" w:pos="4920"/>
          <w:tab w:val="left" w:pos="5715"/>
          <w:tab w:val="left" w:pos="6945"/>
          <w:tab w:val="left" w:pos="798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1</w:t>
      </w:r>
      <w:r>
        <w:rPr>
          <w:rFonts w:hint="eastAsia" w:ascii="宋体" w:hAnsi="宋体"/>
          <w:snapToGrid w:val="0"/>
          <w:kern w:val="0"/>
          <w:szCs w:val="21"/>
        </w:rPr>
        <w:t xml:space="preserve">. </w:t>
      </w:r>
      <w:r>
        <w:rPr>
          <w:rFonts w:ascii="宋体" w:hAnsi="宋体"/>
          <w:snapToGrid w:val="0"/>
          <w:kern w:val="0"/>
          <w:szCs w:val="21"/>
        </w:rPr>
        <w:t>我方已仔细研究了</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u w:val="single"/>
        </w:rPr>
        <w:t>（项目名称）</w:t>
      </w:r>
      <w:r>
        <w:rPr>
          <w:rFonts w:hint="eastAsia" w:ascii="宋体" w:hAnsi="宋体"/>
          <w:snapToGrid w:val="0"/>
          <w:kern w:val="0"/>
          <w:szCs w:val="21"/>
        </w:rPr>
        <w:t>采购</w:t>
      </w:r>
      <w:r>
        <w:rPr>
          <w:rFonts w:ascii="宋体" w:hAnsi="宋体"/>
          <w:snapToGrid w:val="0"/>
          <w:kern w:val="0"/>
          <w:szCs w:val="21"/>
        </w:rPr>
        <w:t>文件的全部内容，愿意以人民币（大写）</w:t>
      </w:r>
      <w:r>
        <w:rPr>
          <w:rFonts w:ascii="宋体" w:hAnsi="宋体"/>
          <w:snapToGrid w:val="0"/>
          <w:kern w:val="0"/>
          <w:szCs w:val="21"/>
          <w:u w:val="single"/>
        </w:rPr>
        <w:tab/>
      </w:r>
      <w:r>
        <w:rPr>
          <w:rFonts w:ascii="宋体" w:hAnsi="宋体"/>
          <w:snapToGrid w:val="0"/>
          <w:kern w:val="0"/>
          <w:szCs w:val="21"/>
        </w:rPr>
        <w:t>（¥</w:t>
      </w:r>
      <w:r>
        <w:rPr>
          <w:rFonts w:hint="eastAsia" w:ascii="宋体" w:hAnsi="宋体"/>
          <w:snapToGrid w:val="0"/>
          <w:kern w:val="0"/>
          <w:szCs w:val="21"/>
          <w:u w:val="single"/>
        </w:rPr>
        <w:t xml:space="preserve">    </w:t>
      </w:r>
      <w:r>
        <w:rPr>
          <w:rFonts w:ascii="宋体" w:hAnsi="宋体"/>
          <w:snapToGrid w:val="0"/>
          <w:kern w:val="0"/>
          <w:szCs w:val="21"/>
        </w:rPr>
        <w:t>）的投标总报价进行报价，其中</w:t>
      </w:r>
      <w:r>
        <w:rPr>
          <w:rFonts w:ascii="宋体" w:hAnsi="宋体"/>
          <w:snapToGrid w:val="0"/>
          <w:kern w:val="0"/>
        </w:rPr>
        <w:t>安全文明施工费暂定金额为人民币</w:t>
      </w:r>
      <w:r>
        <w:rPr>
          <w:rFonts w:ascii="宋体" w:hAnsi="宋体"/>
          <w:snapToGrid w:val="0"/>
          <w:kern w:val="0"/>
          <w:u w:val="single"/>
        </w:rPr>
        <w:t xml:space="preserve">        </w:t>
      </w:r>
      <w:r>
        <w:rPr>
          <w:rFonts w:ascii="宋体" w:hAnsi="宋体"/>
          <w:snapToGrid w:val="0"/>
          <w:kern w:val="0"/>
        </w:rPr>
        <w:t>万元</w:t>
      </w:r>
      <w:r>
        <w:rPr>
          <w:rFonts w:ascii="宋体" w:hAnsi="宋体"/>
          <w:snapToGrid w:val="0"/>
          <w:kern w:val="0"/>
          <w:szCs w:val="21"/>
        </w:rPr>
        <w:t>，该工程</w:t>
      </w:r>
      <w:r>
        <w:rPr>
          <w:rFonts w:ascii="宋体" w:hAnsi="宋体"/>
          <w:snapToGrid w:val="0"/>
          <w:kern w:val="0"/>
        </w:rPr>
        <w:t>项目经理为</w:t>
      </w:r>
      <w:r>
        <w:rPr>
          <w:rFonts w:hint="eastAsia" w:ascii="宋体" w:hAnsi="宋体"/>
          <w:snapToGrid w:val="0"/>
          <w:kern w:val="0"/>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hint="eastAsia" w:ascii="宋体" w:hAnsi="宋体"/>
          <w:snapToGrid w:val="0"/>
          <w:kern w:val="0"/>
          <w:szCs w:val="21"/>
        </w:rPr>
        <w:t>；委托代理人为：</w:t>
      </w:r>
      <w:r>
        <w:rPr>
          <w:rFonts w:hint="eastAsia" w:ascii="宋体" w:hAnsi="宋体"/>
          <w:snapToGrid w:val="0"/>
          <w:kern w:val="0"/>
          <w:szCs w:val="21"/>
          <w:u w:val="single"/>
        </w:rPr>
        <w:t xml:space="preserve">        </w:t>
      </w:r>
      <w:r>
        <w:rPr>
          <w:rFonts w:hint="eastAsia" w:ascii="宋体" w:hAnsi="宋体"/>
          <w:snapToGrid w:val="0"/>
          <w:kern w:val="0"/>
          <w:szCs w:val="21"/>
        </w:rPr>
        <w:t>，身份证号码为</w:t>
      </w:r>
      <w:r>
        <w:rPr>
          <w:rFonts w:hint="eastAsia" w:ascii="宋体" w:hAnsi="宋体"/>
          <w:snapToGrid w:val="0"/>
          <w:kern w:val="0"/>
          <w:szCs w:val="21"/>
          <w:u w:val="single"/>
        </w:rPr>
        <w:t xml:space="preserve">        </w:t>
      </w:r>
      <w:r>
        <w:rPr>
          <w:rFonts w:ascii="宋体" w:hAnsi="宋体"/>
          <w:snapToGrid w:val="0"/>
          <w:kern w:val="0"/>
          <w:szCs w:val="21"/>
        </w:rPr>
        <w:t>。工期</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缺陷责任期</w:t>
      </w:r>
      <w:r>
        <w:rPr>
          <w:rFonts w:hint="eastAsia" w:ascii="宋体" w:hAnsi="宋体"/>
          <w:snapToGrid w:val="0"/>
          <w:kern w:val="0"/>
          <w:szCs w:val="21"/>
          <w:u w:val="single"/>
        </w:rPr>
        <w:t xml:space="preserve">        </w:t>
      </w:r>
      <w:r>
        <w:rPr>
          <w:rFonts w:hint="eastAsia" w:ascii="宋体" w:hAnsi="宋体"/>
          <w:snapToGrid w:val="0"/>
          <w:kern w:val="0"/>
          <w:szCs w:val="21"/>
        </w:rPr>
        <w:t>，</w:t>
      </w:r>
      <w:r>
        <w:rPr>
          <w:rFonts w:ascii="宋体" w:hAnsi="宋体"/>
          <w:snapToGrid w:val="0"/>
          <w:kern w:val="0"/>
          <w:szCs w:val="21"/>
        </w:rPr>
        <w:t xml:space="preserve"> 按合同约定实施和完成承包工程，修补工程中的任何缺陷，工程质量达到</w:t>
      </w:r>
      <w:r>
        <w:rPr>
          <w:rFonts w:ascii="宋体" w:hAnsi="宋体"/>
          <w:snapToGrid w:val="0"/>
          <w:kern w:val="0"/>
          <w:szCs w:val="21"/>
          <w:u w:val="single"/>
        </w:rPr>
        <w:tab/>
      </w:r>
      <w:r>
        <w:rPr>
          <w:rFonts w:ascii="宋体" w:hAnsi="宋体"/>
          <w:snapToGrid w:val="0"/>
          <w:kern w:val="0"/>
          <w:szCs w:val="21"/>
          <w:u w:val="single"/>
        </w:rPr>
        <w:tab/>
      </w:r>
      <w:r>
        <w:rPr>
          <w:rFonts w:ascii="宋体" w:hAnsi="宋体"/>
          <w:snapToGrid w:val="0"/>
          <w:kern w:val="0"/>
          <w:szCs w:val="21"/>
        </w:rPr>
        <w:t xml:space="preserve"> 。</w:t>
      </w:r>
    </w:p>
    <w:p w14:paraId="66AA4E6D">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w:t>
      </w:r>
      <w:r>
        <w:rPr>
          <w:rFonts w:hint="eastAsia" w:ascii="宋体" w:hAnsi="宋体"/>
          <w:snapToGrid w:val="0"/>
          <w:kern w:val="0"/>
          <w:szCs w:val="21"/>
        </w:rPr>
        <w:t xml:space="preserve">. </w:t>
      </w:r>
      <w:r>
        <w:rPr>
          <w:rFonts w:ascii="宋体" w:hAnsi="宋体"/>
          <w:snapToGrid w:val="0"/>
          <w:kern w:val="0"/>
          <w:szCs w:val="21"/>
        </w:rPr>
        <w:t>我方承诺在投标有效期内不修改、撤销投标文件。</w:t>
      </w:r>
    </w:p>
    <w:p w14:paraId="15B1C048">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3</w:t>
      </w:r>
      <w:r>
        <w:rPr>
          <w:rFonts w:hint="eastAsia" w:ascii="宋体" w:hAnsi="宋体"/>
          <w:snapToGrid w:val="0"/>
          <w:kern w:val="0"/>
          <w:szCs w:val="21"/>
        </w:rPr>
        <w:t xml:space="preserve">. </w:t>
      </w:r>
      <w:r>
        <w:rPr>
          <w:rFonts w:ascii="宋体" w:hAnsi="宋体"/>
          <w:snapToGrid w:val="0"/>
          <w:kern w:val="0"/>
          <w:szCs w:val="21"/>
        </w:rPr>
        <w:t>如我方中标：</w:t>
      </w:r>
    </w:p>
    <w:p w14:paraId="0FD9232A">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（1）我方承诺在收到中标通知书后，在中标通知书规定的期限内与你方签订合同。</w:t>
      </w:r>
    </w:p>
    <w:p w14:paraId="15AA7E7B">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（2）随同本投标函递交的投标函附录属于合同文件的组成部分。</w:t>
      </w:r>
    </w:p>
    <w:p w14:paraId="7C98D0E0">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（3）我方承诺按照</w:t>
      </w:r>
      <w:r>
        <w:rPr>
          <w:rFonts w:hint="eastAsia" w:ascii="宋体" w:hAnsi="宋体"/>
          <w:snapToGrid w:val="0"/>
          <w:kern w:val="0"/>
          <w:szCs w:val="21"/>
        </w:rPr>
        <w:t>采购</w:t>
      </w:r>
      <w:r>
        <w:rPr>
          <w:rFonts w:ascii="宋体" w:hAnsi="宋体"/>
          <w:snapToGrid w:val="0"/>
          <w:kern w:val="0"/>
          <w:szCs w:val="21"/>
        </w:rPr>
        <w:t>文件规定向你方递交履约担保。</w:t>
      </w:r>
    </w:p>
    <w:p w14:paraId="60119085">
      <w:pPr>
        <w:autoSpaceDE w:val="0"/>
        <w:autoSpaceDN w:val="0"/>
        <w:adjustRightInd w:val="0"/>
        <w:spacing w:line="400" w:lineRule="exact"/>
        <w:ind w:firstLine="420" w:firstLineChars="200"/>
        <w:rPr>
          <w:rFonts w:ascii="宋体" w:hAnsi="宋体"/>
          <w:snapToGrid w:val="0"/>
          <w:kern w:val="0"/>
          <w:sz w:val="10"/>
          <w:szCs w:val="10"/>
        </w:rPr>
      </w:pPr>
      <w:r>
        <w:rPr>
          <w:rFonts w:ascii="宋体" w:hAnsi="宋体"/>
          <w:snapToGrid w:val="0"/>
          <w:kern w:val="0"/>
          <w:szCs w:val="21"/>
        </w:rPr>
        <w:t>（4）我方承诺在合同约定的期限内完成并移交全部合同工程。</w:t>
      </w:r>
    </w:p>
    <w:p w14:paraId="45A76AEF">
      <w:pPr>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4</w:t>
      </w:r>
      <w:r>
        <w:rPr>
          <w:rFonts w:hint="eastAsia" w:ascii="宋体" w:hAnsi="宋体"/>
          <w:snapToGrid w:val="0"/>
          <w:kern w:val="0"/>
          <w:szCs w:val="21"/>
        </w:rPr>
        <w:t xml:space="preserve">. </w:t>
      </w:r>
      <w:r>
        <w:rPr>
          <w:rFonts w:ascii="宋体" w:hAnsi="宋体"/>
          <w:snapToGrid w:val="0"/>
          <w:kern w:val="0"/>
          <w:szCs w:val="21"/>
        </w:rPr>
        <w:t>我方</w:t>
      </w:r>
      <w:r>
        <w:rPr>
          <w:rFonts w:ascii="宋体" w:hAnsi="宋体"/>
          <w:snapToGrid w:val="0"/>
          <w:spacing w:val="-2"/>
          <w:kern w:val="0"/>
          <w:szCs w:val="21"/>
        </w:rPr>
        <w:t>在此声明，所递交的投标文件及有关资料内容完整、真实和准确，且不存在第二章“投标人</w:t>
      </w:r>
      <w:r>
        <w:rPr>
          <w:rFonts w:ascii="宋体" w:hAnsi="宋体"/>
          <w:snapToGrid w:val="0"/>
          <w:kern w:val="0"/>
          <w:szCs w:val="21"/>
        </w:rPr>
        <w:t>须知”第 1.4.3 项规定的任何一种情形。同时我方承诺接受</w:t>
      </w:r>
      <w:r>
        <w:rPr>
          <w:rFonts w:hint="eastAsia" w:ascii="宋体" w:hAnsi="宋体"/>
          <w:snapToGrid w:val="0"/>
          <w:kern w:val="0"/>
          <w:szCs w:val="21"/>
        </w:rPr>
        <w:t>采购</w:t>
      </w:r>
      <w:r>
        <w:rPr>
          <w:rFonts w:ascii="宋体" w:hAnsi="宋体"/>
          <w:snapToGrid w:val="0"/>
          <w:kern w:val="0"/>
          <w:szCs w:val="21"/>
        </w:rPr>
        <w:t>文件及附件、</w:t>
      </w:r>
      <w:r>
        <w:rPr>
          <w:rFonts w:hint="eastAsia" w:ascii="宋体" w:hAnsi="宋体"/>
          <w:snapToGrid w:val="0"/>
          <w:kern w:val="0"/>
          <w:szCs w:val="21"/>
        </w:rPr>
        <w:t>澄清</w:t>
      </w:r>
      <w:r>
        <w:rPr>
          <w:rFonts w:ascii="宋体" w:hAnsi="宋体"/>
          <w:snapToGrid w:val="0"/>
          <w:kern w:val="0"/>
          <w:szCs w:val="21"/>
        </w:rPr>
        <w:t>及</w:t>
      </w:r>
      <w:r>
        <w:rPr>
          <w:rFonts w:hint="eastAsia" w:ascii="宋体" w:hAnsi="宋体"/>
          <w:snapToGrid w:val="0"/>
          <w:kern w:val="0"/>
          <w:szCs w:val="21"/>
        </w:rPr>
        <w:t>修改</w:t>
      </w:r>
      <w:r>
        <w:rPr>
          <w:rFonts w:ascii="宋体" w:hAnsi="宋体"/>
          <w:snapToGrid w:val="0"/>
          <w:kern w:val="0"/>
          <w:szCs w:val="21"/>
        </w:rPr>
        <w:t>通知中所有的内容。</w:t>
      </w:r>
    </w:p>
    <w:p w14:paraId="48914353">
      <w:pPr>
        <w:tabs>
          <w:tab w:val="left" w:pos="5985"/>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5</w:t>
      </w:r>
      <w:r>
        <w:rPr>
          <w:rFonts w:hint="eastAsia" w:ascii="宋体" w:hAnsi="宋体"/>
          <w:snapToGrid w:val="0"/>
          <w:kern w:val="0"/>
          <w:szCs w:val="21"/>
        </w:rPr>
        <w:t xml:space="preserve">. </w:t>
      </w:r>
      <w:r>
        <w:rPr>
          <w:rFonts w:ascii="宋体" w:hAnsi="宋体"/>
          <w:snapToGrid w:val="0"/>
          <w:w w:val="200"/>
          <w:kern w:val="0"/>
          <w:szCs w:val="21"/>
          <w:u w:val="single"/>
        </w:rPr>
        <w:t xml:space="preserve"> </w:t>
      </w:r>
      <w:r>
        <w:rPr>
          <w:rFonts w:ascii="宋体" w:hAnsi="宋体"/>
          <w:snapToGrid w:val="0"/>
          <w:kern w:val="0"/>
          <w:szCs w:val="21"/>
          <w:u w:val="single"/>
        </w:rPr>
        <w:tab/>
      </w:r>
      <w:r>
        <w:rPr>
          <w:rFonts w:ascii="宋体" w:hAnsi="宋体"/>
          <w:snapToGrid w:val="0"/>
          <w:kern w:val="0"/>
          <w:szCs w:val="21"/>
          <w:u w:val="single"/>
        </w:rPr>
        <w:t>（其他补充说明）</w:t>
      </w:r>
      <w:r>
        <w:rPr>
          <w:rFonts w:ascii="宋体" w:hAnsi="宋体"/>
          <w:snapToGrid w:val="0"/>
          <w:kern w:val="0"/>
          <w:szCs w:val="21"/>
        </w:rPr>
        <w:t>。</w:t>
      </w:r>
    </w:p>
    <w:p w14:paraId="6542D179">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66F6CBA2">
      <w:pPr>
        <w:tabs>
          <w:tab w:val="left" w:pos="7140"/>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法定代表人</w:t>
      </w:r>
      <w:r>
        <w:rPr>
          <w:rFonts w:hint="eastAsia" w:ascii="宋体" w:hAnsi="宋体"/>
          <w:snapToGrid w:val="0"/>
          <w:kern w:val="0"/>
          <w:szCs w:val="21"/>
        </w:rPr>
        <w:t>或其委托代理人</w:t>
      </w:r>
      <w:r>
        <w:rPr>
          <w:rFonts w:ascii="宋体" w:hAnsi="宋体"/>
          <w:snapToGrid w:val="0"/>
          <w:kern w:val="0"/>
          <w:szCs w:val="21"/>
        </w:rPr>
        <w:t>：</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或盖章）</w:t>
      </w:r>
    </w:p>
    <w:p w14:paraId="2C2B730D">
      <w:pPr>
        <w:tabs>
          <w:tab w:val="left" w:pos="7035"/>
          <w:tab w:val="left" w:pos="7560"/>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地</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40BE0370">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网</w:t>
      </w:r>
      <w:r>
        <w:rPr>
          <w:rFonts w:hint="eastAsia" w:ascii="宋体" w:hAnsi="宋体"/>
          <w:snapToGrid w:val="0"/>
          <w:kern w:val="0"/>
          <w:szCs w:val="21"/>
        </w:rPr>
        <w:t xml:space="preserve">    </w:t>
      </w:r>
      <w:r>
        <w:rPr>
          <w:rFonts w:ascii="宋体" w:hAnsi="宋体"/>
          <w:snapToGrid w:val="0"/>
          <w:kern w:val="0"/>
          <w:szCs w:val="21"/>
        </w:rPr>
        <w:t>址：</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67E3257">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hint="eastAsia" w:ascii="宋体" w:hAnsi="宋体"/>
          <w:snapToGrid w:val="0"/>
          <w:kern w:val="0"/>
          <w:szCs w:val="21"/>
        </w:rPr>
        <w:t>单位电话（座机）：</w:t>
      </w:r>
      <w:r>
        <w:rPr>
          <w:rFonts w:hint="eastAsia" w:ascii="宋体" w:hAnsi="宋体"/>
          <w:snapToGrid w:val="0"/>
          <w:kern w:val="0"/>
          <w:szCs w:val="21"/>
          <w:u w:val="single"/>
        </w:rPr>
        <w:t xml:space="preserve">                      </w:t>
      </w:r>
      <w:r>
        <w:rPr>
          <w:rFonts w:hint="eastAsia" w:ascii="宋体" w:hAnsi="宋体"/>
          <w:snapToGrid w:val="0"/>
          <w:kern w:val="0"/>
          <w:szCs w:val="21"/>
        </w:rPr>
        <w:t>委托代理人电话（手机）：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p>
    <w:p w14:paraId="05B66B7E">
      <w:pPr>
        <w:tabs>
          <w:tab w:val="left" w:pos="8300"/>
        </w:tabs>
        <w:autoSpaceDE w:val="0"/>
        <w:autoSpaceDN w:val="0"/>
        <w:adjustRightInd w:val="0"/>
        <w:spacing w:line="400" w:lineRule="exact"/>
        <w:ind w:firstLine="420" w:firstLineChars="200"/>
        <w:rPr>
          <w:rFonts w:ascii="宋体" w:hAnsi="宋体"/>
          <w:snapToGrid w:val="0"/>
          <w:kern w:val="0"/>
          <w:szCs w:val="21"/>
        </w:rPr>
      </w:pPr>
      <w:r>
        <w:rPr>
          <w:rFonts w:ascii="宋体" w:hAnsi="宋体"/>
          <w:snapToGrid w:val="0"/>
          <w:kern w:val="0"/>
          <w:szCs w:val="21"/>
        </w:rPr>
        <w:t>传</w:t>
      </w:r>
      <w:r>
        <w:rPr>
          <w:rFonts w:hint="eastAsia" w:ascii="宋体" w:hAnsi="宋体"/>
          <w:snapToGrid w:val="0"/>
          <w:kern w:val="0"/>
          <w:szCs w:val="21"/>
        </w:rPr>
        <w:t xml:space="preserve">    </w:t>
      </w:r>
      <w:r>
        <w:rPr>
          <w:rFonts w:ascii="宋体" w:hAnsi="宋体"/>
          <w:snapToGrid w:val="0"/>
          <w:kern w:val="0"/>
          <w:szCs w:val="21"/>
        </w:rPr>
        <w:t>真：</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51663FF0">
      <w:pPr>
        <w:tabs>
          <w:tab w:val="left" w:pos="8300"/>
        </w:tabs>
        <w:autoSpaceDE w:val="0"/>
        <w:autoSpaceDN w:val="0"/>
        <w:adjustRightInd w:val="0"/>
        <w:spacing w:line="400" w:lineRule="exact"/>
        <w:ind w:firstLine="420" w:firstLineChars="200"/>
        <w:rPr>
          <w:rFonts w:ascii="宋体" w:hAnsi="宋体"/>
          <w:snapToGrid w:val="0"/>
          <w:kern w:val="0"/>
          <w:szCs w:val="21"/>
          <w:u w:val="single"/>
        </w:rPr>
      </w:pPr>
      <w:r>
        <w:rPr>
          <w:rFonts w:ascii="宋体" w:hAnsi="宋体"/>
          <w:snapToGrid w:val="0"/>
          <w:kern w:val="0"/>
          <w:szCs w:val="21"/>
        </w:rPr>
        <w:t>邮政编码：</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p>
    <w:p w14:paraId="36246FA8">
      <w:pPr>
        <w:tabs>
          <w:tab w:val="left" w:pos="8300"/>
        </w:tabs>
        <w:autoSpaceDE w:val="0"/>
        <w:autoSpaceDN w:val="0"/>
        <w:adjustRightInd w:val="0"/>
        <w:spacing w:line="400" w:lineRule="exact"/>
        <w:ind w:firstLine="400" w:firstLineChars="200"/>
        <w:rPr>
          <w:rFonts w:ascii="宋体" w:hAnsi="宋体"/>
          <w:snapToGrid w:val="0"/>
          <w:kern w:val="0"/>
          <w:sz w:val="20"/>
          <w:szCs w:val="20"/>
        </w:rPr>
      </w:pPr>
    </w:p>
    <w:p w14:paraId="33C85C81">
      <w:pPr>
        <w:tabs>
          <w:tab w:val="left" w:pos="8300"/>
        </w:tabs>
        <w:autoSpaceDE w:val="0"/>
        <w:autoSpaceDN w:val="0"/>
        <w:adjustRightInd w:val="0"/>
        <w:spacing w:line="400" w:lineRule="exact"/>
        <w:ind w:firstLine="420" w:firstLineChars="200"/>
        <w:jc w:val="right"/>
        <w:rPr>
          <w:rFonts w:ascii="宋体" w:hAnsi="宋体"/>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07C4D1C">
      <w:pPr>
        <w:tabs>
          <w:tab w:val="left" w:pos="8300"/>
        </w:tabs>
        <w:autoSpaceDE w:val="0"/>
        <w:autoSpaceDN w:val="0"/>
        <w:adjustRightInd w:val="0"/>
        <w:spacing w:line="400" w:lineRule="exact"/>
        <w:ind w:firstLine="420" w:firstLineChars="200"/>
        <w:jc w:val="right"/>
        <w:rPr>
          <w:rFonts w:ascii="宋体" w:hAnsi="宋体"/>
          <w:kern w:val="0"/>
          <w:szCs w:val="21"/>
        </w:rPr>
      </w:pPr>
    </w:p>
    <w:p w14:paraId="60D8CA4B">
      <w:pPr>
        <w:tabs>
          <w:tab w:val="left" w:pos="8300"/>
        </w:tabs>
        <w:autoSpaceDE w:val="0"/>
        <w:autoSpaceDN w:val="0"/>
        <w:adjustRightInd w:val="0"/>
        <w:spacing w:line="400" w:lineRule="exact"/>
        <w:ind w:firstLine="420" w:firstLineChars="200"/>
        <w:jc w:val="left"/>
        <w:rPr>
          <w:rFonts w:ascii="宋体" w:hAnsi="宋体"/>
          <w:snapToGrid w:val="0"/>
          <w:kern w:val="0"/>
          <w:szCs w:val="21"/>
        </w:rPr>
      </w:pPr>
      <w:r>
        <w:rPr>
          <w:rFonts w:hint="eastAsia" w:ascii="宋体" w:hAnsi="宋体"/>
          <w:snapToGrid w:val="0"/>
          <w:kern w:val="0"/>
          <w:szCs w:val="21"/>
        </w:rPr>
        <w:t>注：联合体投标的，应在本投标函第6条中列明联合体全体成员的单位全称；要求加盖单位法人章的地方由联合体牵头人使用 CA 数字证书加盖单位电子印章即可。</w:t>
      </w:r>
    </w:p>
    <w:p w14:paraId="172E4300">
      <w:pPr>
        <w:pStyle w:val="5"/>
        <w:spacing w:before="0" w:after="0" w:line="240" w:lineRule="auto"/>
        <w:jc w:val="center"/>
        <w:rPr>
          <w:rFonts w:ascii="宋体" w:hAnsi="宋体"/>
          <w:snapToGrid w:val="0"/>
          <w:kern w:val="0"/>
          <w:szCs w:val="21"/>
        </w:rPr>
      </w:pPr>
      <w:bookmarkStart w:id="1986" w:name="_Toc430530531"/>
      <w:bookmarkStart w:id="1987" w:name="_Toc224103496"/>
      <w:bookmarkStart w:id="1988" w:name="_Toc277082644"/>
      <w:bookmarkStart w:id="1989" w:name="_Toc287620815"/>
      <w:bookmarkStart w:id="1990" w:name="_Toc287607868"/>
      <w:r>
        <w:rPr>
          <w:rFonts w:ascii="宋体" w:hAnsi="宋体"/>
          <w:sz w:val="28"/>
        </w:rPr>
        <w:br w:type="page"/>
      </w:r>
      <w:bookmarkStart w:id="1991" w:name="_Toc534185832"/>
      <w:bookmarkStart w:id="1992" w:name="_Toc509218855"/>
      <w:bookmarkStart w:id="1993" w:name="_Toc2276"/>
      <w:r>
        <w:rPr>
          <w:rFonts w:ascii="宋体" w:hAnsi="宋体"/>
          <w:b w:val="0"/>
          <w:bCs w:val="0"/>
        </w:rPr>
        <w:t>（二）投标函附录</w:t>
      </w:r>
      <w:bookmarkEnd w:id="1986"/>
      <w:bookmarkEnd w:id="1987"/>
      <w:bookmarkEnd w:id="1988"/>
      <w:bookmarkEnd w:id="1989"/>
      <w:bookmarkEnd w:id="1990"/>
      <w:bookmarkEnd w:id="1991"/>
      <w:bookmarkEnd w:id="1992"/>
      <w:bookmarkEnd w:id="1993"/>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14:paraId="1DA864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3A2B1B1">
            <w:pPr>
              <w:autoSpaceDE w:val="0"/>
              <w:autoSpaceDN w:val="0"/>
              <w:adjustRightInd w:val="0"/>
              <w:jc w:val="center"/>
              <w:rPr>
                <w:rFonts w:ascii="宋体" w:hAnsi="宋体"/>
                <w:snapToGrid w:val="0"/>
                <w:kern w:val="0"/>
                <w:szCs w:val="21"/>
              </w:rPr>
            </w:pPr>
            <w:r>
              <w:rPr>
                <w:rFonts w:ascii="宋体" w:hAnsi="宋体"/>
                <w:snapToGrid w:val="0"/>
                <w:kern w:val="0"/>
                <w:szCs w:val="21"/>
              </w:rPr>
              <w:t>序号</w:t>
            </w:r>
          </w:p>
        </w:tc>
        <w:tc>
          <w:tcPr>
            <w:tcW w:w="2582" w:type="dxa"/>
            <w:vAlign w:val="center"/>
          </w:tcPr>
          <w:p w14:paraId="3B976124">
            <w:pPr>
              <w:autoSpaceDE w:val="0"/>
              <w:autoSpaceDN w:val="0"/>
              <w:adjustRightInd w:val="0"/>
              <w:jc w:val="center"/>
              <w:rPr>
                <w:rFonts w:ascii="宋体" w:hAnsi="宋体"/>
                <w:snapToGrid w:val="0"/>
                <w:kern w:val="0"/>
                <w:szCs w:val="21"/>
              </w:rPr>
            </w:pPr>
            <w:r>
              <w:rPr>
                <w:rFonts w:ascii="宋体" w:hAnsi="宋体"/>
                <w:snapToGrid w:val="0"/>
                <w:kern w:val="0"/>
                <w:szCs w:val="21"/>
              </w:rPr>
              <w:t>条款名称</w:t>
            </w:r>
          </w:p>
        </w:tc>
        <w:tc>
          <w:tcPr>
            <w:tcW w:w="2388" w:type="dxa"/>
            <w:vAlign w:val="center"/>
          </w:tcPr>
          <w:p w14:paraId="49F074E3">
            <w:pPr>
              <w:autoSpaceDE w:val="0"/>
              <w:autoSpaceDN w:val="0"/>
              <w:adjustRightInd w:val="0"/>
              <w:jc w:val="center"/>
              <w:rPr>
                <w:rFonts w:ascii="宋体" w:hAnsi="宋体"/>
                <w:snapToGrid w:val="0"/>
                <w:kern w:val="0"/>
                <w:szCs w:val="21"/>
              </w:rPr>
            </w:pPr>
            <w:r>
              <w:rPr>
                <w:rFonts w:ascii="宋体" w:hAnsi="宋体"/>
                <w:snapToGrid w:val="0"/>
                <w:kern w:val="0"/>
                <w:szCs w:val="21"/>
              </w:rPr>
              <w:t>合同条款号</w:t>
            </w:r>
          </w:p>
        </w:tc>
        <w:tc>
          <w:tcPr>
            <w:tcW w:w="2987" w:type="dxa"/>
            <w:vAlign w:val="center"/>
          </w:tcPr>
          <w:p w14:paraId="38813EE5">
            <w:pPr>
              <w:autoSpaceDE w:val="0"/>
              <w:autoSpaceDN w:val="0"/>
              <w:adjustRightInd w:val="0"/>
              <w:jc w:val="center"/>
              <w:rPr>
                <w:rFonts w:ascii="宋体" w:hAnsi="宋体"/>
                <w:snapToGrid w:val="0"/>
                <w:kern w:val="0"/>
                <w:szCs w:val="21"/>
              </w:rPr>
            </w:pPr>
            <w:r>
              <w:rPr>
                <w:rFonts w:ascii="宋体" w:hAnsi="宋体"/>
                <w:snapToGrid w:val="0"/>
                <w:kern w:val="0"/>
                <w:szCs w:val="21"/>
              </w:rPr>
              <w:t>约定内容</w:t>
            </w:r>
          </w:p>
        </w:tc>
        <w:tc>
          <w:tcPr>
            <w:tcW w:w="792" w:type="dxa"/>
            <w:vAlign w:val="center"/>
          </w:tcPr>
          <w:p w14:paraId="6305E747">
            <w:pPr>
              <w:autoSpaceDE w:val="0"/>
              <w:autoSpaceDN w:val="0"/>
              <w:adjustRightInd w:val="0"/>
              <w:jc w:val="center"/>
              <w:rPr>
                <w:rFonts w:ascii="宋体" w:hAnsi="宋体"/>
                <w:snapToGrid w:val="0"/>
                <w:kern w:val="0"/>
                <w:szCs w:val="21"/>
              </w:rPr>
            </w:pPr>
            <w:r>
              <w:rPr>
                <w:rFonts w:ascii="宋体" w:hAnsi="宋体"/>
                <w:snapToGrid w:val="0"/>
                <w:kern w:val="0"/>
                <w:szCs w:val="21"/>
              </w:rPr>
              <w:t>备注</w:t>
            </w:r>
          </w:p>
        </w:tc>
      </w:tr>
      <w:tr w14:paraId="292238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B7F7671">
            <w:pPr>
              <w:autoSpaceDE w:val="0"/>
              <w:autoSpaceDN w:val="0"/>
              <w:adjustRightInd w:val="0"/>
              <w:jc w:val="center"/>
              <w:rPr>
                <w:rFonts w:ascii="宋体" w:hAnsi="宋体"/>
                <w:snapToGrid w:val="0"/>
                <w:kern w:val="0"/>
                <w:szCs w:val="21"/>
              </w:rPr>
            </w:pPr>
            <w:r>
              <w:rPr>
                <w:rFonts w:ascii="宋体" w:hAnsi="宋体"/>
                <w:snapToGrid w:val="0"/>
                <w:kern w:val="0"/>
                <w:szCs w:val="21"/>
              </w:rPr>
              <w:t>1</w:t>
            </w:r>
          </w:p>
        </w:tc>
        <w:tc>
          <w:tcPr>
            <w:tcW w:w="2582" w:type="dxa"/>
            <w:vAlign w:val="center"/>
          </w:tcPr>
          <w:p w14:paraId="5E3DBAB6">
            <w:pPr>
              <w:autoSpaceDE w:val="0"/>
              <w:autoSpaceDN w:val="0"/>
              <w:adjustRightInd w:val="0"/>
              <w:jc w:val="center"/>
              <w:rPr>
                <w:rFonts w:ascii="宋体" w:hAnsi="宋体"/>
                <w:snapToGrid w:val="0"/>
                <w:kern w:val="0"/>
                <w:szCs w:val="21"/>
              </w:rPr>
            </w:pPr>
            <w:r>
              <w:rPr>
                <w:rFonts w:ascii="宋体" w:hAnsi="宋体"/>
                <w:snapToGrid w:val="0"/>
                <w:kern w:val="0"/>
                <w:szCs w:val="21"/>
              </w:rPr>
              <w:t>项目经理</w:t>
            </w:r>
          </w:p>
        </w:tc>
        <w:tc>
          <w:tcPr>
            <w:tcW w:w="2388" w:type="dxa"/>
            <w:vAlign w:val="center"/>
          </w:tcPr>
          <w:p w14:paraId="593462F3">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1.1.2.8</w:t>
            </w:r>
          </w:p>
        </w:tc>
        <w:tc>
          <w:tcPr>
            <w:tcW w:w="2987" w:type="dxa"/>
            <w:vAlign w:val="center"/>
          </w:tcPr>
          <w:p w14:paraId="6EEFADDE">
            <w:pPr>
              <w:tabs>
                <w:tab w:val="left" w:pos="2190"/>
              </w:tabs>
              <w:autoSpaceDE w:val="0"/>
              <w:autoSpaceDN w:val="0"/>
              <w:adjustRightInd w:val="0"/>
              <w:jc w:val="center"/>
              <w:rPr>
                <w:rFonts w:ascii="宋体" w:hAnsi="宋体"/>
                <w:snapToGrid w:val="0"/>
                <w:kern w:val="0"/>
                <w:szCs w:val="21"/>
                <w:u w:val="single"/>
              </w:rPr>
            </w:pPr>
            <w:r>
              <w:rPr>
                <w:rFonts w:ascii="宋体" w:hAnsi="宋体"/>
                <w:snapToGrid w:val="0"/>
                <w:kern w:val="0"/>
                <w:szCs w:val="21"/>
              </w:rPr>
              <w:t>姓名：</w:t>
            </w:r>
            <w:r>
              <w:rPr>
                <w:rFonts w:hint="eastAsia" w:ascii="宋体" w:hAnsi="宋体"/>
                <w:snapToGrid w:val="0"/>
                <w:kern w:val="0"/>
                <w:szCs w:val="21"/>
              </w:rPr>
              <w:t xml:space="preserve">    </w:t>
            </w:r>
          </w:p>
        </w:tc>
        <w:tc>
          <w:tcPr>
            <w:tcW w:w="792" w:type="dxa"/>
            <w:vAlign w:val="center"/>
          </w:tcPr>
          <w:p w14:paraId="1084228F">
            <w:pPr>
              <w:autoSpaceDE w:val="0"/>
              <w:autoSpaceDN w:val="0"/>
              <w:adjustRightInd w:val="0"/>
              <w:jc w:val="center"/>
              <w:rPr>
                <w:rFonts w:ascii="宋体" w:hAnsi="宋体"/>
                <w:snapToGrid w:val="0"/>
                <w:kern w:val="0"/>
                <w:szCs w:val="21"/>
              </w:rPr>
            </w:pPr>
          </w:p>
        </w:tc>
      </w:tr>
      <w:tr w14:paraId="5E44C5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102B87F">
            <w:pPr>
              <w:autoSpaceDE w:val="0"/>
              <w:autoSpaceDN w:val="0"/>
              <w:adjustRightInd w:val="0"/>
              <w:jc w:val="center"/>
              <w:rPr>
                <w:rFonts w:ascii="宋体" w:hAnsi="宋体"/>
                <w:snapToGrid w:val="0"/>
                <w:kern w:val="0"/>
                <w:szCs w:val="21"/>
              </w:rPr>
            </w:pPr>
            <w:r>
              <w:rPr>
                <w:rFonts w:ascii="宋体" w:hAnsi="宋体"/>
                <w:snapToGrid w:val="0"/>
                <w:kern w:val="0"/>
                <w:szCs w:val="21"/>
              </w:rPr>
              <w:t>2</w:t>
            </w:r>
          </w:p>
        </w:tc>
        <w:tc>
          <w:tcPr>
            <w:tcW w:w="2582" w:type="dxa"/>
            <w:vAlign w:val="center"/>
          </w:tcPr>
          <w:p w14:paraId="6F83E251">
            <w:pPr>
              <w:autoSpaceDE w:val="0"/>
              <w:autoSpaceDN w:val="0"/>
              <w:adjustRightInd w:val="0"/>
              <w:jc w:val="center"/>
              <w:rPr>
                <w:rFonts w:ascii="宋体" w:hAnsi="宋体"/>
                <w:snapToGrid w:val="0"/>
                <w:kern w:val="0"/>
                <w:szCs w:val="21"/>
              </w:rPr>
            </w:pPr>
            <w:r>
              <w:rPr>
                <w:rFonts w:ascii="宋体" w:hAnsi="宋体"/>
                <w:snapToGrid w:val="0"/>
                <w:kern w:val="0"/>
                <w:szCs w:val="21"/>
              </w:rPr>
              <w:t>工期</w:t>
            </w:r>
          </w:p>
        </w:tc>
        <w:tc>
          <w:tcPr>
            <w:tcW w:w="2388" w:type="dxa"/>
            <w:vAlign w:val="center"/>
          </w:tcPr>
          <w:p w14:paraId="1C2FF21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1.1.4.3</w:t>
            </w:r>
          </w:p>
        </w:tc>
        <w:tc>
          <w:tcPr>
            <w:tcW w:w="2987" w:type="dxa"/>
            <w:vAlign w:val="center"/>
          </w:tcPr>
          <w:p w14:paraId="688B2EE5">
            <w:pPr>
              <w:tabs>
                <w:tab w:val="left" w:pos="1560"/>
              </w:tabs>
              <w:autoSpaceDE w:val="0"/>
              <w:autoSpaceDN w:val="0"/>
              <w:adjustRightInd w:val="0"/>
              <w:jc w:val="center"/>
              <w:rPr>
                <w:rFonts w:ascii="宋体" w:hAnsi="宋体"/>
                <w:snapToGrid w:val="0"/>
                <w:kern w:val="0"/>
                <w:szCs w:val="21"/>
              </w:rPr>
            </w:pPr>
            <w:r>
              <w:rPr>
                <w:rFonts w:ascii="宋体" w:hAnsi="宋体"/>
                <w:snapToGrid w:val="0"/>
                <w:kern w:val="0"/>
                <w:szCs w:val="21"/>
              </w:rPr>
              <w:t>天数：</w:t>
            </w:r>
            <w:r>
              <w:rPr>
                <w:rFonts w:hint="eastAsia" w:ascii="宋体" w:hAnsi="宋体"/>
                <w:snapToGrid w:val="0"/>
                <w:kern w:val="0"/>
                <w:szCs w:val="21"/>
                <w:u w:val="single"/>
              </w:rPr>
              <w:t xml:space="preserve">    </w:t>
            </w:r>
          </w:p>
        </w:tc>
        <w:tc>
          <w:tcPr>
            <w:tcW w:w="792" w:type="dxa"/>
            <w:vAlign w:val="center"/>
          </w:tcPr>
          <w:p w14:paraId="0411FE1F">
            <w:pPr>
              <w:autoSpaceDE w:val="0"/>
              <w:autoSpaceDN w:val="0"/>
              <w:adjustRightInd w:val="0"/>
              <w:jc w:val="center"/>
              <w:rPr>
                <w:rFonts w:ascii="宋体" w:hAnsi="宋体"/>
                <w:snapToGrid w:val="0"/>
                <w:kern w:val="0"/>
                <w:szCs w:val="21"/>
              </w:rPr>
            </w:pPr>
          </w:p>
        </w:tc>
      </w:tr>
      <w:tr w14:paraId="4C45EB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0B3742CD">
            <w:pPr>
              <w:autoSpaceDE w:val="0"/>
              <w:autoSpaceDN w:val="0"/>
              <w:adjustRightInd w:val="0"/>
              <w:jc w:val="center"/>
              <w:rPr>
                <w:rFonts w:ascii="宋体" w:hAnsi="宋体"/>
                <w:snapToGrid w:val="0"/>
                <w:kern w:val="0"/>
                <w:szCs w:val="21"/>
              </w:rPr>
            </w:pPr>
            <w:r>
              <w:rPr>
                <w:rFonts w:ascii="宋体" w:hAnsi="宋体"/>
                <w:snapToGrid w:val="0"/>
                <w:kern w:val="0"/>
                <w:szCs w:val="21"/>
              </w:rPr>
              <w:t>3</w:t>
            </w:r>
          </w:p>
        </w:tc>
        <w:tc>
          <w:tcPr>
            <w:tcW w:w="2582" w:type="dxa"/>
            <w:vAlign w:val="center"/>
          </w:tcPr>
          <w:p w14:paraId="3EDBA0AC">
            <w:pPr>
              <w:autoSpaceDE w:val="0"/>
              <w:autoSpaceDN w:val="0"/>
              <w:adjustRightInd w:val="0"/>
              <w:jc w:val="center"/>
              <w:rPr>
                <w:rFonts w:ascii="宋体" w:hAnsi="宋体"/>
                <w:snapToGrid w:val="0"/>
                <w:kern w:val="0"/>
                <w:szCs w:val="21"/>
              </w:rPr>
            </w:pPr>
            <w:r>
              <w:rPr>
                <w:rFonts w:ascii="宋体" w:hAnsi="宋体"/>
                <w:snapToGrid w:val="0"/>
                <w:kern w:val="0"/>
                <w:szCs w:val="21"/>
              </w:rPr>
              <w:t>缺陷责任期</w:t>
            </w:r>
          </w:p>
        </w:tc>
        <w:tc>
          <w:tcPr>
            <w:tcW w:w="2388" w:type="dxa"/>
            <w:vAlign w:val="center"/>
          </w:tcPr>
          <w:p w14:paraId="1FD19B05">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1.1.4.4</w:t>
            </w:r>
          </w:p>
        </w:tc>
        <w:tc>
          <w:tcPr>
            <w:tcW w:w="2987" w:type="dxa"/>
            <w:vAlign w:val="center"/>
          </w:tcPr>
          <w:p w14:paraId="77DF649C">
            <w:pPr>
              <w:autoSpaceDE w:val="0"/>
              <w:autoSpaceDN w:val="0"/>
              <w:adjustRightInd w:val="0"/>
              <w:jc w:val="center"/>
              <w:rPr>
                <w:rFonts w:ascii="宋体" w:hAnsi="宋体"/>
                <w:snapToGrid w:val="0"/>
                <w:kern w:val="0"/>
                <w:szCs w:val="21"/>
              </w:rPr>
            </w:pPr>
          </w:p>
        </w:tc>
        <w:tc>
          <w:tcPr>
            <w:tcW w:w="792" w:type="dxa"/>
            <w:vAlign w:val="center"/>
          </w:tcPr>
          <w:p w14:paraId="49DAB26A">
            <w:pPr>
              <w:autoSpaceDE w:val="0"/>
              <w:autoSpaceDN w:val="0"/>
              <w:adjustRightInd w:val="0"/>
              <w:jc w:val="center"/>
              <w:rPr>
                <w:rFonts w:ascii="宋体" w:hAnsi="宋体"/>
                <w:snapToGrid w:val="0"/>
                <w:kern w:val="0"/>
                <w:szCs w:val="21"/>
              </w:rPr>
            </w:pPr>
          </w:p>
        </w:tc>
      </w:tr>
      <w:tr w14:paraId="292682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620174D0">
            <w:pPr>
              <w:autoSpaceDE w:val="0"/>
              <w:autoSpaceDN w:val="0"/>
              <w:adjustRightInd w:val="0"/>
              <w:jc w:val="center"/>
              <w:rPr>
                <w:rFonts w:ascii="宋体" w:hAnsi="宋体"/>
                <w:snapToGrid w:val="0"/>
                <w:kern w:val="0"/>
                <w:szCs w:val="21"/>
              </w:rPr>
            </w:pPr>
            <w:r>
              <w:rPr>
                <w:rFonts w:ascii="宋体" w:hAnsi="宋体"/>
                <w:snapToGrid w:val="0"/>
                <w:kern w:val="0"/>
                <w:szCs w:val="21"/>
              </w:rPr>
              <w:t>4</w:t>
            </w:r>
          </w:p>
        </w:tc>
        <w:tc>
          <w:tcPr>
            <w:tcW w:w="2582" w:type="dxa"/>
            <w:vAlign w:val="center"/>
          </w:tcPr>
          <w:p w14:paraId="081354D5">
            <w:pPr>
              <w:autoSpaceDE w:val="0"/>
              <w:autoSpaceDN w:val="0"/>
              <w:adjustRightInd w:val="0"/>
              <w:jc w:val="center"/>
              <w:rPr>
                <w:rFonts w:ascii="宋体" w:hAnsi="宋体"/>
                <w:snapToGrid w:val="0"/>
                <w:kern w:val="0"/>
                <w:szCs w:val="21"/>
              </w:rPr>
            </w:pPr>
            <w:r>
              <w:rPr>
                <w:rFonts w:ascii="宋体" w:hAnsi="宋体"/>
                <w:snapToGrid w:val="0"/>
                <w:kern w:val="0"/>
                <w:szCs w:val="21"/>
              </w:rPr>
              <w:t>分包</w:t>
            </w:r>
          </w:p>
        </w:tc>
        <w:tc>
          <w:tcPr>
            <w:tcW w:w="2388" w:type="dxa"/>
            <w:vAlign w:val="center"/>
          </w:tcPr>
          <w:p w14:paraId="6E3454F0">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3.5</w:t>
            </w:r>
          </w:p>
        </w:tc>
        <w:tc>
          <w:tcPr>
            <w:tcW w:w="2987" w:type="dxa"/>
            <w:vAlign w:val="center"/>
          </w:tcPr>
          <w:p w14:paraId="0D85D3AD">
            <w:pPr>
              <w:autoSpaceDE w:val="0"/>
              <w:autoSpaceDN w:val="0"/>
              <w:adjustRightInd w:val="0"/>
              <w:jc w:val="center"/>
              <w:rPr>
                <w:rFonts w:ascii="宋体" w:hAnsi="宋体"/>
                <w:snapToGrid w:val="0"/>
                <w:kern w:val="0"/>
                <w:szCs w:val="21"/>
              </w:rPr>
            </w:pPr>
          </w:p>
        </w:tc>
        <w:tc>
          <w:tcPr>
            <w:tcW w:w="792" w:type="dxa"/>
            <w:vAlign w:val="center"/>
          </w:tcPr>
          <w:p w14:paraId="7F379D31">
            <w:pPr>
              <w:autoSpaceDE w:val="0"/>
              <w:autoSpaceDN w:val="0"/>
              <w:adjustRightInd w:val="0"/>
              <w:jc w:val="center"/>
              <w:rPr>
                <w:rFonts w:ascii="宋体" w:hAnsi="宋体"/>
                <w:snapToGrid w:val="0"/>
                <w:kern w:val="0"/>
                <w:szCs w:val="21"/>
              </w:rPr>
            </w:pPr>
          </w:p>
        </w:tc>
      </w:tr>
      <w:tr w14:paraId="39A2F7A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1B923F57">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2827E2C5">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2CF51138">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58F43108">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06892F09">
            <w:pPr>
              <w:autoSpaceDE w:val="0"/>
              <w:autoSpaceDN w:val="0"/>
              <w:adjustRightInd w:val="0"/>
              <w:jc w:val="center"/>
              <w:rPr>
                <w:rFonts w:ascii="宋体" w:hAnsi="宋体"/>
                <w:snapToGrid w:val="0"/>
                <w:kern w:val="0"/>
                <w:szCs w:val="21"/>
              </w:rPr>
            </w:pPr>
          </w:p>
        </w:tc>
      </w:tr>
      <w:tr w14:paraId="65BC175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14:paraId="53548356">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582" w:type="dxa"/>
            <w:vAlign w:val="center"/>
          </w:tcPr>
          <w:p w14:paraId="6FCFAD3A">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388" w:type="dxa"/>
            <w:vAlign w:val="center"/>
          </w:tcPr>
          <w:p w14:paraId="46DD659C">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2987" w:type="dxa"/>
            <w:vAlign w:val="center"/>
          </w:tcPr>
          <w:p w14:paraId="080182B2">
            <w:pPr>
              <w:tabs>
                <w:tab w:val="left" w:pos="2051"/>
              </w:tabs>
              <w:autoSpaceDE w:val="0"/>
              <w:autoSpaceDN w:val="0"/>
              <w:adjustRightInd w:val="0"/>
              <w:jc w:val="center"/>
              <w:rPr>
                <w:rFonts w:ascii="宋体" w:hAnsi="宋体"/>
                <w:snapToGrid w:val="0"/>
                <w:kern w:val="0"/>
                <w:szCs w:val="21"/>
              </w:rPr>
            </w:pPr>
            <w:r>
              <w:rPr>
                <w:rFonts w:ascii="宋体" w:hAnsi="宋体"/>
                <w:snapToGrid w:val="0"/>
                <w:kern w:val="0"/>
                <w:szCs w:val="21"/>
              </w:rPr>
              <w:t>……</w:t>
            </w:r>
          </w:p>
        </w:tc>
        <w:tc>
          <w:tcPr>
            <w:tcW w:w="792" w:type="dxa"/>
            <w:vAlign w:val="center"/>
          </w:tcPr>
          <w:p w14:paraId="545814A0">
            <w:pPr>
              <w:autoSpaceDE w:val="0"/>
              <w:autoSpaceDN w:val="0"/>
              <w:adjustRightInd w:val="0"/>
              <w:jc w:val="center"/>
              <w:rPr>
                <w:rFonts w:ascii="宋体" w:hAnsi="宋体"/>
                <w:snapToGrid w:val="0"/>
                <w:kern w:val="0"/>
                <w:szCs w:val="21"/>
              </w:rPr>
            </w:pPr>
          </w:p>
        </w:tc>
      </w:tr>
    </w:tbl>
    <w:p w14:paraId="68C321B6">
      <w:pPr>
        <w:spacing w:line="360" w:lineRule="auto"/>
        <w:rPr>
          <w:rFonts w:ascii="宋体" w:hAnsi="宋体"/>
          <w:snapToGrid w:val="0"/>
          <w:w w:val="99"/>
        </w:rPr>
      </w:pPr>
    </w:p>
    <w:p w14:paraId="6DB7D22A">
      <w:pPr>
        <w:spacing w:line="360" w:lineRule="auto"/>
        <w:rPr>
          <w:rFonts w:ascii="宋体" w:hAnsi="宋体"/>
          <w:snapToGrid w:val="0"/>
          <w:kern w:val="0"/>
          <w:sz w:val="32"/>
          <w:szCs w:val="32"/>
        </w:rPr>
      </w:pPr>
    </w:p>
    <w:p w14:paraId="17E57E19">
      <w:pPr>
        <w:spacing w:line="360" w:lineRule="auto"/>
        <w:rPr>
          <w:rFonts w:ascii="宋体" w:hAnsi="宋体"/>
          <w:snapToGrid w:val="0"/>
        </w:rPr>
      </w:pPr>
    </w:p>
    <w:p w14:paraId="3378B1F4">
      <w:pPr>
        <w:tabs>
          <w:tab w:val="left" w:pos="7140"/>
          <w:tab w:val="left" w:pos="7560"/>
          <w:tab w:val="left" w:pos="8300"/>
        </w:tabs>
        <w:autoSpaceDE w:val="0"/>
        <w:autoSpaceDN w:val="0"/>
        <w:adjustRightInd w:val="0"/>
        <w:spacing w:line="360" w:lineRule="auto"/>
        <w:ind w:right="210" w:firstLine="2396" w:firstLineChars="1141"/>
        <w:rPr>
          <w:rFonts w:ascii="宋体" w:hAnsi="宋体"/>
          <w:snapToGrid w:val="0"/>
          <w:kern w:val="0"/>
          <w:szCs w:val="21"/>
        </w:rPr>
      </w:pPr>
      <w:r>
        <w:rPr>
          <w:rFonts w:ascii="宋体" w:hAnsi="宋体"/>
          <w:snapToGrid w:val="0"/>
          <w:kern w:val="0"/>
          <w:szCs w:val="21"/>
        </w:rPr>
        <w:t>投  标  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u w:val="single"/>
        </w:rPr>
        <w:t xml:space="preserve">  </w:t>
      </w:r>
      <w:r>
        <w:rPr>
          <w:rFonts w:ascii="宋体" w:hAnsi="宋体"/>
          <w:snapToGrid w:val="0"/>
          <w:kern w:val="0"/>
          <w:szCs w:val="21"/>
        </w:rPr>
        <w:t xml:space="preserve">（盖单位法人章） </w:t>
      </w:r>
    </w:p>
    <w:p w14:paraId="73D10334">
      <w:pPr>
        <w:tabs>
          <w:tab w:val="left" w:pos="7140"/>
          <w:tab w:val="left" w:pos="7560"/>
          <w:tab w:val="left" w:pos="8300"/>
        </w:tabs>
        <w:autoSpaceDE w:val="0"/>
        <w:autoSpaceDN w:val="0"/>
        <w:adjustRightInd w:val="0"/>
        <w:spacing w:line="360" w:lineRule="auto"/>
        <w:ind w:right="210" w:firstLine="1984" w:firstLineChars="945"/>
        <w:rPr>
          <w:rFonts w:ascii="宋体" w:hAnsi="宋体"/>
          <w:snapToGrid w:val="0"/>
          <w:kern w:val="0"/>
          <w:szCs w:val="21"/>
        </w:rPr>
      </w:pPr>
      <w:r>
        <w:rPr>
          <w:rFonts w:hint="eastAsia" w:ascii="宋体" w:hAnsi="宋体"/>
          <w:snapToGrid w:val="0"/>
          <w:kern w:val="0"/>
          <w:szCs w:val="21"/>
        </w:rPr>
        <w:t xml:space="preserve">   </w:t>
      </w:r>
    </w:p>
    <w:p w14:paraId="044C82CF">
      <w:pPr>
        <w:tabs>
          <w:tab w:val="left" w:pos="7140"/>
          <w:tab w:val="left" w:pos="7560"/>
          <w:tab w:val="left" w:pos="8300"/>
        </w:tabs>
        <w:autoSpaceDE w:val="0"/>
        <w:autoSpaceDN w:val="0"/>
        <w:adjustRightInd w:val="0"/>
        <w:spacing w:line="360" w:lineRule="auto"/>
        <w:ind w:right="210" w:firstLine="2415" w:firstLineChars="1150"/>
        <w:rPr>
          <w:rFonts w:ascii="宋体" w:hAnsi="宋体"/>
          <w:snapToGrid w:val="0"/>
          <w:kern w:val="0"/>
          <w:szCs w:val="21"/>
        </w:rPr>
      </w:pPr>
      <w:r>
        <w:rPr>
          <w:rFonts w:ascii="宋体" w:hAnsi="宋体"/>
          <w:snapToGrid w:val="0"/>
          <w:kern w:val="0"/>
          <w:szCs w:val="21"/>
        </w:rPr>
        <w:t>法定代表人或其委托代理人：</w:t>
      </w:r>
      <w:r>
        <w:rPr>
          <w:rFonts w:ascii="宋体" w:hAnsi="宋体"/>
          <w:snapToGrid w:val="0"/>
          <w:kern w:val="0"/>
          <w:szCs w:val="21"/>
          <w:u w:val="single"/>
        </w:rPr>
        <w:t xml:space="preserve">         </w:t>
      </w:r>
      <w:r>
        <w:rPr>
          <w:rFonts w:hint="eastAsia" w:ascii="宋体" w:hAnsi="宋体"/>
          <w:snapToGrid w:val="0"/>
          <w:kern w:val="0"/>
          <w:szCs w:val="21"/>
          <w:u w:val="single"/>
        </w:rPr>
        <w:t xml:space="preserve">      </w:t>
      </w:r>
      <w:r>
        <w:rPr>
          <w:rFonts w:ascii="宋体" w:hAnsi="宋体"/>
          <w:snapToGrid w:val="0"/>
          <w:kern w:val="0"/>
          <w:szCs w:val="21"/>
        </w:rPr>
        <w:t>（</w:t>
      </w:r>
      <w:r>
        <w:rPr>
          <w:rFonts w:hint="eastAsia" w:ascii="宋体" w:hAnsi="宋体"/>
          <w:snapToGrid w:val="0"/>
          <w:kern w:val="0"/>
          <w:szCs w:val="21"/>
        </w:rPr>
        <w:t>签字</w:t>
      </w:r>
      <w:r>
        <w:rPr>
          <w:rFonts w:ascii="宋体" w:hAnsi="宋体"/>
          <w:snapToGrid w:val="0"/>
          <w:kern w:val="0"/>
          <w:szCs w:val="21"/>
        </w:rPr>
        <w:t xml:space="preserve">或盖章） </w:t>
      </w:r>
    </w:p>
    <w:p w14:paraId="55AC860E">
      <w:pPr>
        <w:tabs>
          <w:tab w:val="left" w:pos="7140"/>
          <w:tab w:val="left" w:pos="7560"/>
          <w:tab w:val="left" w:pos="8300"/>
        </w:tabs>
        <w:autoSpaceDE w:val="0"/>
        <w:autoSpaceDN w:val="0"/>
        <w:adjustRightInd w:val="0"/>
        <w:spacing w:line="360" w:lineRule="auto"/>
        <w:ind w:right="210" w:firstLine="1995" w:firstLineChars="950"/>
        <w:rPr>
          <w:rFonts w:ascii="宋体" w:hAnsi="宋体"/>
          <w:snapToGrid w:val="0"/>
          <w:kern w:val="0"/>
          <w:szCs w:val="21"/>
        </w:rPr>
      </w:pPr>
    </w:p>
    <w:p w14:paraId="0B842669">
      <w:pPr>
        <w:pStyle w:val="5"/>
        <w:spacing w:before="0" w:after="0" w:line="240" w:lineRule="auto"/>
        <w:jc w:val="center"/>
        <w:rPr>
          <w:rFonts w:ascii="宋体" w:hAnsi="宋体"/>
          <w:snapToGrid w:val="0"/>
          <w:kern w:val="0"/>
          <w:szCs w:val="21"/>
        </w:rPr>
      </w:pPr>
      <w:r>
        <w:rPr>
          <w:rFonts w:ascii="宋体" w:hAnsi="宋体"/>
          <w:snapToGrid w:val="0"/>
        </w:rPr>
        <w:br w:type="page"/>
      </w:r>
      <w:bookmarkStart w:id="1994" w:name="_Toc287607869"/>
      <w:bookmarkStart w:id="1995" w:name="_Toc224103497"/>
      <w:bookmarkStart w:id="1996" w:name="_Toc287620816"/>
      <w:bookmarkStart w:id="1997" w:name="_Toc19159"/>
      <w:bookmarkStart w:id="1998" w:name="_Toc430530532"/>
      <w:bookmarkStart w:id="1999" w:name="_Toc277082645"/>
      <w:r>
        <w:rPr>
          <w:rFonts w:ascii="宋体" w:hAnsi="宋体"/>
          <w:b w:val="0"/>
          <w:bCs w:val="0"/>
        </w:rPr>
        <w:t>（三）</w:t>
      </w:r>
      <w:r>
        <w:rPr>
          <w:rFonts w:hint="eastAsia" w:ascii="宋体" w:hAnsi="宋体"/>
          <w:b w:val="0"/>
          <w:bCs w:val="0"/>
        </w:rPr>
        <w:t>法定代表人身份证明或附有法定代表人身份证明的授权委托书</w:t>
      </w:r>
      <w:bookmarkEnd w:id="1994"/>
      <w:bookmarkEnd w:id="1995"/>
      <w:bookmarkEnd w:id="1996"/>
      <w:bookmarkEnd w:id="1997"/>
      <w:bookmarkEnd w:id="1998"/>
      <w:bookmarkEnd w:id="1999"/>
    </w:p>
    <w:p w14:paraId="36B08E94">
      <w:pPr>
        <w:spacing w:line="480" w:lineRule="auto"/>
        <w:jc w:val="center"/>
        <w:rPr>
          <w:rFonts w:ascii="宋体" w:hAnsi="宋体"/>
          <w:sz w:val="28"/>
        </w:rPr>
      </w:pPr>
      <w:r>
        <w:rPr>
          <w:rFonts w:hint="eastAsia" w:ascii="宋体" w:hAnsi="宋体"/>
          <w:sz w:val="28"/>
        </w:rPr>
        <w:t>法定代表人身份证明</w:t>
      </w:r>
    </w:p>
    <w:p w14:paraId="58E6979C">
      <w:pPr>
        <w:spacing w:line="480" w:lineRule="auto"/>
        <w:jc w:val="center"/>
        <w:rPr>
          <w:rFonts w:ascii="宋体" w:hAnsi="宋体"/>
        </w:rPr>
      </w:pPr>
    </w:p>
    <w:p w14:paraId="2D741CFD">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52774F35">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772A307">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16BE9915">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0C826F01">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C68DA4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56A6549C">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7A407A0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3CAEAFF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4628458A">
      <w:pPr>
        <w:autoSpaceDE w:val="0"/>
        <w:autoSpaceDN w:val="0"/>
        <w:adjustRightInd w:val="0"/>
        <w:snapToGrid w:val="0"/>
        <w:spacing w:line="360" w:lineRule="auto"/>
        <w:jc w:val="left"/>
        <w:rPr>
          <w:rFonts w:ascii="宋体" w:hAnsi="宋体"/>
          <w:szCs w:val="21"/>
        </w:rPr>
      </w:pPr>
    </w:p>
    <w:p w14:paraId="26EFAD0C">
      <w:pPr>
        <w:pStyle w:val="2"/>
        <w:spacing w:after="0" w:line="360" w:lineRule="auto"/>
        <w:rPr>
          <w:rFonts w:ascii="宋体" w:hAnsi="宋体"/>
          <w:szCs w:val="21"/>
        </w:rPr>
      </w:pPr>
    </w:p>
    <w:p w14:paraId="29F178C9">
      <w:pPr>
        <w:pStyle w:val="2"/>
        <w:spacing w:after="0" w:line="360" w:lineRule="auto"/>
        <w:rPr>
          <w:rFonts w:ascii="宋体" w:hAnsi="宋体"/>
          <w:szCs w:val="21"/>
        </w:rPr>
      </w:pPr>
    </w:p>
    <w:p w14:paraId="74D5D9EE">
      <w:pPr>
        <w:pStyle w:val="2"/>
        <w:spacing w:after="0" w:line="360" w:lineRule="auto"/>
        <w:rPr>
          <w:rFonts w:ascii="宋体" w:hAnsi="宋体"/>
          <w:szCs w:val="21"/>
        </w:rPr>
      </w:pPr>
    </w:p>
    <w:p w14:paraId="72C24A1D">
      <w:pPr>
        <w:pStyle w:val="2"/>
        <w:spacing w:after="0" w:line="360" w:lineRule="auto"/>
        <w:rPr>
          <w:rFonts w:ascii="宋体" w:hAnsi="宋体"/>
          <w:szCs w:val="21"/>
        </w:rPr>
      </w:pPr>
    </w:p>
    <w:p w14:paraId="7A1BE138">
      <w:pPr>
        <w:pStyle w:val="2"/>
        <w:spacing w:after="0" w:line="360" w:lineRule="auto"/>
        <w:rPr>
          <w:rFonts w:ascii="宋体" w:hAnsi="宋体"/>
          <w:szCs w:val="21"/>
        </w:rPr>
      </w:pPr>
    </w:p>
    <w:p w14:paraId="5191BCBB">
      <w:pPr>
        <w:tabs>
          <w:tab w:val="left" w:pos="5475"/>
        </w:tabs>
        <w:autoSpaceDE w:val="0"/>
        <w:autoSpaceDN w:val="0"/>
        <w:adjustRightInd w:val="0"/>
        <w:snapToGrid w:val="0"/>
        <w:spacing w:line="480" w:lineRule="auto"/>
        <w:ind w:firstLine="372" w:firstLineChars="186"/>
        <w:jc w:val="left"/>
        <w:rPr>
          <w:rFonts w:ascii="宋体" w:hAnsi="宋体"/>
          <w:kern w:val="0"/>
          <w:sz w:val="20"/>
          <w:szCs w:val="20"/>
        </w:rPr>
      </w:pPr>
    </w:p>
    <w:p w14:paraId="34EB2E6B">
      <w:pPr>
        <w:tabs>
          <w:tab w:val="left" w:pos="5460"/>
        </w:tabs>
        <w:autoSpaceDE w:val="0"/>
        <w:autoSpaceDN w:val="0"/>
        <w:adjustRightInd w:val="0"/>
        <w:snapToGrid w:val="0"/>
        <w:spacing w:line="480" w:lineRule="auto"/>
        <w:ind w:firstLine="21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5B23A367">
      <w:pPr>
        <w:autoSpaceDE w:val="0"/>
        <w:autoSpaceDN w:val="0"/>
        <w:adjustRightInd w:val="0"/>
        <w:snapToGrid w:val="0"/>
        <w:spacing w:line="480" w:lineRule="auto"/>
        <w:jc w:val="left"/>
        <w:rPr>
          <w:rFonts w:ascii="宋体" w:hAnsi="宋体"/>
          <w:kern w:val="0"/>
          <w:sz w:val="20"/>
          <w:szCs w:val="20"/>
        </w:rPr>
      </w:pPr>
    </w:p>
    <w:p w14:paraId="2EED7756">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2B328EB">
      <w:pPr>
        <w:autoSpaceDE w:val="0"/>
        <w:autoSpaceDN w:val="0"/>
        <w:adjustRightInd w:val="0"/>
        <w:snapToGrid w:val="0"/>
        <w:spacing w:line="360" w:lineRule="auto"/>
        <w:jc w:val="left"/>
        <w:rPr>
          <w:rFonts w:ascii="宋体" w:hAnsi="宋体"/>
          <w:kern w:val="0"/>
        </w:rPr>
      </w:pPr>
    </w:p>
    <w:p w14:paraId="54185803">
      <w:pPr>
        <w:autoSpaceDE w:val="0"/>
        <w:autoSpaceDN w:val="0"/>
        <w:adjustRightInd w:val="0"/>
        <w:snapToGrid w:val="0"/>
        <w:spacing w:line="360" w:lineRule="auto"/>
        <w:jc w:val="left"/>
        <w:rPr>
          <w:rFonts w:ascii="宋体" w:hAnsi="宋体"/>
          <w:kern w:val="0"/>
        </w:rPr>
      </w:pPr>
    </w:p>
    <w:p w14:paraId="09D28314">
      <w:pPr>
        <w:spacing w:line="360" w:lineRule="auto"/>
        <w:ind w:firstLine="420" w:firstLineChars="200"/>
        <w:rPr>
          <w:rFonts w:ascii="宋体" w:hAnsi="宋体"/>
        </w:rPr>
      </w:pPr>
      <w:r>
        <w:rPr>
          <w:rFonts w:ascii="宋体" w:hAnsi="宋体"/>
        </w:rPr>
        <w:t>注：法定代表人身份证明需按上述格式填写完整，不可缺少内容。在此基础上增加内容的不影响其有效性。</w:t>
      </w:r>
    </w:p>
    <w:p w14:paraId="3A854C63">
      <w:pPr>
        <w:spacing w:line="360" w:lineRule="auto"/>
        <w:ind w:firstLine="420" w:firstLineChars="200"/>
        <w:rPr>
          <w:rFonts w:ascii="宋体" w:hAnsi="宋体"/>
        </w:rPr>
      </w:pPr>
    </w:p>
    <w:p w14:paraId="26720D1E">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kern w:val="0"/>
        </w:rPr>
        <w:br w:type="page"/>
      </w:r>
      <w:r>
        <w:rPr>
          <w:rFonts w:ascii="宋体" w:hAnsi="宋体"/>
          <w:snapToGrid w:val="0"/>
          <w:kern w:val="0"/>
          <w:sz w:val="32"/>
          <w:szCs w:val="32"/>
        </w:rPr>
        <w:t>授权委托书</w:t>
      </w:r>
    </w:p>
    <w:p w14:paraId="36D65D9D">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2C03BCED">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185F2202">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1A89ECDC">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067E7EAA">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2315A001">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837699F">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5BAF75F8">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w:t>
      </w:r>
    </w:p>
    <w:p w14:paraId="68FB5B42">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8F69543">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53718125">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183EC3D7">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011AAC88">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5413D0B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57DCB3E3">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E9AC1E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A70D94D">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90EA62E">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2F6CAC7">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06775AE">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343BDCFF">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5E93A80F">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49D91C9B">
      <w:pPr>
        <w:tabs>
          <w:tab w:val="left" w:pos="5760"/>
        </w:tabs>
        <w:autoSpaceDE w:val="0"/>
        <w:autoSpaceDN w:val="0"/>
        <w:adjustRightInd w:val="0"/>
        <w:spacing w:line="360" w:lineRule="auto"/>
        <w:ind w:firstLine="420" w:firstLineChars="200"/>
        <w:rPr>
          <w:rFonts w:ascii="宋体" w:hAnsi="宋体"/>
          <w:kern w:val="0"/>
        </w:rPr>
      </w:pPr>
    </w:p>
    <w:p w14:paraId="3663700B">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24AAF898">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1B3D145D">
      <w:pPr>
        <w:spacing w:line="360" w:lineRule="auto"/>
        <w:ind w:firstLine="420" w:firstLineChars="200"/>
        <w:rPr>
          <w:rFonts w:ascii="宋体" w:hAnsi="宋体"/>
        </w:rPr>
      </w:pPr>
      <w:r>
        <w:rPr>
          <w:rFonts w:ascii="宋体" w:hAnsi="宋体"/>
        </w:rPr>
        <w:br w:type="page"/>
      </w:r>
    </w:p>
    <w:p w14:paraId="5061DD60">
      <w:pPr>
        <w:pStyle w:val="5"/>
        <w:spacing w:before="0" w:after="0" w:line="240" w:lineRule="auto"/>
        <w:jc w:val="center"/>
        <w:rPr>
          <w:rFonts w:ascii="宋体" w:hAnsi="宋体"/>
          <w:b w:val="0"/>
          <w:bCs w:val="0"/>
        </w:rPr>
      </w:pPr>
      <w:bookmarkStart w:id="2000" w:name="_Toc224103498"/>
      <w:bookmarkStart w:id="2001" w:name="_Toc287620817"/>
      <w:bookmarkStart w:id="2002" w:name="_Toc287607870"/>
      <w:bookmarkStart w:id="2003" w:name="_Toc277082646"/>
      <w:bookmarkStart w:id="2004" w:name="_Toc6203"/>
      <w:bookmarkStart w:id="2005" w:name="_Toc430530533"/>
      <w:r>
        <w:rPr>
          <w:rFonts w:ascii="宋体" w:hAnsi="宋体"/>
          <w:b w:val="0"/>
          <w:bCs w:val="0"/>
        </w:rPr>
        <w:t>（四）</w:t>
      </w:r>
      <w:bookmarkEnd w:id="2000"/>
      <w:bookmarkEnd w:id="2001"/>
      <w:bookmarkEnd w:id="2002"/>
      <w:bookmarkEnd w:id="2003"/>
      <w:bookmarkStart w:id="2006" w:name="_Toc224103499"/>
      <w:bookmarkStart w:id="2007" w:name="_Toc277082647"/>
      <w:bookmarkStart w:id="2008" w:name="_Toc287607871"/>
      <w:bookmarkStart w:id="2009" w:name="_Toc287620818"/>
      <w:r>
        <w:rPr>
          <w:rFonts w:hint="eastAsia" w:ascii="宋体" w:hAnsi="宋体"/>
          <w:b w:val="0"/>
          <w:bCs w:val="0"/>
        </w:rPr>
        <w:t>低价风险担保缴纳承诺书</w:t>
      </w:r>
      <w:bookmarkEnd w:id="2004"/>
    </w:p>
    <w:p w14:paraId="5F7527E0">
      <w:pPr>
        <w:autoSpaceDE w:val="0"/>
        <w:autoSpaceDN w:val="0"/>
        <w:adjustRightInd w:val="0"/>
        <w:snapToGrid w:val="0"/>
        <w:spacing w:line="360" w:lineRule="auto"/>
        <w:jc w:val="center"/>
        <w:rPr>
          <w:rFonts w:ascii="宋体" w:hAnsi="宋体"/>
          <w:snapToGrid w:val="0"/>
          <w:kern w:val="0"/>
          <w:sz w:val="32"/>
          <w:szCs w:val="32"/>
        </w:rPr>
      </w:pPr>
    </w:p>
    <w:p w14:paraId="1CE42C6B">
      <w:pPr>
        <w:autoSpaceDE w:val="0"/>
        <w:autoSpaceDN w:val="0"/>
        <w:adjustRightInd w:val="0"/>
        <w:snapToGrid w:val="0"/>
        <w:spacing w:line="360" w:lineRule="auto"/>
        <w:jc w:val="center"/>
        <w:rPr>
          <w:rFonts w:ascii="宋体" w:hAnsi="宋体"/>
          <w:snapToGrid w:val="0"/>
          <w:kern w:val="0"/>
          <w:sz w:val="32"/>
          <w:szCs w:val="32"/>
        </w:rPr>
      </w:pPr>
      <w:r>
        <w:rPr>
          <w:rFonts w:hint="eastAsia" w:ascii="宋体" w:hAnsi="宋体"/>
          <w:snapToGrid w:val="0"/>
          <w:kern w:val="0"/>
          <w:sz w:val="32"/>
          <w:szCs w:val="32"/>
        </w:rPr>
        <w:t>（投标报价低于采购项目最高限价的85%时采用）</w:t>
      </w:r>
    </w:p>
    <w:p w14:paraId="7F8EF6FB">
      <w:pPr>
        <w:autoSpaceDE w:val="0"/>
        <w:autoSpaceDN w:val="0"/>
        <w:adjustRightInd w:val="0"/>
        <w:snapToGrid w:val="0"/>
        <w:spacing w:line="360" w:lineRule="auto"/>
        <w:jc w:val="center"/>
        <w:rPr>
          <w:rFonts w:ascii="宋体" w:hAnsi="宋体"/>
          <w:snapToGrid w:val="0"/>
          <w:kern w:val="0"/>
          <w:sz w:val="32"/>
          <w:szCs w:val="32"/>
        </w:rPr>
      </w:pPr>
    </w:p>
    <w:p w14:paraId="0EE437E9">
      <w:pPr>
        <w:autoSpaceDE w:val="0"/>
        <w:autoSpaceDN w:val="0"/>
        <w:adjustRightInd w:val="0"/>
        <w:snapToGrid w:val="0"/>
        <w:spacing w:line="360" w:lineRule="auto"/>
        <w:rPr>
          <w:rFonts w:ascii="宋体" w:hAnsi="宋体" w:cs="宋体"/>
          <w:snapToGrid w:val="0"/>
          <w:kern w:val="0"/>
          <w:szCs w:val="21"/>
        </w:rPr>
      </w:pPr>
      <w:r>
        <w:rPr>
          <w:rFonts w:hint="eastAsia" w:ascii="宋体" w:hAnsi="宋体" w:cs="宋体"/>
          <w:snapToGrid w:val="0"/>
          <w:kern w:val="0"/>
          <w:szCs w:val="21"/>
          <w:u w:val="single"/>
        </w:rPr>
        <w:t xml:space="preserve">        （采购人名称）</w:t>
      </w:r>
      <w:r>
        <w:rPr>
          <w:rFonts w:hint="eastAsia" w:ascii="宋体" w:hAnsi="宋体" w:cs="宋体"/>
          <w:snapToGrid w:val="0"/>
          <w:kern w:val="0"/>
          <w:szCs w:val="21"/>
        </w:rPr>
        <w:t>：</w:t>
      </w:r>
    </w:p>
    <w:p w14:paraId="548DD8C7">
      <w:pPr>
        <w:autoSpaceDE w:val="0"/>
        <w:autoSpaceDN w:val="0"/>
        <w:adjustRightInd w:val="0"/>
        <w:snapToGrid w:val="0"/>
        <w:spacing w:line="360" w:lineRule="auto"/>
        <w:ind w:firstLine="420" w:firstLineChars="200"/>
        <w:rPr>
          <w:rFonts w:ascii="宋体" w:hAnsi="宋体" w:cs="宋体"/>
          <w:snapToGrid w:val="0"/>
          <w:kern w:val="0"/>
          <w:szCs w:val="21"/>
        </w:rPr>
      </w:pPr>
      <w:r>
        <w:rPr>
          <w:rFonts w:hint="eastAsia" w:ascii="宋体" w:hAnsi="宋体" w:cs="宋体"/>
          <w:snapToGrid w:val="0"/>
          <w:kern w:val="0"/>
          <w:szCs w:val="21"/>
        </w:rPr>
        <w:t>我公司</w:t>
      </w:r>
      <w:r>
        <w:rPr>
          <w:rFonts w:hint="eastAsia" w:ascii="宋体" w:hAnsi="宋体" w:cs="宋体"/>
          <w:snapToGrid w:val="0"/>
          <w:kern w:val="0"/>
          <w:szCs w:val="21"/>
          <w:u w:val="single"/>
        </w:rPr>
        <w:t xml:space="preserve">        （投标人名称）</w:t>
      </w:r>
      <w:r>
        <w:rPr>
          <w:rFonts w:hint="eastAsia" w:ascii="宋体" w:hAnsi="宋体" w:cs="宋体"/>
          <w:snapToGrid w:val="0"/>
          <w:kern w:val="0"/>
          <w:szCs w:val="21"/>
        </w:rPr>
        <w:t>参加了你公司</w:t>
      </w:r>
      <w:r>
        <w:rPr>
          <w:rFonts w:hint="eastAsia" w:ascii="宋体" w:hAnsi="宋体" w:cs="宋体"/>
          <w:snapToGrid w:val="0"/>
          <w:kern w:val="0"/>
          <w:szCs w:val="21"/>
          <w:u w:val="single"/>
        </w:rPr>
        <w:t xml:space="preserve">        （项目名称）</w:t>
      </w:r>
      <w:r>
        <w:rPr>
          <w:rFonts w:hint="eastAsia" w:ascii="宋体" w:hAnsi="宋体" w:cs="宋体"/>
          <w:snapToGrid w:val="0"/>
          <w:kern w:val="0"/>
          <w:szCs w:val="21"/>
        </w:rPr>
        <w:t>的投标。我公司投标报价低于最高限价的85%，若获得中标资格，我公司承诺按照采购文件的规定递交低价风险担保。同时，我公司已落实低价风险担保的缴纳方案，承诺如采用保函形式缴纳低价风险担保，保函的格式和内容符合采购文件的要求。否则，我公司愿承担采购文件中约定的，因未按规定递交低价风险担保的相应责任。</w:t>
      </w:r>
    </w:p>
    <w:p w14:paraId="37CE0A5F">
      <w:pPr>
        <w:autoSpaceDE w:val="0"/>
        <w:autoSpaceDN w:val="0"/>
        <w:adjustRightInd w:val="0"/>
        <w:snapToGrid w:val="0"/>
        <w:spacing w:line="360" w:lineRule="auto"/>
        <w:ind w:firstLine="640"/>
        <w:rPr>
          <w:rFonts w:ascii="宋体" w:hAnsi="宋体" w:cs="宋体"/>
          <w:snapToGrid w:val="0"/>
          <w:kern w:val="0"/>
          <w:szCs w:val="21"/>
        </w:rPr>
      </w:pPr>
    </w:p>
    <w:p w14:paraId="6EC6A994">
      <w:pPr>
        <w:autoSpaceDE w:val="0"/>
        <w:autoSpaceDN w:val="0"/>
        <w:adjustRightInd w:val="0"/>
        <w:snapToGrid w:val="0"/>
        <w:spacing w:line="360" w:lineRule="auto"/>
        <w:ind w:firstLine="640"/>
        <w:rPr>
          <w:rFonts w:ascii="宋体" w:hAnsi="宋体" w:cs="宋体"/>
          <w:snapToGrid w:val="0"/>
          <w:kern w:val="0"/>
          <w:szCs w:val="21"/>
        </w:rPr>
      </w:pPr>
      <w:r>
        <w:rPr>
          <w:rFonts w:hint="eastAsia" w:ascii="宋体" w:hAnsi="宋体" w:cs="宋体"/>
          <w:snapToGrid w:val="0"/>
          <w:kern w:val="0"/>
          <w:szCs w:val="21"/>
        </w:rPr>
        <w:t>特此承诺。</w:t>
      </w:r>
    </w:p>
    <w:p w14:paraId="4168B7F0">
      <w:pPr>
        <w:autoSpaceDE w:val="0"/>
        <w:autoSpaceDN w:val="0"/>
        <w:adjustRightInd w:val="0"/>
        <w:snapToGrid w:val="0"/>
        <w:spacing w:line="360" w:lineRule="auto"/>
        <w:ind w:firstLine="640"/>
        <w:rPr>
          <w:rFonts w:ascii="宋体" w:hAnsi="宋体" w:cs="宋体"/>
          <w:snapToGrid w:val="0"/>
          <w:kern w:val="0"/>
          <w:sz w:val="32"/>
          <w:szCs w:val="32"/>
        </w:rPr>
      </w:pPr>
    </w:p>
    <w:p w14:paraId="71965F16">
      <w:pPr>
        <w:autoSpaceDE w:val="0"/>
        <w:autoSpaceDN w:val="0"/>
        <w:adjustRightInd w:val="0"/>
        <w:snapToGrid w:val="0"/>
        <w:spacing w:line="360" w:lineRule="auto"/>
        <w:ind w:firstLine="640"/>
        <w:rPr>
          <w:rFonts w:ascii="宋体" w:hAnsi="宋体" w:cs="宋体"/>
          <w:snapToGrid w:val="0"/>
          <w:kern w:val="0"/>
          <w:sz w:val="32"/>
          <w:szCs w:val="32"/>
        </w:rPr>
      </w:pPr>
    </w:p>
    <w:p w14:paraId="33588419">
      <w:pPr>
        <w:autoSpaceDE w:val="0"/>
        <w:autoSpaceDN w:val="0"/>
        <w:adjustRightInd w:val="0"/>
        <w:snapToGrid w:val="0"/>
        <w:spacing w:line="360" w:lineRule="auto"/>
        <w:ind w:firstLine="640"/>
        <w:rPr>
          <w:rFonts w:ascii="宋体" w:hAnsi="宋体" w:cs="宋体"/>
          <w:snapToGrid w:val="0"/>
          <w:kern w:val="0"/>
          <w:sz w:val="32"/>
          <w:szCs w:val="32"/>
        </w:rPr>
      </w:pPr>
    </w:p>
    <w:p w14:paraId="3CFBFEE6">
      <w:pPr>
        <w:autoSpaceDE w:val="0"/>
        <w:autoSpaceDN w:val="0"/>
        <w:adjustRightInd w:val="0"/>
        <w:snapToGrid w:val="0"/>
        <w:spacing w:line="360" w:lineRule="auto"/>
        <w:ind w:firstLine="640"/>
        <w:rPr>
          <w:rFonts w:ascii="宋体" w:hAnsi="宋体" w:cs="宋体"/>
          <w:snapToGrid w:val="0"/>
          <w:kern w:val="0"/>
          <w:sz w:val="32"/>
          <w:szCs w:val="32"/>
        </w:rPr>
      </w:pPr>
    </w:p>
    <w:p w14:paraId="01D21126">
      <w:pPr>
        <w:autoSpaceDE w:val="0"/>
        <w:autoSpaceDN w:val="0"/>
        <w:adjustRightInd w:val="0"/>
        <w:snapToGrid w:val="0"/>
        <w:spacing w:line="360" w:lineRule="auto"/>
        <w:ind w:firstLine="640"/>
        <w:rPr>
          <w:rFonts w:ascii="宋体" w:hAnsi="宋体" w:cs="宋体"/>
          <w:snapToGrid w:val="0"/>
          <w:kern w:val="0"/>
          <w:sz w:val="32"/>
          <w:szCs w:val="32"/>
        </w:rPr>
      </w:pPr>
    </w:p>
    <w:p w14:paraId="76D7D00B">
      <w:pPr>
        <w:tabs>
          <w:tab w:val="left" w:pos="4200"/>
          <w:tab w:val="left" w:pos="462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19D3AEDD">
      <w:pPr>
        <w:tabs>
          <w:tab w:val="left" w:pos="6300"/>
        </w:tabs>
        <w:autoSpaceDE w:val="0"/>
        <w:autoSpaceDN w:val="0"/>
        <w:adjustRightInd w:val="0"/>
        <w:snapToGrid w:val="0"/>
        <w:spacing w:line="36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54DE4A3A">
      <w:pPr>
        <w:tabs>
          <w:tab w:val="left" w:pos="7140"/>
          <w:tab w:val="left" w:pos="7560"/>
          <w:tab w:val="left" w:pos="8300"/>
        </w:tabs>
        <w:autoSpaceDE w:val="0"/>
        <w:autoSpaceDN w:val="0"/>
        <w:adjustRightInd w:val="0"/>
        <w:spacing w:line="360" w:lineRule="auto"/>
        <w:ind w:firstLine="420" w:firstLineChars="200"/>
        <w:rPr>
          <w:rFonts w:ascii="宋体" w:hAnsi="宋体"/>
          <w:snapToGrid w:val="0"/>
          <w:kern w:val="0"/>
          <w:szCs w:val="21"/>
        </w:rPr>
      </w:pPr>
    </w:p>
    <w:p w14:paraId="3F645CBB">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83D4224">
      <w:pPr>
        <w:autoSpaceDE w:val="0"/>
        <w:autoSpaceDN w:val="0"/>
        <w:adjustRightInd w:val="0"/>
        <w:snapToGrid w:val="0"/>
        <w:spacing w:line="360" w:lineRule="auto"/>
        <w:ind w:firstLine="640"/>
        <w:rPr>
          <w:rFonts w:ascii="宋体" w:hAnsi="宋体" w:cs="宋体"/>
          <w:snapToGrid w:val="0"/>
          <w:kern w:val="0"/>
          <w:sz w:val="32"/>
          <w:szCs w:val="32"/>
        </w:rPr>
      </w:pPr>
    </w:p>
    <w:p w14:paraId="12C78FE3">
      <w:pPr>
        <w:autoSpaceDE w:val="0"/>
        <w:autoSpaceDN w:val="0"/>
        <w:adjustRightInd w:val="0"/>
        <w:snapToGrid w:val="0"/>
        <w:spacing w:line="360" w:lineRule="auto"/>
        <w:jc w:val="center"/>
        <w:rPr>
          <w:rFonts w:ascii="宋体" w:hAnsi="宋体"/>
          <w:snapToGrid w:val="0"/>
          <w:kern w:val="0"/>
          <w:sz w:val="32"/>
          <w:szCs w:val="32"/>
        </w:rPr>
      </w:pPr>
    </w:p>
    <w:p w14:paraId="7D8058C7">
      <w:pPr>
        <w:pStyle w:val="2"/>
        <w:rPr>
          <w:rFonts w:ascii="宋体" w:hAnsi="宋体"/>
          <w:snapToGrid w:val="0"/>
          <w:kern w:val="0"/>
          <w:sz w:val="32"/>
          <w:szCs w:val="32"/>
        </w:rPr>
      </w:pPr>
      <w:r>
        <w:rPr>
          <w:rFonts w:ascii="宋体" w:hAnsi="宋体"/>
          <w:snapToGrid w:val="0"/>
          <w:kern w:val="0"/>
          <w:sz w:val="32"/>
          <w:szCs w:val="32"/>
        </w:rPr>
        <w:br w:type="page"/>
      </w:r>
    </w:p>
    <w:p w14:paraId="1F57D4FC">
      <w:pPr>
        <w:pStyle w:val="5"/>
        <w:spacing w:before="0" w:after="0" w:line="240" w:lineRule="auto"/>
        <w:jc w:val="center"/>
        <w:rPr>
          <w:rFonts w:ascii="宋体" w:hAnsi="宋体"/>
          <w:b w:val="0"/>
          <w:bCs w:val="0"/>
        </w:rPr>
      </w:pPr>
      <w:bookmarkStart w:id="2010" w:name="_Toc57820652"/>
      <w:bookmarkStart w:id="2011" w:name="_Toc14213"/>
      <w:r>
        <w:rPr>
          <w:rFonts w:hint="eastAsia" w:ascii="宋体" w:hAnsi="宋体"/>
          <w:b w:val="0"/>
          <w:bCs w:val="0"/>
        </w:rPr>
        <w:t>（五）</w:t>
      </w:r>
      <w:r>
        <w:rPr>
          <w:rFonts w:ascii="宋体" w:hAnsi="宋体"/>
          <w:b w:val="0"/>
          <w:bCs w:val="0"/>
        </w:rPr>
        <w:t>联合体协议书</w:t>
      </w:r>
      <w:bookmarkEnd w:id="2005"/>
      <w:bookmarkEnd w:id="2006"/>
      <w:bookmarkEnd w:id="2007"/>
      <w:bookmarkEnd w:id="2008"/>
      <w:bookmarkEnd w:id="2009"/>
      <w:r>
        <w:rPr>
          <w:rFonts w:hint="eastAsia" w:ascii="宋体" w:hAnsi="宋体"/>
          <w:b w:val="0"/>
          <w:bCs w:val="0"/>
        </w:rPr>
        <w:t>（如有）</w:t>
      </w:r>
      <w:bookmarkEnd w:id="2010"/>
      <w:bookmarkEnd w:id="2011"/>
    </w:p>
    <w:p w14:paraId="42EAD908">
      <w:pPr>
        <w:autoSpaceDE w:val="0"/>
        <w:autoSpaceDN w:val="0"/>
        <w:adjustRightInd w:val="0"/>
        <w:snapToGrid w:val="0"/>
        <w:spacing w:line="500" w:lineRule="exact"/>
        <w:ind w:firstLine="420" w:firstLineChars="200"/>
        <w:rPr>
          <w:rFonts w:ascii="宋体" w:hAnsi="宋体"/>
          <w:snapToGrid w:val="0"/>
          <w:kern w:val="0"/>
          <w:szCs w:val="21"/>
        </w:rPr>
      </w:pP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5EE2455E">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137B00CC">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435D750E">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67289C69">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3BAF5F05">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3BF4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4FA0A83">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784BF26D">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4076E66">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56B01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38C19CB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5C5F4234">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7EFBCC93">
            <w:pPr>
              <w:autoSpaceDE w:val="0"/>
              <w:autoSpaceDN w:val="0"/>
              <w:adjustRightInd w:val="0"/>
              <w:snapToGrid w:val="0"/>
              <w:spacing w:line="500" w:lineRule="exact"/>
              <w:ind w:firstLine="420"/>
              <w:jc w:val="left"/>
              <w:rPr>
                <w:rFonts w:ascii="宋体" w:hAnsi="宋体"/>
                <w:snapToGrid w:val="0"/>
                <w:kern w:val="0"/>
                <w:szCs w:val="21"/>
              </w:rPr>
            </w:pPr>
          </w:p>
        </w:tc>
      </w:tr>
      <w:tr w14:paraId="75AC9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67D4057B">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361713F5">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1C0B70E">
            <w:pPr>
              <w:autoSpaceDE w:val="0"/>
              <w:autoSpaceDN w:val="0"/>
              <w:adjustRightInd w:val="0"/>
              <w:snapToGrid w:val="0"/>
              <w:spacing w:line="500" w:lineRule="exact"/>
              <w:ind w:firstLine="420"/>
              <w:jc w:val="left"/>
              <w:rPr>
                <w:rFonts w:ascii="宋体" w:hAnsi="宋体"/>
                <w:snapToGrid w:val="0"/>
                <w:kern w:val="0"/>
                <w:szCs w:val="21"/>
              </w:rPr>
            </w:pPr>
          </w:p>
        </w:tc>
      </w:tr>
      <w:tr w14:paraId="66FF5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0BE83F1">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0C0E4CEA">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3A2A7CF5">
            <w:pPr>
              <w:autoSpaceDE w:val="0"/>
              <w:autoSpaceDN w:val="0"/>
              <w:adjustRightInd w:val="0"/>
              <w:snapToGrid w:val="0"/>
              <w:spacing w:line="500" w:lineRule="exact"/>
              <w:ind w:firstLine="420"/>
              <w:jc w:val="left"/>
              <w:rPr>
                <w:rFonts w:ascii="宋体" w:hAnsi="宋体"/>
                <w:snapToGrid w:val="0"/>
                <w:kern w:val="0"/>
                <w:szCs w:val="21"/>
              </w:rPr>
            </w:pPr>
          </w:p>
        </w:tc>
      </w:tr>
      <w:tr w14:paraId="117DA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26148969">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0D014CA8">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737C06E9">
            <w:pPr>
              <w:autoSpaceDE w:val="0"/>
              <w:autoSpaceDN w:val="0"/>
              <w:adjustRightInd w:val="0"/>
              <w:snapToGrid w:val="0"/>
              <w:spacing w:line="500" w:lineRule="exact"/>
              <w:ind w:firstLine="420"/>
              <w:jc w:val="left"/>
              <w:rPr>
                <w:rFonts w:ascii="宋体" w:hAnsi="宋体"/>
                <w:snapToGrid w:val="0"/>
                <w:kern w:val="0"/>
                <w:szCs w:val="21"/>
              </w:rPr>
            </w:pPr>
          </w:p>
        </w:tc>
      </w:tr>
    </w:tbl>
    <w:p w14:paraId="75C03A20">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44FAEC67">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0619347E">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2D31A803">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46DBE0A6">
      <w:pPr>
        <w:autoSpaceDE w:val="0"/>
        <w:autoSpaceDN w:val="0"/>
        <w:adjustRightInd w:val="0"/>
        <w:snapToGrid w:val="0"/>
        <w:spacing w:line="500" w:lineRule="exact"/>
        <w:ind w:firstLine="390" w:firstLineChars="186"/>
        <w:jc w:val="left"/>
        <w:rPr>
          <w:rFonts w:ascii="宋体" w:hAnsi="宋体"/>
          <w:snapToGrid w:val="0"/>
          <w:kern w:val="0"/>
          <w:szCs w:val="21"/>
        </w:rPr>
      </w:pPr>
    </w:p>
    <w:p w14:paraId="10842FFD">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039A4887">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61751C18">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F0EBEAE">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2B60F942">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1ACA675A">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674746A9">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48ADA483">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42BEAD2B">
      <w:pPr>
        <w:spacing w:line="360" w:lineRule="auto"/>
        <w:jc w:val="center"/>
        <w:rPr>
          <w:rFonts w:ascii="宋体" w:hAnsi="宋体"/>
          <w:snapToGrid w:val="0"/>
          <w:szCs w:val="21"/>
        </w:rPr>
      </w:pPr>
    </w:p>
    <w:p w14:paraId="1DDDE51E">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0211E8CD">
      <w:pPr>
        <w:spacing w:line="500" w:lineRule="exact"/>
        <w:ind w:firstLine="420" w:firstLineChars="200"/>
        <w:jc w:val="left"/>
        <w:rPr>
          <w:rFonts w:ascii="宋体" w:hAnsi="宋体"/>
          <w:b/>
          <w:szCs w:val="21"/>
        </w:rPr>
      </w:pPr>
      <w:r>
        <w:rPr>
          <w:rFonts w:hint="eastAsia" w:ascii="宋体" w:hAnsi="宋体"/>
          <w:snapToGrid w:val="0"/>
          <w:szCs w:val="21"/>
        </w:rPr>
        <w:t>2.本协议书由委托代理人签字或盖章的，应附法定代表人签字或盖章的授权委托书。</w:t>
      </w:r>
    </w:p>
    <w:p w14:paraId="03581777">
      <w:pPr>
        <w:tabs>
          <w:tab w:val="left" w:pos="2580"/>
          <w:tab w:val="left" w:pos="5940"/>
        </w:tabs>
        <w:autoSpaceDE w:val="0"/>
        <w:autoSpaceDN w:val="0"/>
        <w:adjustRightInd w:val="0"/>
        <w:snapToGrid w:val="0"/>
        <w:spacing w:line="360" w:lineRule="auto"/>
        <w:ind w:firstLine="2940"/>
        <w:jc w:val="left"/>
        <w:rPr>
          <w:rFonts w:ascii="宋体" w:hAnsi="宋体"/>
        </w:rPr>
      </w:pPr>
      <w:bookmarkStart w:id="2012" w:name="_Toc224103500"/>
      <w:r>
        <w:rPr>
          <w:rFonts w:ascii="宋体" w:hAnsi="宋体"/>
          <w:sz w:val="32"/>
          <w:szCs w:val="32"/>
        </w:rPr>
        <w:br w:type="page"/>
      </w:r>
      <w:bookmarkStart w:id="2013" w:name="_Toc287620819"/>
      <w:bookmarkStart w:id="2014" w:name="_Toc430530534"/>
      <w:bookmarkStart w:id="2015" w:name="_Toc287607872"/>
    </w:p>
    <w:p w14:paraId="495F5094">
      <w:pPr>
        <w:pStyle w:val="4"/>
        <w:spacing w:line="360" w:lineRule="auto"/>
        <w:jc w:val="center"/>
        <w:rPr>
          <w:rFonts w:ascii="宋体" w:hAnsi="宋体"/>
          <w:b w:val="0"/>
          <w:bCs w:val="0"/>
          <w:sz w:val="44"/>
          <w:szCs w:val="44"/>
        </w:rPr>
      </w:pPr>
      <w:bookmarkStart w:id="2016" w:name="_Toc16312"/>
      <w:r>
        <w:rPr>
          <w:rFonts w:hint="eastAsia" w:ascii="宋体" w:hAnsi="宋体"/>
          <w:b w:val="0"/>
          <w:bCs w:val="0"/>
          <w:sz w:val="44"/>
          <w:szCs w:val="44"/>
        </w:rPr>
        <w:t>二、经济部分</w:t>
      </w:r>
      <w:bookmarkEnd w:id="2012"/>
      <w:bookmarkEnd w:id="2013"/>
      <w:bookmarkEnd w:id="2014"/>
      <w:bookmarkEnd w:id="2015"/>
      <w:bookmarkEnd w:id="2016"/>
    </w:p>
    <w:p w14:paraId="197A2D0C">
      <w:pPr>
        <w:spacing w:line="360" w:lineRule="auto"/>
        <w:jc w:val="center"/>
        <w:rPr>
          <w:rFonts w:ascii="宋体" w:hAnsi="宋体"/>
          <w:kern w:val="0"/>
          <w:sz w:val="32"/>
          <w:szCs w:val="32"/>
        </w:rPr>
      </w:pPr>
      <w:r>
        <w:rPr>
          <w:rFonts w:ascii="宋体" w:hAnsi="宋体"/>
          <w:kern w:val="0"/>
          <w:sz w:val="28"/>
          <w:szCs w:val="28"/>
        </w:rPr>
        <w:br w:type="page"/>
      </w:r>
      <w:r>
        <w:rPr>
          <w:rFonts w:hint="eastAsia" w:ascii="宋体" w:hAnsi="宋体"/>
          <w:kern w:val="0"/>
          <w:sz w:val="32"/>
          <w:szCs w:val="32"/>
          <w:u w:val="single"/>
        </w:rPr>
        <w:t xml:space="preserve">                   （项目名称）</w:t>
      </w:r>
    </w:p>
    <w:p w14:paraId="228BA429">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282123FA">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50DAEDE5">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071DBD08">
      <w:pPr>
        <w:tabs>
          <w:tab w:val="left" w:pos="3600"/>
          <w:tab w:val="left" w:pos="4480"/>
          <w:tab w:val="left" w:pos="5360"/>
        </w:tabs>
        <w:autoSpaceDE w:val="0"/>
        <w:autoSpaceDN w:val="0"/>
        <w:adjustRightInd w:val="0"/>
        <w:snapToGrid w:val="0"/>
        <w:spacing w:line="360" w:lineRule="auto"/>
        <w:jc w:val="left"/>
        <w:rPr>
          <w:rFonts w:ascii="宋体" w:hAnsi="宋体"/>
          <w:kern w:val="0"/>
          <w:sz w:val="44"/>
          <w:szCs w:val="44"/>
        </w:rPr>
      </w:pPr>
    </w:p>
    <w:p w14:paraId="6EF958A1">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69B415AA">
      <w:pPr>
        <w:autoSpaceDE w:val="0"/>
        <w:autoSpaceDN w:val="0"/>
        <w:adjustRightInd w:val="0"/>
        <w:snapToGrid w:val="0"/>
        <w:spacing w:line="360" w:lineRule="auto"/>
        <w:jc w:val="left"/>
        <w:rPr>
          <w:rFonts w:ascii="宋体" w:hAnsi="宋体"/>
          <w:kern w:val="0"/>
          <w:sz w:val="16"/>
          <w:szCs w:val="16"/>
        </w:rPr>
      </w:pPr>
    </w:p>
    <w:p w14:paraId="6C3B1D41">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经济部分</w:t>
      </w:r>
    </w:p>
    <w:p w14:paraId="46AA3263">
      <w:pPr>
        <w:autoSpaceDE w:val="0"/>
        <w:autoSpaceDN w:val="0"/>
        <w:adjustRightInd w:val="0"/>
        <w:snapToGrid w:val="0"/>
        <w:spacing w:line="360" w:lineRule="auto"/>
        <w:jc w:val="left"/>
        <w:rPr>
          <w:rFonts w:ascii="宋体" w:hAnsi="宋体"/>
          <w:b/>
          <w:kern w:val="0"/>
          <w:sz w:val="20"/>
          <w:szCs w:val="20"/>
        </w:rPr>
      </w:pPr>
    </w:p>
    <w:p w14:paraId="68426910">
      <w:pPr>
        <w:autoSpaceDE w:val="0"/>
        <w:autoSpaceDN w:val="0"/>
        <w:adjustRightInd w:val="0"/>
        <w:snapToGrid w:val="0"/>
        <w:spacing w:line="360" w:lineRule="auto"/>
        <w:jc w:val="left"/>
        <w:rPr>
          <w:rFonts w:ascii="宋体" w:hAnsi="宋体"/>
          <w:b/>
          <w:kern w:val="0"/>
          <w:sz w:val="20"/>
          <w:szCs w:val="20"/>
        </w:rPr>
      </w:pPr>
    </w:p>
    <w:p w14:paraId="7D5C7278">
      <w:pPr>
        <w:autoSpaceDE w:val="0"/>
        <w:autoSpaceDN w:val="0"/>
        <w:adjustRightInd w:val="0"/>
        <w:snapToGrid w:val="0"/>
        <w:spacing w:line="360" w:lineRule="auto"/>
        <w:jc w:val="left"/>
        <w:rPr>
          <w:rFonts w:ascii="宋体" w:hAnsi="宋体"/>
          <w:b/>
          <w:kern w:val="0"/>
          <w:sz w:val="20"/>
          <w:szCs w:val="20"/>
        </w:rPr>
      </w:pPr>
    </w:p>
    <w:p w14:paraId="5BA917B4">
      <w:pPr>
        <w:autoSpaceDE w:val="0"/>
        <w:autoSpaceDN w:val="0"/>
        <w:adjustRightInd w:val="0"/>
        <w:snapToGrid w:val="0"/>
        <w:spacing w:line="360" w:lineRule="auto"/>
        <w:jc w:val="left"/>
        <w:rPr>
          <w:rFonts w:ascii="宋体" w:hAnsi="宋体"/>
          <w:b/>
          <w:kern w:val="0"/>
          <w:sz w:val="20"/>
          <w:szCs w:val="20"/>
        </w:rPr>
      </w:pPr>
    </w:p>
    <w:p w14:paraId="7954C135">
      <w:pPr>
        <w:autoSpaceDE w:val="0"/>
        <w:autoSpaceDN w:val="0"/>
        <w:adjustRightInd w:val="0"/>
        <w:snapToGrid w:val="0"/>
        <w:spacing w:line="360" w:lineRule="auto"/>
        <w:jc w:val="left"/>
        <w:rPr>
          <w:rFonts w:ascii="宋体" w:hAnsi="宋体"/>
          <w:b/>
          <w:kern w:val="0"/>
          <w:sz w:val="20"/>
          <w:szCs w:val="20"/>
        </w:rPr>
      </w:pPr>
    </w:p>
    <w:p w14:paraId="774F5421">
      <w:pPr>
        <w:autoSpaceDE w:val="0"/>
        <w:autoSpaceDN w:val="0"/>
        <w:adjustRightInd w:val="0"/>
        <w:snapToGrid w:val="0"/>
        <w:spacing w:line="360" w:lineRule="auto"/>
        <w:jc w:val="left"/>
        <w:rPr>
          <w:rFonts w:ascii="宋体" w:hAnsi="宋体"/>
          <w:b/>
          <w:kern w:val="0"/>
          <w:sz w:val="20"/>
          <w:szCs w:val="20"/>
        </w:rPr>
      </w:pPr>
    </w:p>
    <w:p w14:paraId="7DA2819C">
      <w:pPr>
        <w:autoSpaceDE w:val="0"/>
        <w:autoSpaceDN w:val="0"/>
        <w:adjustRightInd w:val="0"/>
        <w:snapToGrid w:val="0"/>
        <w:spacing w:line="360" w:lineRule="auto"/>
        <w:jc w:val="left"/>
        <w:rPr>
          <w:rFonts w:ascii="宋体" w:hAnsi="宋体"/>
          <w:b/>
          <w:kern w:val="0"/>
          <w:sz w:val="20"/>
          <w:szCs w:val="20"/>
        </w:rPr>
      </w:pPr>
    </w:p>
    <w:p w14:paraId="68735938">
      <w:pPr>
        <w:autoSpaceDE w:val="0"/>
        <w:autoSpaceDN w:val="0"/>
        <w:adjustRightInd w:val="0"/>
        <w:snapToGrid w:val="0"/>
        <w:spacing w:line="360" w:lineRule="auto"/>
        <w:jc w:val="left"/>
        <w:rPr>
          <w:rFonts w:ascii="宋体" w:hAnsi="宋体"/>
          <w:b/>
          <w:kern w:val="0"/>
          <w:sz w:val="20"/>
          <w:szCs w:val="20"/>
        </w:rPr>
      </w:pPr>
    </w:p>
    <w:p w14:paraId="336BF176">
      <w:pPr>
        <w:autoSpaceDE w:val="0"/>
        <w:autoSpaceDN w:val="0"/>
        <w:adjustRightInd w:val="0"/>
        <w:snapToGrid w:val="0"/>
        <w:spacing w:line="360" w:lineRule="auto"/>
        <w:jc w:val="left"/>
        <w:rPr>
          <w:rFonts w:ascii="宋体" w:hAnsi="宋体"/>
          <w:b/>
          <w:kern w:val="0"/>
          <w:sz w:val="20"/>
          <w:szCs w:val="20"/>
        </w:rPr>
      </w:pPr>
    </w:p>
    <w:p w14:paraId="622FB9AC">
      <w:pPr>
        <w:autoSpaceDE w:val="0"/>
        <w:autoSpaceDN w:val="0"/>
        <w:adjustRightInd w:val="0"/>
        <w:snapToGrid w:val="0"/>
        <w:spacing w:line="360" w:lineRule="auto"/>
        <w:jc w:val="left"/>
        <w:rPr>
          <w:rFonts w:ascii="宋体" w:hAnsi="宋体"/>
          <w:b/>
          <w:kern w:val="0"/>
          <w:sz w:val="20"/>
          <w:szCs w:val="20"/>
        </w:rPr>
      </w:pPr>
    </w:p>
    <w:p w14:paraId="11300F61">
      <w:pPr>
        <w:autoSpaceDE w:val="0"/>
        <w:autoSpaceDN w:val="0"/>
        <w:adjustRightInd w:val="0"/>
        <w:snapToGrid w:val="0"/>
        <w:spacing w:line="360" w:lineRule="auto"/>
        <w:jc w:val="left"/>
        <w:rPr>
          <w:rFonts w:ascii="宋体" w:hAnsi="宋体"/>
          <w:b/>
          <w:kern w:val="0"/>
          <w:sz w:val="20"/>
          <w:szCs w:val="20"/>
        </w:rPr>
      </w:pPr>
    </w:p>
    <w:p w14:paraId="6F1CE07C">
      <w:pPr>
        <w:autoSpaceDE w:val="0"/>
        <w:autoSpaceDN w:val="0"/>
        <w:adjustRightInd w:val="0"/>
        <w:snapToGrid w:val="0"/>
        <w:spacing w:line="360" w:lineRule="auto"/>
        <w:jc w:val="left"/>
        <w:rPr>
          <w:rFonts w:ascii="宋体" w:hAnsi="宋体"/>
          <w:b/>
          <w:kern w:val="0"/>
          <w:sz w:val="20"/>
          <w:szCs w:val="20"/>
        </w:rPr>
      </w:pPr>
    </w:p>
    <w:p w14:paraId="059356B1">
      <w:pPr>
        <w:autoSpaceDE w:val="0"/>
        <w:autoSpaceDN w:val="0"/>
        <w:adjustRightInd w:val="0"/>
        <w:snapToGrid w:val="0"/>
        <w:spacing w:line="360" w:lineRule="auto"/>
        <w:jc w:val="left"/>
        <w:rPr>
          <w:rFonts w:ascii="宋体" w:hAnsi="宋体"/>
          <w:b/>
          <w:kern w:val="0"/>
          <w:sz w:val="20"/>
          <w:szCs w:val="20"/>
        </w:rPr>
      </w:pPr>
    </w:p>
    <w:p w14:paraId="6D61C9A1">
      <w:pPr>
        <w:tabs>
          <w:tab w:val="left" w:pos="6080"/>
          <w:tab w:val="left" w:pos="6640"/>
        </w:tabs>
        <w:autoSpaceDE w:val="0"/>
        <w:autoSpaceDN w:val="0"/>
        <w:adjustRightInd w:val="0"/>
        <w:snapToGrid w:val="0"/>
        <w:spacing w:after="156" w:afterLines="50" w:line="36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2DF8A729">
      <w:pPr>
        <w:tabs>
          <w:tab w:val="left" w:pos="6080"/>
          <w:tab w:val="left" w:pos="6640"/>
        </w:tabs>
        <w:autoSpaceDE w:val="0"/>
        <w:autoSpaceDN w:val="0"/>
        <w:adjustRightInd w:val="0"/>
        <w:snapToGrid w:val="0"/>
        <w:spacing w:after="156" w:afterLines="50" w:line="360" w:lineRule="auto"/>
        <w:jc w:val="center"/>
        <w:rPr>
          <w:rFonts w:ascii="宋体" w:hAnsi="宋体"/>
          <w:b/>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7F5C8607">
      <w:pPr>
        <w:tabs>
          <w:tab w:val="left" w:pos="3280"/>
          <w:tab w:val="left" w:pos="4680"/>
          <w:tab w:val="left" w:pos="6080"/>
        </w:tabs>
        <w:autoSpaceDE w:val="0"/>
        <w:autoSpaceDN w:val="0"/>
        <w:adjustRightInd w:val="0"/>
        <w:snapToGrid w:val="0"/>
        <w:spacing w:after="156" w:afterLines="50" w:line="360" w:lineRule="auto"/>
        <w:jc w:val="center"/>
        <w:rPr>
          <w:rFonts w:ascii="宋体" w:hAnsi="宋体"/>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ascii="宋体" w:hAnsi="宋体"/>
          <w:w w:val="99"/>
          <w:kern w:val="0"/>
          <w:sz w:val="28"/>
          <w:szCs w:val="28"/>
        </w:rPr>
        <w:t>日</w:t>
      </w:r>
    </w:p>
    <w:p w14:paraId="0C66A3D2">
      <w:pPr>
        <w:autoSpaceDE w:val="0"/>
        <w:autoSpaceDN w:val="0"/>
        <w:adjustRightInd w:val="0"/>
        <w:snapToGrid w:val="0"/>
        <w:spacing w:line="360" w:lineRule="auto"/>
        <w:jc w:val="left"/>
        <w:rPr>
          <w:rFonts w:ascii="宋体" w:hAnsi="宋体"/>
          <w:kern w:val="0"/>
          <w:sz w:val="24"/>
          <w:szCs w:val="21"/>
        </w:rPr>
      </w:pPr>
      <w:r>
        <w:rPr>
          <w:rFonts w:ascii="宋体" w:hAnsi="宋体"/>
          <w:kern w:val="0"/>
          <w:sz w:val="24"/>
          <w:szCs w:val="21"/>
        </w:rPr>
        <w:br w:type="page"/>
      </w:r>
    </w:p>
    <w:p w14:paraId="1C4898EB">
      <w:pPr>
        <w:autoSpaceDE w:val="0"/>
        <w:autoSpaceDN w:val="0"/>
        <w:adjustRightInd w:val="0"/>
        <w:snapToGrid w:val="0"/>
        <w:spacing w:line="360" w:lineRule="auto"/>
        <w:jc w:val="center"/>
        <w:rPr>
          <w:rFonts w:ascii="宋体" w:hAnsi="宋体"/>
          <w:kern w:val="0"/>
          <w:szCs w:val="21"/>
        </w:rPr>
      </w:pPr>
      <w:r>
        <w:rPr>
          <w:rFonts w:hint="eastAsia" w:ascii="宋体" w:hAnsi="宋体"/>
          <w:kern w:val="0"/>
          <w:sz w:val="36"/>
          <w:szCs w:val="36"/>
        </w:rPr>
        <w:t>目  录</w:t>
      </w:r>
    </w:p>
    <w:p w14:paraId="4FC08AC0">
      <w:pPr>
        <w:autoSpaceDE w:val="0"/>
        <w:autoSpaceDN w:val="0"/>
        <w:adjustRightInd w:val="0"/>
        <w:snapToGrid w:val="0"/>
        <w:spacing w:line="360" w:lineRule="auto"/>
        <w:jc w:val="left"/>
        <w:rPr>
          <w:rFonts w:ascii="宋体" w:hAnsi="宋体"/>
          <w:kern w:val="0"/>
          <w:szCs w:val="21"/>
        </w:rPr>
      </w:pPr>
    </w:p>
    <w:p w14:paraId="7A6D55CF">
      <w:pPr>
        <w:autoSpaceDE w:val="0"/>
        <w:autoSpaceDN w:val="0"/>
        <w:adjustRightInd w:val="0"/>
        <w:snapToGrid w:val="0"/>
        <w:spacing w:line="360" w:lineRule="auto"/>
        <w:jc w:val="center"/>
        <w:rPr>
          <w:rFonts w:ascii="宋体" w:hAnsi="宋体"/>
          <w:i/>
          <w:iCs/>
          <w:kern w:val="0"/>
          <w:szCs w:val="21"/>
        </w:rPr>
      </w:pPr>
      <w:r>
        <w:rPr>
          <w:rFonts w:ascii="宋体" w:hAnsi="宋体"/>
          <w:i/>
          <w:iCs/>
          <w:kern w:val="0"/>
          <w:szCs w:val="21"/>
        </w:rPr>
        <w:t>[</w:t>
      </w:r>
      <w:r>
        <w:rPr>
          <w:rFonts w:hint="eastAsia" w:ascii="宋体" w:hAnsi="宋体"/>
          <w:i/>
          <w:iCs/>
          <w:kern w:val="0"/>
          <w:szCs w:val="21"/>
        </w:rPr>
        <w:t>提示：</w:t>
      </w:r>
      <w:r>
        <w:rPr>
          <w:rFonts w:ascii="宋体" w:hAnsi="宋体"/>
          <w:i/>
          <w:iCs/>
          <w:kern w:val="0"/>
          <w:szCs w:val="21"/>
        </w:rPr>
        <w:t>目录由投标人自行编制]</w:t>
      </w:r>
    </w:p>
    <w:p w14:paraId="493D36FF">
      <w:pPr>
        <w:pStyle w:val="5"/>
        <w:spacing w:before="0" w:after="0" w:line="240" w:lineRule="auto"/>
        <w:jc w:val="center"/>
        <w:rPr>
          <w:rFonts w:ascii="宋体" w:hAnsi="宋体"/>
          <w:b w:val="0"/>
          <w:bCs w:val="0"/>
        </w:rPr>
      </w:pPr>
      <w:bookmarkStart w:id="2017" w:name="_Toc224103501"/>
      <w:bookmarkStart w:id="2018" w:name="_Toc287607873"/>
      <w:bookmarkStart w:id="2019" w:name="_Toc287620820"/>
      <w:bookmarkStart w:id="2020" w:name="_Toc277082648"/>
      <w:bookmarkStart w:id="2021" w:name="_Toc430530535"/>
      <w:r>
        <w:rPr>
          <w:rFonts w:ascii="宋体" w:hAnsi="宋体"/>
          <w:b w:val="0"/>
          <w:bCs w:val="0"/>
          <w:kern w:val="0"/>
          <w:sz w:val="21"/>
          <w:szCs w:val="21"/>
        </w:rPr>
        <w:br w:type="page"/>
      </w:r>
      <w:bookmarkStart w:id="2022" w:name="_Toc16279"/>
      <w:r>
        <w:rPr>
          <w:rFonts w:hint="eastAsia" w:ascii="宋体" w:hAnsi="宋体"/>
          <w:b w:val="0"/>
          <w:bCs w:val="0"/>
        </w:rPr>
        <w:t>（一）已标价工程量清单</w:t>
      </w:r>
      <w:bookmarkEnd w:id="2017"/>
      <w:bookmarkEnd w:id="2018"/>
      <w:bookmarkEnd w:id="2019"/>
      <w:bookmarkEnd w:id="2020"/>
      <w:bookmarkEnd w:id="2021"/>
      <w:bookmarkEnd w:id="2022"/>
    </w:p>
    <w:p w14:paraId="544E6C13">
      <w:pPr>
        <w:tabs>
          <w:tab w:val="left" w:pos="2580"/>
          <w:tab w:val="left" w:pos="5940"/>
        </w:tabs>
        <w:autoSpaceDE w:val="0"/>
        <w:autoSpaceDN w:val="0"/>
        <w:adjustRightInd w:val="0"/>
        <w:snapToGrid w:val="0"/>
        <w:spacing w:line="360" w:lineRule="auto"/>
        <w:ind w:firstLine="2940"/>
        <w:jc w:val="left"/>
        <w:rPr>
          <w:rFonts w:ascii="宋体" w:hAnsi="宋体"/>
          <w:kern w:val="0"/>
          <w:sz w:val="28"/>
          <w:szCs w:val="28"/>
        </w:rPr>
      </w:pPr>
    </w:p>
    <w:p w14:paraId="17A9DD03">
      <w:pPr>
        <w:pStyle w:val="4"/>
        <w:spacing w:line="360" w:lineRule="auto"/>
        <w:rPr>
          <w:rFonts w:ascii="宋体" w:hAnsi="宋体"/>
          <w:kern w:val="0"/>
          <w:sz w:val="24"/>
          <w:szCs w:val="21"/>
        </w:rPr>
      </w:pPr>
      <w:bookmarkStart w:id="2023" w:name="_Toc430530536"/>
      <w:bookmarkStart w:id="2024" w:name="_Toc224103502"/>
      <w:bookmarkStart w:id="2025" w:name="_Toc287620821"/>
      <w:bookmarkStart w:id="2026" w:name="_Toc287607874"/>
      <w:r>
        <w:rPr>
          <w:rFonts w:ascii="宋体" w:hAnsi="宋体"/>
        </w:rPr>
        <w:br w:type="page"/>
      </w:r>
    </w:p>
    <w:bookmarkEnd w:id="2023"/>
    <w:bookmarkEnd w:id="2024"/>
    <w:bookmarkEnd w:id="2025"/>
    <w:bookmarkEnd w:id="2026"/>
    <w:p w14:paraId="2FD8B796">
      <w:pPr>
        <w:autoSpaceDE w:val="0"/>
        <w:autoSpaceDN w:val="0"/>
        <w:adjustRightInd w:val="0"/>
        <w:snapToGrid w:val="0"/>
        <w:spacing w:line="360" w:lineRule="auto"/>
        <w:jc w:val="left"/>
        <w:rPr>
          <w:rFonts w:ascii="宋体" w:hAnsi="宋体"/>
          <w:kern w:val="0"/>
          <w:sz w:val="24"/>
          <w:szCs w:val="21"/>
        </w:rPr>
      </w:pPr>
    </w:p>
    <w:p w14:paraId="5C4C4248">
      <w:pPr>
        <w:jc w:val="center"/>
        <w:rPr>
          <w:sz w:val="32"/>
          <w:szCs w:val="32"/>
        </w:rPr>
      </w:pPr>
      <w:bookmarkStart w:id="2027" w:name="_Toc277082650"/>
      <w:bookmarkStart w:id="2028" w:name="_Toc534185834"/>
      <w:bookmarkStart w:id="2029" w:name="_Toc509218857"/>
      <w:bookmarkStart w:id="2030" w:name="_Toc430530539"/>
      <w:bookmarkStart w:id="2031" w:name="_Toc287620823"/>
      <w:bookmarkStart w:id="2032" w:name="_Toc287607876"/>
      <w:bookmarkStart w:id="2033" w:name="_Toc224103504"/>
      <w:bookmarkStart w:id="2034" w:name="_Toc224103507"/>
      <w:bookmarkStart w:id="2035" w:name="_Toc287607879"/>
      <w:bookmarkStart w:id="2036" w:name="_Toc287620826"/>
      <w:bookmarkStart w:id="2037" w:name="_Toc277082653"/>
      <w:r>
        <w:rPr>
          <w:rFonts w:hint="eastAsia"/>
          <w:sz w:val="32"/>
          <w:szCs w:val="32"/>
        </w:rPr>
        <w:t>附表一：拟投入本标段的主要施工设备表</w:t>
      </w:r>
      <w:bookmarkEnd w:id="2027"/>
      <w:bookmarkEnd w:id="2028"/>
      <w:bookmarkEnd w:id="2029"/>
      <w:bookmarkEnd w:id="2030"/>
      <w:bookmarkEnd w:id="2031"/>
      <w:bookmarkEnd w:id="2032"/>
      <w:bookmarkEnd w:id="2033"/>
    </w:p>
    <w:tbl>
      <w:tblPr>
        <w:tblStyle w:val="45"/>
        <w:tblW w:w="9469"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1"/>
        <w:gridCol w:w="1176"/>
        <w:gridCol w:w="824"/>
        <w:gridCol w:w="1072"/>
        <w:gridCol w:w="728"/>
        <w:gridCol w:w="799"/>
        <w:gridCol w:w="1312"/>
        <w:gridCol w:w="947"/>
        <w:gridCol w:w="1141"/>
        <w:gridCol w:w="749"/>
      </w:tblGrid>
      <w:tr w14:paraId="6FE6E7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7" w:hRule="exact"/>
        </w:trPr>
        <w:tc>
          <w:tcPr>
            <w:tcW w:w="721" w:type="dxa"/>
            <w:vAlign w:val="center"/>
          </w:tcPr>
          <w:p w14:paraId="0C68E413">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176" w:type="dxa"/>
            <w:vAlign w:val="center"/>
          </w:tcPr>
          <w:p w14:paraId="31CF615F">
            <w:pPr>
              <w:autoSpaceDE w:val="0"/>
              <w:autoSpaceDN w:val="0"/>
              <w:adjustRightInd w:val="0"/>
              <w:snapToGrid w:val="0"/>
              <w:jc w:val="center"/>
              <w:rPr>
                <w:rFonts w:ascii="宋体" w:hAnsi="宋体"/>
                <w:kern w:val="0"/>
                <w:sz w:val="24"/>
              </w:rPr>
            </w:pPr>
            <w:r>
              <w:rPr>
                <w:rFonts w:ascii="宋体" w:hAnsi="宋体"/>
                <w:kern w:val="0"/>
                <w:szCs w:val="21"/>
              </w:rPr>
              <w:t>设备名称</w:t>
            </w:r>
          </w:p>
        </w:tc>
        <w:tc>
          <w:tcPr>
            <w:tcW w:w="824" w:type="dxa"/>
            <w:vAlign w:val="center"/>
          </w:tcPr>
          <w:p w14:paraId="79C077E4">
            <w:pPr>
              <w:autoSpaceDE w:val="0"/>
              <w:autoSpaceDN w:val="0"/>
              <w:adjustRightInd w:val="0"/>
              <w:snapToGrid w:val="0"/>
              <w:jc w:val="center"/>
              <w:rPr>
                <w:rFonts w:ascii="宋体" w:hAnsi="宋体"/>
                <w:kern w:val="0"/>
                <w:szCs w:val="21"/>
              </w:rPr>
            </w:pPr>
            <w:r>
              <w:rPr>
                <w:rFonts w:ascii="宋体" w:hAnsi="宋体"/>
                <w:kern w:val="0"/>
                <w:szCs w:val="21"/>
              </w:rPr>
              <w:t>型号</w:t>
            </w:r>
          </w:p>
          <w:p w14:paraId="2AE3BE8D">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072" w:type="dxa"/>
            <w:vAlign w:val="center"/>
          </w:tcPr>
          <w:p w14:paraId="2909190C">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28" w:type="dxa"/>
            <w:vAlign w:val="center"/>
          </w:tcPr>
          <w:p w14:paraId="1E2D83E1">
            <w:pPr>
              <w:autoSpaceDE w:val="0"/>
              <w:autoSpaceDN w:val="0"/>
              <w:adjustRightInd w:val="0"/>
              <w:snapToGrid w:val="0"/>
              <w:jc w:val="center"/>
              <w:rPr>
                <w:rFonts w:ascii="宋体" w:hAnsi="宋体"/>
                <w:kern w:val="0"/>
                <w:sz w:val="24"/>
              </w:rPr>
            </w:pPr>
            <w:r>
              <w:rPr>
                <w:rFonts w:ascii="宋体" w:hAnsi="宋体"/>
                <w:kern w:val="0"/>
                <w:szCs w:val="21"/>
              </w:rPr>
              <w:t>国别 产地</w:t>
            </w:r>
          </w:p>
        </w:tc>
        <w:tc>
          <w:tcPr>
            <w:tcW w:w="799" w:type="dxa"/>
            <w:vAlign w:val="center"/>
          </w:tcPr>
          <w:p w14:paraId="4DAF9D85">
            <w:pPr>
              <w:autoSpaceDE w:val="0"/>
              <w:autoSpaceDN w:val="0"/>
              <w:adjustRightInd w:val="0"/>
              <w:snapToGrid w:val="0"/>
              <w:jc w:val="center"/>
              <w:rPr>
                <w:rFonts w:ascii="宋体" w:hAnsi="宋体"/>
                <w:kern w:val="0"/>
                <w:szCs w:val="21"/>
              </w:rPr>
            </w:pPr>
            <w:r>
              <w:rPr>
                <w:rFonts w:ascii="宋体" w:hAnsi="宋体"/>
                <w:kern w:val="0"/>
                <w:szCs w:val="21"/>
              </w:rPr>
              <w:t>制造</w:t>
            </w:r>
          </w:p>
          <w:p w14:paraId="366ADBD9">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12" w:type="dxa"/>
            <w:vAlign w:val="center"/>
          </w:tcPr>
          <w:p w14:paraId="083377B2">
            <w:pPr>
              <w:autoSpaceDE w:val="0"/>
              <w:autoSpaceDN w:val="0"/>
              <w:adjustRightInd w:val="0"/>
              <w:snapToGrid w:val="0"/>
              <w:jc w:val="center"/>
              <w:rPr>
                <w:rFonts w:ascii="宋体" w:hAnsi="宋体"/>
                <w:kern w:val="0"/>
                <w:szCs w:val="21"/>
              </w:rPr>
            </w:pPr>
            <w:r>
              <w:rPr>
                <w:rFonts w:ascii="宋体" w:hAnsi="宋体"/>
                <w:kern w:val="0"/>
                <w:szCs w:val="21"/>
              </w:rPr>
              <w:t>额定功率</w:t>
            </w:r>
          </w:p>
          <w:p w14:paraId="0FF117F1">
            <w:pPr>
              <w:autoSpaceDE w:val="0"/>
              <w:autoSpaceDN w:val="0"/>
              <w:adjustRightInd w:val="0"/>
              <w:snapToGrid w:val="0"/>
              <w:jc w:val="center"/>
              <w:rPr>
                <w:rFonts w:ascii="宋体" w:hAnsi="宋体"/>
                <w:kern w:val="0"/>
                <w:sz w:val="10"/>
                <w:szCs w:val="10"/>
              </w:rPr>
            </w:pPr>
          </w:p>
          <w:p w14:paraId="3DCE9667">
            <w:pPr>
              <w:autoSpaceDE w:val="0"/>
              <w:autoSpaceDN w:val="0"/>
              <w:adjustRightInd w:val="0"/>
              <w:snapToGrid w:val="0"/>
              <w:jc w:val="center"/>
              <w:rPr>
                <w:rFonts w:ascii="宋体" w:hAnsi="宋体"/>
                <w:kern w:val="0"/>
                <w:sz w:val="24"/>
              </w:rPr>
            </w:pPr>
            <w:r>
              <w:rPr>
                <w:rFonts w:ascii="宋体" w:hAnsi="宋体"/>
                <w:kern w:val="0"/>
                <w:szCs w:val="21"/>
              </w:rPr>
              <w:t>（KW）</w:t>
            </w:r>
          </w:p>
        </w:tc>
        <w:tc>
          <w:tcPr>
            <w:tcW w:w="947" w:type="dxa"/>
            <w:vAlign w:val="center"/>
          </w:tcPr>
          <w:p w14:paraId="5CEC9923">
            <w:pPr>
              <w:autoSpaceDE w:val="0"/>
              <w:autoSpaceDN w:val="0"/>
              <w:adjustRightInd w:val="0"/>
              <w:snapToGrid w:val="0"/>
              <w:jc w:val="center"/>
              <w:rPr>
                <w:rFonts w:ascii="宋体" w:hAnsi="宋体"/>
                <w:kern w:val="0"/>
                <w:szCs w:val="21"/>
              </w:rPr>
            </w:pPr>
            <w:r>
              <w:rPr>
                <w:rFonts w:ascii="宋体" w:hAnsi="宋体"/>
                <w:kern w:val="0"/>
                <w:szCs w:val="21"/>
              </w:rPr>
              <w:t>生产</w:t>
            </w:r>
          </w:p>
          <w:p w14:paraId="3656346C">
            <w:pPr>
              <w:autoSpaceDE w:val="0"/>
              <w:autoSpaceDN w:val="0"/>
              <w:adjustRightInd w:val="0"/>
              <w:snapToGrid w:val="0"/>
              <w:jc w:val="center"/>
              <w:rPr>
                <w:rFonts w:ascii="宋体" w:hAnsi="宋体"/>
                <w:kern w:val="0"/>
                <w:sz w:val="24"/>
              </w:rPr>
            </w:pPr>
            <w:r>
              <w:rPr>
                <w:rFonts w:ascii="宋体" w:hAnsi="宋体"/>
                <w:kern w:val="0"/>
                <w:szCs w:val="21"/>
              </w:rPr>
              <w:t>能力</w:t>
            </w:r>
          </w:p>
        </w:tc>
        <w:tc>
          <w:tcPr>
            <w:tcW w:w="1141" w:type="dxa"/>
            <w:vAlign w:val="center"/>
          </w:tcPr>
          <w:p w14:paraId="727FF213">
            <w:pPr>
              <w:autoSpaceDE w:val="0"/>
              <w:autoSpaceDN w:val="0"/>
              <w:adjustRightInd w:val="0"/>
              <w:snapToGrid w:val="0"/>
              <w:jc w:val="center"/>
              <w:rPr>
                <w:rFonts w:ascii="宋体" w:hAnsi="宋体"/>
                <w:kern w:val="0"/>
                <w:szCs w:val="21"/>
              </w:rPr>
            </w:pPr>
            <w:r>
              <w:rPr>
                <w:rFonts w:ascii="宋体" w:hAnsi="宋体"/>
                <w:kern w:val="0"/>
                <w:szCs w:val="21"/>
              </w:rPr>
              <w:t>用于施</w:t>
            </w:r>
          </w:p>
          <w:p w14:paraId="0977EA03">
            <w:pPr>
              <w:autoSpaceDE w:val="0"/>
              <w:autoSpaceDN w:val="0"/>
              <w:adjustRightInd w:val="0"/>
              <w:snapToGrid w:val="0"/>
              <w:jc w:val="center"/>
              <w:rPr>
                <w:rFonts w:ascii="宋体" w:hAnsi="宋体"/>
                <w:kern w:val="0"/>
                <w:sz w:val="24"/>
              </w:rPr>
            </w:pPr>
            <w:r>
              <w:rPr>
                <w:rFonts w:ascii="宋体" w:hAnsi="宋体"/>
                <w:kern w:val="0"/>
                <w:szCs w:val="21"/>
              </w:rPr>
              <w:t>工部位</w:t>
            </w:r>
          </w:p>
        </w:tc>
        <w:tc>
          <w:tcPr>
            <w:tcW w:w="749" w:type="dxa"/>
            <w:vAlign w:val="center"/>
          </w:tcPr>
          <w:p w14:paraId="45D93B59">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11A2C3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7CCE202">
            <w:pPr>
              <w:autoSpaceDE w:val="0"/>
              <w:autoSpaceDN w:val="0"/>
              <w:adjustRightInd w:val="0"/>
              <w:snapToGrid w:val="0"/>
              <w:jc w:val="center"/>
              <w:rPr>
                <w:rFonts w:ascii="宋体" w:hAnsi="宋体"/>
                <w:kern w:val="0"/>
                <w:sz w:val="24"/>
              </w:rPr>
            </w:pPr>
          </w:p>
        </w:tc>
        <w:tc>
          <w:tcPr>
            <w:tcW w:w="1176" w:type="dxa"/>
            <w:vAlign w:val="center"/>
          </w:tcPr>
          <w:p w14:paraId="30A32D65">
            <w:pPr>
              <w:autoSpaceDE w:val="0"/>
              <w:autoSpaceDN w:val="0"/>
              <w:adjustRightInd w:val="0"/>
              <w:snapToGrid w:val="0"/>
              <w:jc w:val="center"/>
              <w:rPr>
                <w:rFonts w:ascii="宋体" w:hAnsi="宋体"/>
                <w:kern w:val="0"/>
                <w:sz w:val="24"/>
              </w:rPr>
            </w:pPr>
          </w:p>
        </w:tc>
        <w:tc>
          <w:tcPr>
            <w:tcW w:w="824" w:type="dxa"/>
            <w:vAlign w:val="center"/>
          </w:tcPr>
          <w:p w14:paraId="2B7D7515">
            <w:pPr>
              <w:autoSpaceDE w:val="0"/>
              <w:autoSpaceDN w:val="0"/>
              <w:adjustRightInd w:val="0"/>
              <w:snapToGrid w:val="0"/>
              <w:jc w:val="center"/>
              <w:rPr>
                <w:rFonts w:ascii="宋体" w:hAnsi="宋体"/>
                <w:kern w:val="0"/>
                <w:sz w:val="24"/>
              </w:rPr>
            </w:pPr>
          </w:p>
        </w:tc>
        <w:tc>
          <w:tcPr>
            <w:tcW w:w="1072" w:type="dxa"/>
            <w:vAlign w:val="center"/>
          </w:tcPr>
          <w:p w14:paraId="207599E9">
            <w:pPr>
              <w:autoSpaceDE w:val="0"/>
              <w:autoSpaceDN w:val="0"/>
              <w:adjustRightInd w:val="0"/>
              <w:snapToGrid w:val="0"/>
              <w:jc w:val="center"/>
              <w:rPr>
                <w:rFonts w:ascii="宋体" w:hAnsi="宋体"/>
                <w:kern w:val="0"/>
                <w:sz w:val="24"/>
              </w:rPr>
            </w:pPr>
          </w:p>
        </w:tc>
        <w:tc>
          <w:tcPr>
            <w:tcW w:w="728" w:type="dxa"/>
            <w:vAlign w:val="center"/>
          </w:tcPr>
          <w:p w14:paraId="3BA7EFC5">
            <w:pPr>
              <w:autoSpaceDE w:val="0"/>
              <w:autoSpaceDN w:val="0"/>
              <w:adjustRightInd w:val="0"/>
              <w:snapToGrid w:val="0"/>
              <w:jc w:val="center"/>
              <w:rPr>
                <w:rFonts w:ascii="宋体" w:hAnsi="宋体"/>
                <w:kern w:val="0"/>
                <w:sz w:val="24"/>
              </w:rPr>
            </w:pPr>
          </w:p>
        </w:tc>
        <w:tc>
          <w:tcPr>
            <w:tcW w:w="799" w:type="dxa"/>
            <w:vAlign w:val="center"/>
          </w:tcPr>
          <w:p w14:paraId="35571F56">
            <w:pPr>
              <w:autoSpaceDE w:val="0"/>
              <w:autoSpaceDN w:val="0"/>
              <w:adjustRightInd w:val="0"/>
              <w:snapToGrid w:val="0"/>
              <w:jc w:val="center"/>
              <w:rPr>
                <w:rFonts w:ascii="宋体" w:hAnsi="宋体"/>
                <w:kern w:val="0"/>
                <w:sz w:val="24"/>
              </w:rPr>
            </w:pPr>
          </w:p>
        </w:tc>
        <w:tc>
          <w:tcPr>
            <w:tcW w:w="1312" w:type="dxa"/>
            <w:vAlign w:val="center"/>
          </w:tcPr>
          <w:p w14:paraId="6C399A4F">
            <w:pPr>
              <w:autoSpaceDE w:val="0"/>
              <w:autoSpaceDN w:val="0"/>
              <w:adjustRightInd w:val="0"/>
              <w:snapToGrid w:val="0"/>
              <w:jc w:val="center"/>
              <w:rPr>
                <w:rFonts w:ascii="宋体" w:hAnsi="宋体"/>
                <w:kern w:val="0"/>
                <w:sz w:val="24"/>
              </w:rPr>
            </w:pPr>
          </w:p>
        </w:tc>
        <w:tc>
          <w:tcPr>
            <w:tcW w:w="947" w:type="dxa"/>
            <w:vAlign w:val="center"/>
          </w:tcPr>
          <w:p w14:paraId="0BEBBE53">
            <w:pPr>
              <w:autoSpaceDE w:val="0"/>
              <w:autoSpaceDN w:val="0"/>
              <w:adjustRightInd w:val="0"/>
              <w:snapToGrid w:val="0"/>
              <w:jc w:val="center"/>
              <w:rPr>
                <w:rFonts w:ascii="宋体" w:hAnsi="宋体"/>
                <w:kern w:val="0"/>
                <w:sz w:val="24"/>
              </w:rPr>
            </w:pPr>
          </w:p>
        </w:tc>
        <w:tc>
          <w:tcPr>
            <w:tcW w:w="1141" w:type="dxa"/>
            <w:vAlign w:val="center"/>
          </w:tcPr>
          <w:p w14:paraId="5AF42628">
            <w:pPr>
              <w:autoSpaceDE w:val="0"/>
              <w:autoSpaceDN w:val="0"/>
              <w:adjustRightInd w:val="0"/>
              <w:snapToGrid w:val="0"/>
              <w:jc w:val="center"/>
              <w:rPr>
                <w:rFonts w:ascii="宋体" w:hAnsi="宋体"/>
                <w:kern w:val="0"/>
                <w:sz w:val="24"/>
              </w:rPr>
            </w:pPr>
          </w:p>
        </w:tc>
        <w:tc>
          <w:tcPr>
            <w:tcW w:w="749" w:type="dxa"/>
            <w:vAlign w:val="center"/>
          </w:tcPr>
          <w:p w14:paraId="416A8B9B">
            <w:pPr>
              <w:autoSpaceDE w:val="0"/>
              <w:autoSpaceDN w:val="0"/>
              <w:adjustRightInd w:val="0"/>
              <w:snapToGrid w:val="0"/>
              <w:jc w:val="center"/>
              <w:rPr>
                <w:rFonts w:ascii="宋体" w:hAnsi="宋体"/>
                <w:kern w:val="0"/>
                <w:sz w:val="24"/>
              </w:rPr>
            </w:pPr>
          </w:p>
        </w:tc>
      </w:tr>
      <w:tr w14:paraId="23C653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AFD8D99">
            <w:pPr>
              <w:autoSpaceDE w:val="0"/>
              <w:autoSpaceDN w:val="0"/>
              <w:adjustRightInd w:val="0"/>
              <w:snapToGrid w:val="0"/>
              <w:jc w:val="center"/>
              <w:rPr>
                <w:rFonts w:ascii="宋体" w:hAnsi="宋体"/>
                <w:kern w:val="0"/>
                <w:sz w:val="24"/>
              </w:rPr>
            </w:pPr>
          </w:p>
        </w:tc>
        <w:tc>
          <w:tcPr>
            <w:tcW w:w="1176" w:type="dxa"/>
            <w:vAlign w:val="center"/>
          </w:tcPr>
          <w:p w14:paraId="26F7ED20">
            <w:pPr>
              <w:autoSpaceDE w:val="0"/>
              <w:autoSpaceDN w:val="0"/>
              <w:adjustRightInd w:val="0"/>
              <w:snapToGrid w:val="0"/>
              <w:jc w:val="center"/>
              <w:rPr>
                <w:rFonts w:ascii="宋体" w:hAnsi="宋体"/>
                <w:kern w:val="0"/>
                <w:sz w:val="24"/>
              </w:rPr>
            </w:pPr>
          </w:p>
        </w:tc>
        <w:tc>
          <w:tcPr>
            <w:tcW w:w="824" w:type="dxa"/>
            <w:vAlign w:val="center"/>
          </w:tcPr>
          <w:p w14:paraId="16755DCB">
            <w:pPr>
              <w:autoSpaceDE w:val="0"/>
              <w:autoSpaceDN w:val="0"/>
              <w:adjustRightInd w:val="0"/>
              <w:snapToGrid w:val="0"/>
              <w:jc w:val="center"/>
              <w:rPr>
                <w:rFonts w:ascii="宋体" w:hAnsi="宋体"/>
                <w:kern w:val="0"/>
                <w:sz w:val="24"/>
              </w:rPr>
            </w:pPr>
          </w:p>
        </w:tc>
        <w:tc>
          <w:tcPr>
            <w:tcW w:w="1072" w:type="dxa"/>
            <w:vAlign w:val="center"/>
          </w:tcPr>
          <w:p w14:paraId="63343719">
            <w:pPr>
              <w:autoSpaceDE w:val="0"/>
              <w:autoSpaceDN w:val="0"/>
              <w:adjustRightInd w:val="0"/>
              <w:snapToGrid w:val="0"/>
              <w:jc w:val="center"/>
              <w:rPr>
                <w:rFonts w:ascii="宋体" w:hAnsi="宋体"/>
                <w:kern w:val="0"/>
                <w:sz w:val="24"/>
              </w:rPr>
            </w:pPr>
          </w:p>
        </w:tc>
        <w:tc>
          <w:tcPr>
            <w:tcW w:w="728" w:type="dxa"/>
            <w:vAlign w:val="center"/>
          </w:tcPr>
          <w:p w14:paraId="3C0226B2">
            <w:pPr>
              <w:autoSpaceDE w:val="0"/>
              <w:autoSpaceDN w:val="0"/>
              <w:adjustRightInd w:val="0"/>
              <w:snapToGrid w:val="0"/>
              <w:jc w:val="center"/>
              <w:rPr>
                <w:rFonts w:ascii="宋体" w:hAnsi="宋体"/>
                <w:kern w:val="0"/>
                <w:sz w:val="24"/>
              </w:rPr>
            </w:pPr>
          </w:p>
        </w:tc>
        <w:tc>
          <w:tcPr>
            <w:tcW w:w="799" w:type="dxa"/>
            <w:vAlign w:val="center"/>
          </w:tcPr>
          <w:p w14:paraId="446F6F2D">
            <w:pPr>
              <w:autoSpaceDE w:val="0"/>
              <w:autoSpaceDN w:val="0"/>
              <w:adjustRightInd w:val="0"/>
              <w:snapToGrid w:val="0"/>
              <w:jc w:val="center"/>
              <w:rPr>
                <w:rFonts w:ascii="宋体" w:hAnsi="宋体"/>
                <w:kern w:val="0"/>
                <w:sz w:val="24"/>
              </w:rPr>
            </w:pPr>
          </w:p>
        </w:tc>
        <w:tc>
          <w:tcPr>
            <w:tcW w:w="1312" w:type="dxa"/>
            <w:vAlign w:val="center"/>
          </w:tcPr>
          <w:p w14:paraId="2C5F8181">
            <w:pPr>
              <w:autoSpaceDE w:val="0"/>
              <w:autoSpaceDN w:val="0"/>
              <w:adjustRightInd w:val="0"/>
              <w:snapToGrid w:val="0"/>
              <w:jc w:val="center"/>
              <w:rPr>
                <w:rFonts w:ascii="宋体" w:hAnsi="宋体"/>
                <w:kern w:val="0"/>
                <w:sz w:val="24"/>
              </w:rPr>
            </w:pPr>
          </w:p>
        </w:tc>
        <w:tc>
          <w:tcPr>
            <w:tcW w:w="947" w:type="dxa"/>
            <w:vAlign w:val="center"/>
          </w:tcPr>
          <w:p w14:paraId="0D80DE42">
            <w:pPr>
              <w:autoSpaceDE w:val="0"/>
              <w:autoSpaceDN w:val="0"/>
              <w:adjustRightInd w:val="0"/>
              <w:snapToGrid w:val="0"/>
              <w:jc w:val="center"/>
              <w:rPr>
                <w:rFonts w:ascii="宋体" w:hAnsi="宋体"/>
                <w:kern w:val="0"/>
                <w:sz w:val="24"/>
              </w:rPr>
            </w:pPr>
          </w:p>
        </w:tc>
        <w:tc>
          <w:tcPr>
            <w:tcW w:w="1141" w:type="dxa"/>
            <w:vAlign w:val="center"/>
          </w:tcPr>
          <w:p w14:paraId="7EC41F6B">
            <w:pPr>
              <w:autoSpaceDE w:val="0"/>
              <w:autoSpaceDN w:val="0"/>
              <w:adjustRightInd w:val="0"/>
              <w:snapToGrid w:val="0"/>
              <w:jc w:val="center"/>
              <w:rPr>
                <w:rFonts w:ascii="宋体" w:hAnsi="宋体"/>
                <w:kern w:val="0"/>
                <w:sz w:val="24"/>
              </w:rPr>
            </w:pPr>
          </w:p>
        </w:tc>
        <w:tc>
          <w:tcPr>
            <w:tcW w:w="749" w:type="dxa"/>
            <w:vAlign w:val="center"/>
          </w:tcPr>
          <w:p w14:paraId="62CD2AE0">
            <w:pPr>
              <w:autoSpaceDE w:val="0"/>
              <w:autoSpaceDN w:val="0"/>
              <w:adjustRightInd w:val="0"/>
              <w:snapToGrid w:val="0"/>
              <w:jc w:val="center"/>
              <w:rPr>
                <w:rFonts w:ascii="宋体" w:hAnsi="宋体"/>
                <w:kern w:val="0"/>
                <w:sz w:val="24"/>
              </w:rPr>
            </w:pPr>
          </w:p>
        </w:tc>
      </w:tr>
      <w:tr w14:paraId="7E478C9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788EF0B">
            <w:pPr>
              <w:autoSpaceDE w:val="0"/>
              <w:autoSpaceDN w:val="0"/>
              <w:adjustRightInd w:val="0"/>
              <w:snapToGrid w:val="0"/>
              <w:jc w:val="center"/>
              <w:rPr>
                <w:rFonts w:ascii="宋体" w:hAnsi="宋体"/>
                <w:kern w:val="0"/>
                <w:sz w:val="24"/>
              </w:rPr>
            </w:pPr>
          </w:p>
        </w:tc>
        <w:tc>
          <w:tcPr>
            <w:tcW w:w="1176" w:type="dxa"/>
            <w:vAlign w:val="center"/>
          </w:tcPr>
          <w:p w14:paraId="1D80EF6E">
            <w:pPr>
              <w:autoSpaceDE w:val="0"/>
              <w:autoSpaceDN w:val="0"/>
              <w:adjustRightInd w:val="0"/>
              <w:snapToGrid w:val="0"/>
              <w:jc w:val="center"/>
              <w:rPr>
                <w:rFonts w:ascii="宋体" w:hAnsi="宋体"/>
                <w:kern w:val="0"/>
                <w:sz w:val="24"/>
              </w:rPr>
            </w:pPr>
          </w:p>
        </w:tc>
        <w:tc>
          <w:tcPr>
            <w:tcW w:w="824" w:type="dxa"/>
            <w:vAlign w:val="center"/>
          </w:tcPr>
          <w:p w14:paraId="50967EEF">
            <w:pPr>
              <w:autoSpaceDE w:val="0"/>
              <w:autoSpaceDN w:val="0"/>
              <w:adjustRightInd w:val="0"/>
              <w:snapToGrid w:val="0"/>
              <w:jc w:val="center"/>
              <w:rPr>
                <w:rFonts w:ascii="宋体" w:hAnsi="宋体"/>
                <w:kern w:val="0"/>
                <w:sz w:val="24"/>
              </w:rPr>
            </w:pPr>
          </w:p>
        </w:tc>
        <w:tc>
          <w:tcPr>
            <w:tcW w:w="1072" w:type="dxa"/>
            <w:vAlign w:val="center"/>
          </w:tcPr>
          <w:p w14:paraId="465ACD5B">
            <w:pPr>
              <w:autoSpaceDE w:val="0"/>
              <w:autoSpaceDN w:val="0"/>
              <w:adjustRightInd w:val="0"/>
              <w:snapToGrid w:val="0"/>
              <w:jc w:val="center"/>
              <w:rPr>
                <w:rFonts w:ascii="宋体" w:hAnsi="宋体"/>
                <w:kern w:val="0"/>
                <w:sz w:val="24"/>
              </w:rPr>
            </w:pPr>
          </w:p>
        </w:tc>
        <w:tc>
          <w:tcPr>
            <w:tcW w:w="728" w:type="dxa"/>
            <w:vAlign w:val="center"/>
          </w:tcPr>
          <w:p w14:paraId="386583C3">
            <w:pPr>
              <w:autoSpaceDE w:val="0"/>
              <w:autoSpaceDN w:val="0"/>
              <w:adjustRightInd w:val="0"/>
              <w:snapToGrid w:val="0"/>
              <w:jc w:val="center"/>
              <w:rPr>
                <w:rFonts w:ascii="宋体" w:hAnsi="宋体"/>
                <w:kern w:val="0"/>
                <w:sz w:val="24"/>
              </w:rPr>
            </w:pPr>
          </w:p>
        </w:tc>
        <w:tc>
          <w:tcPr>
            <w:tcW w:w="799" w:type="dxa"/>
            <w:vAlign w:val="center"/>
          </w:tcPr>
          <w:p w14:paraId="343BD27D">
            <w:pPr>
              <w:autoSpaceDE w:val="0"/>
              <w:autoSpaceDN w:val="0"/>
              <w:adjustRightInd w:val="0"/>
              <w:snapToGrid w:val="0"/>
              <w:jc w:val="center"/>
              <w:rPr>
                <w:rFonts w:ascii="宋体" w:hAnsi="宋体"/>
                <w:kern w:val="0"/>
                <w:sz w:val="24"/>
              </w:rPr>
            </w:pPr>
          </w:p>
        </w:tc>
        <w:tc>
          <w:tcPr>
            <w:tcW w:w="1312" w:type="dxa"/>
            <w:vAlign w:val="center"/>
          </w:tcPr>
          <w:p w14:paraId="6B9A948E">
            <w:pPr>
              <w:autoSpaceDE w:val="0"/>
              <w:autoSpaceDN w:val="0"/>
              <w:adjustRightInd w:val="0"/>
              <w:snapToGrid w:val="0"/>
              <w:jc w:val="center"/>
              <w:rPr>
                <w:rFonts w:ascii="宋体" w:hAnsi="宋体"/>
                <w:kern w:val="0"/>
                <w:sz w:val="24"/>
              </w:rPr>
            </w:pPr>
          </w:p>
        </w:tc>
        <w:tc>
          <w:tcPr>
            <w:tcW w:w="947" w:type="dxa"/>
            <w:vAlign w:val="center"/>
          </w:tcPr>
          <w:p w14:paraId="4BC8CACE">
            <w:pPr>
              <w:autoSpaceDE w:val="0"/>
              <w:autoSpaceDN w:val="0"/>
              <w:adjustRightInd w:val="0"/>
              <w:snapToGrid w:val="0"/>
              <w:jc w:val="center"/>
              <w:rPr>
                <w:rFonts w:ascii="宋体" w:hAnsi="宋体"/>
                <w:kern w:val="0"/>
                <w:sz w:val="24"/>
              </w:rPr>
            </w:pPr>
          </w:p>
        </w:tc>
        <w:tc>
          <w:tcPr>
            <w:tcW w:w="1141" w:type="dxa"/>
            <w:vAlign w:val="center"/>
          </w:tcPr>
          <w:p w14:paraId="4EB74959">
            <w:pPr>
              <w:autoSpaceDE w:val="0"/>
              <w:autoSpaceDN w:val="0"/>
              <w:adjustRightInd w:val="0"/>
              <w:snapToGrid w:val="0"/>
              <w:jc w:val="center"/>
              <w:rPr>
                <w:rFonts w:ascii="宋体" w:hAnsi="宋体"/>
                <w:kern w:val="0"/>
                <w:sz w:val="24"/>
              </w:rPr>
            </w:pPr>
          </w:p>
        </w:tc>
        <w:tc>
          <w:tcPr>
            <w:tcW w:w="749" w:type="dxa"/>
            <w:vAlign w:val="center"/>
          </w:tcPr>
          <w:p w14:paraId="15304368">
            <w:pPr>
              <w:autoSpaceDE w:val="0"/>
              <w:autoSpaceDN w:val="0"/>
              <w:adjustRightInd w:val="0"/>
              <w:snapToGrid w:val="0"/>
              <w:jc w:val="center"/>
              <w:rPr>
                <w:rFonts w:ascii="宋体" w:hAnsi="宋体"/>
                <w:kern w:val="0"/>
                <w:sz w:val="24"/>
              </w:rPr>
            </w:pPr>
          </w:p>
        </w:tc>
      </w:tr>
      <w:tr w14:paraId="56BD92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C8068D5">
            <w:pPr>
              <w:autoSpaceDE w:val="0"/>
              <w:autoSpaceDN w:val="0"/>
              <w:adjustRightInd w:val="0"/>
              <w:snapToGrid w:val="0"/>
              <w:jc w:val="center"/>
              <w:rPr>
                <w:rFonts w:ascii="宋体" w:hAnsi="宋体"/>
                <w:kern w:val="0"/>
                <w:sz w:val="24"/>
              </w:rPr>
            </w:pPr>
          </w:p>
        </w:tc>
        <w:tc>
          <w:tcPr>
            <w:tcW w:w="1176" w:type="dxa"/>
            <w:vAlign w:val="center"/>
          </w:tcPr>
          <w:p w14:paraId="02DF06F4">
            <w:pPr>
              <w:autoSpaceDE w:val="0"/>
              <w:autoSpaceDN w:val="0"/>
              <w:adjustRightInd w:val="0"/>
              <w:snapToGrid w:val="0"/>
              <w:jc w:val="center"/>
              <w:rPr>
                <w:rFonts w:ascii="宋体" w:hAnsi="宋体"/>
                <w:kern w:val="0"/>
                <w:sz w:val="24"/>
              </w:rPr>
            </w:pPr>
          </w:p>
        </w:tc>
        <w:tc>
          <w:tcPr>
            <w:tcW w:w="824" w:type="dxa"/>
            <w:vAlign w:val="center"/>
          </w:tcPr>
          <w:p w14:paraId="7EAB9392">
            <w:pPr>
              <w:autoSpaceDE w:val="0"/>
              <w:autoSpaceDN w:val="0"/>
              <w:adjustRightInd w:val="0"/>
              <w:snapToGrid w:val="0"/>
              <w:jc w:val="center"/>
              <w:rPr>
                <w:rFonts w:ascii="宋体" w:hAnsi="宋体"/>
                <w:kern w:val="0"/>
                <w:sz w:val="24"/>
              </w:rPr>
            </w:pPr>
          </w:p>
        </w:tc>
        <w:tc>
          <w:tcPr>
            <w:tcW w:w="1072" w:type="dxa"/>
            <w:vAlign w:val="center"/>
          </w:tcPr>
          <w:p w14:paraId="1F789105">
            <w:pPr>
              <w:autoSpaceDE w:val="0"/>
              <w:autoSpaceDN w:val="0"/>
              <w:adjustRightInd w:val="0"/>
              <w:snapToGrid w:val="0"/>
              <w:jc w:val="center"/>
              <w:rPr>
                <w:rFonts w:ascii="宋体" w:hAnsi="宋体"/>
                <w:kern w:val="0"/>
                <w:sz w:val="24"/>
              </w:rPr>
            </w:pPr>
          </w:p>
        </w:tc>
        <w:tc>
          <w:tcPr>
            <w:tcW w:w="728" w:type="dxa"/>
            <w:vAlign w:val="center"/>
          </w:tcPr>
          <w:p w14:paraId="6339C743">
            <w:pPr>
              <w:autoSpaceDE w:val="0"/>
              <w:autoSpaceDN w:val="0"/>
              <w:adjustRightInd w:val="0"/>
              <w:snapToGrid w:val="0"/>
              <w:jc w:val="center"/>
              <w:rPr>
                <w:rFonts w:ascii="宋体" w:hAnsi="宋体"/>
                <w:kern w:val="0"/>
                <w:sz w:val="24"/>
              </w:rPr>
            </w:pPr>
          </w:p>
        </w:tc>
        <w:tc>
          <w:tcPr>
            <w:tcW w:w="799" w:type="dxa"/>
            <w:vAlign w:val="center"/>
          </w:tcPr>
          <w:p w14:paraId="788F547D">
            <w:pPr>
              <w:autoSpaceDE w:val="0"/>
              <w:autoSpaceDN w:val="0"/>
              <w:adjustRightInd w:val="0"/>
              <w:snapToGrid w:val="0"/>
              <w:jc w:val="center"/>
              <w:rPr>
                <w:rFonts w:ascii="宋体" w:hAnsi="宋体"/>
                <w:kern w:val="0"/>
                <w:sz w:val="24"/>
              </w:rPr>
            </w:pPr>
          </w:p>
        </w:tc>
        <w:tc>
          <w:tcPr>
            <w:tcW w:w="1312" w:type="dxa"/>
            <w:vAlign w:val="center"/>
          </w:tcPr>
          <w:p w14:paraId="63D1BA93">
            <w:pPr>
              <w:autoSpaceDE w:val="0"/>
              <w:autoSpaceDN w:val="0"/>
              <w:adjustRightInd w:val="0"/>
              <w:snapToGrid w:val="0"/>
              <w:jc w:val="center"/>
              <w:rPr>
                <w:rFonts w:ascii="宋体" w:hAnsi="宋体"/>
                <w:kern w:val="0"/>
                <w:sz w:val="24"/>
              </w:rPr>
            </w:pPr>
          </w:p>
        </w:tc>
        <w:tc>
          <w:tcPr>
            <w:tcW w:w="947" w:type="dxa"/>
            <w:vAlign w:val="center"/>
          </w:tcPr>
          <w:p w14:paraId="66BB06CE">
            <w:pPr>
              <w:autoSpaceDE w:val="0"/>
              <w:autoSpaceDN w:val="0"/>
              <w:adjustRightInd w:val="0"/>
              <w:snapToGrid w:val="0"/>
              <w:jc w:val="center"/>
              <w:rPr>
                <w:rFonts w:ascii="宋体" w:hAnsi="宋体"/>
                <w:kern w:val="0"/>
                <w:sz w:val="24"/>
              </w:rPr>
            </w:pPr>
          </w:p>
        </w:tc>
        <w:tc>
          <w:tcPr>
            <w:tcW w:w="1141" w:type="dxa"/>
            <w:vAlign w:val="center"/>
          </w:tcPr>
          <w:p w14:paraId="00BEC124">
            <w:pPr>
              <w:autoSpaceDE w:val="0"/>
              <w:autoSpaceDN w:val="0"/>
              <w:adjustRightInd w:val="0"/>
              <w:snapToGrid w:val="0"/>
              <w:jc w:val="center"/>
              <w:rPr>
                <w:rFonts w:ascii="宋体" w:hAnsi="宋体"/>
                <w:kern w:val="0"/>
                <w:sz w:val="24"/>
              </w:rPr>
            </w:pPr>
          </w:p>
        </w:tc>
        <w:tc>
          <w:tcPr>
            <w:tcW w:w="749" w:type="dxa"/>
            <w:vAlign w:val="center"/>
          </w:tcPr>
          <w:p w14:paraId="3FA0E12B">
            <w:pPr>
              <w:autoSpaceDE w:val="0"/>
              <w:autoSpaceDN w:val="0"/>
              <w:adjustRightInd w:val="0"/>
              <w:snapToGrid w:val="0"/>
              <w:jc w:val="center"/>
              <w:rPr>
                <w:rFonts w:ascii="宋体" w:hAnsi="宋体"/>
                <w:kern w:val="0"/>
                <w:sz w:val="24"/>
              </w:rPr>
            </w:pPr>
          </w:p>
        </w:tc>
      </w:tr>
      <w:tr w14:paraId="6D7B82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3C70CC0">
            <w:pPr>
              <w:autoSpaceDE w:val="0"/>
              <w:autoSpaceDN w:val="0"/>
              <w:adjustRightInd w:val="0"/>
              <w:snapToGrid w:val="0"/>
              <w:jc w:val="center"/>
              <w:rPr>
                <w:rFonts w:ascii="宋体" w:hAnsi="宋体"/>
                <w:kern w:val="0"/>
                <w:sz w:val="24"/>
              </w:rPr>
            </w:pPr>
          </w:p>
        </w:tc>
        <w:tc>
          <w:tcPr>
            <w:tcW w:w="1176" w:type="dxa"/>
            <w:vAlign w:val="center"/>
          </w:tcPr>
          <w:p w14:paraId="1F9E160B">
            <w:pPr>
              <w:autoSpaceDE w:val="0"/>
              <w:autoSpaceDN w:val="0"/>
              <w:adjustRightInd w:val="0"/>
              <w:snapToGrid w:val="0"/>
              <w:jc w:val="center"/>
              <w:rPr>
                <w:rFonts w:ascii="宋体" w:hAnsi="宋体"/>
                <w:kern w:val="0"/>
                <w:sz w:val="24"/>
              </w:rPr>
            </w:pPr>
          </w:p>
        </w:tc>
        <w:tc>
          <w:tcPr>
            <w:tcW w:w="824" w:type="dxa"/>
            <w:vAlign w:val="center"/>
          </w:tcPr>
          <w:p w14:paraId="25BD20BB">
            <w:pPr>
              <w:autoSpaceDE w:val="0"/>
              <w:autoSpaceDN w:val="0"/>
              <w:adjustRightInd w:val="0"/>
              <w:snapToGrid w:val="0"/>
              <w:jc w:val="center"/>
              <w:rPr>
                <w:rFonts w:ascii="宋体" w:hAnsi="宋体"/>
                <w:kern w:val="0"/>
                <w:sz w:val="24"/>
              </w:rPr>
            </w:pPr>
          </w:p>
        </w:tc>
        <w:tc>
          <w:tcPr>
            <w:tcW w:w="1072" w:type="dxa"/>
            <w:vAlign w:val="center"/>
          </w:tcPr>
          <w:p w14:paraId="48D8D600">
            <w:pPr>
              <w:autoSpaceDE w:val="0"/>
              <w:autoSpaceDN w:val="0"/>
              <w:adjustRightInd w:val="0"/>
              <w:snapToGrid w:val="0"/>
              <w:jc w:val="center"/>
              <w:rPr>
                <w:rFonts w:ascii="宋体" w:hAnsi="宋体"/>
                <w:kern w:val="0"/>
                <w:sz w:val="24"/>
              </w:rPr>
            </w:pPr>
          </w:p>
        </w:tc>
        <w:tc>
          <w:tcPr>
            <w:tcW w:w="728" w:type="dxa"/>
            <w:vAlign w:val="center"/>
          </w:tcPr>
          <w:p w14:paraId="6295E21E">
            <w:pPr>
              <w:autoSpaceDE w:val="0"/>
              <w:autoSpaceDN w:val="0"/>
              <w:adjustRightInd w:val="0"/>
              <w:snapToGrid w:val="0"/>
              <w:jc w:val="center"/>
              <w:rPr>
                <w:rFonts w:ascii="宋体" w:hAnsi="宋体"/>
                <w:kern w:val="0"/>
                <w:sz w:val="24"/>
              </w:rPr>
            </w:pPr>
          </w:p>
        </w:tc>
        <w:tc>
          <w:tcPr>
            <w:tcW w:w="799" w:type="dxa"/>
            <w:vAlign w:val="center"/>
          </w:tcPr>
          <w:p w14:paraId="36F1E0AA">
            <w:pPr>
              <w:autoSpaceDE w:val="0"/>
              <w:autoSpaceDN w:val="0"/>
              <w:adjustRightInd w:val="0"/>
              <w:snapToGrid w:val="0"/>
              <w:jc w:val="center"/>
              <w:rPr>
                <w:rFonts w:ascii="宋体" w:hAnsi="宋体"/>
                <w:kern w:val="0"/>
                <w:sz w:val="24"/>
              </w:rPr>
            </w:pPr>
          </w:p>
        </w:tc>
        <w:tc>
          <w:tcPr>
            <w:tcW w:w="1312" w:type="dxa"/>
            <w:vAlign w:val="center"/>
          </w:tcPr>
          <w:p w14:paraId="34863303">
            <w:pPr>
              <w:autoSpaceDE w:val="0"/>
              <w:autoSpaceDN w:val="0"/>
              <w:adjustRightInd w:val="0"/>
              <w:snapToGrid w:val="0"/>
              <w:jc w:val="center"/>
              <w:rPr>
                <w:rFonts w:ascii="宋体" w:hAnsi="宋体"/>
                <w:kern w:val="0"/>
                <w:sz w:val="24"/>
              </w:rPr>
            </w:pPr>
          </w:p>
        </w:tc>
        <w:tc>
          <w:tcPr>
            <w:tcW w:w="947" w:type="dxa"/>
            <w:vAlign w:val="center"/>
          </w:tcPr>
          <w:p w14:paraId="39474117">
            <w:pPr>
              <w:autoSpaceDE w:val="0"/>
              <w:autoSpaceDN w:val="0"/>
              <w:adjustRightInd w:val="0"/>
              <w:snapToGrid w:val="0"/>
              <w:jc w:val="center"/>
              <w:rPr>
                <w:rFonts w:ascii="宋体" w:hAnsi="宋体"/>
                <w:kern w:val="0"/>
                <w:sz w:val="24"/>
              </w:rPr>
            </w:pPr>
          </w:p>
        </w:tc>
        <w:tc>
          <w:tcPr>
            <w:tcW w:w="1141" w:type="dxa"/>
            <w:vAlign w:val="center"/>
          </w:tcPr>
          <w:p w14:paraId="1670CCA6">
            <w:pPr>
              <w:autoSpaceDE w:val="0"/>
              <w:autoSpaceDN w:val="0"/>
              <w:adjustRightInd w:val="0"/>
              <w:snapToGrid w:val="0"/>
              <w:jc w:val="center"/>
              <w:rPr>
                <w:rFonts w:ascii="宋体" w:hAnsi="宋体"/>
                <w:kern w:val="0"/>
                <w:sz w:val="24"/>
              </w:rPr>
            </w:pPr>
          </w:p>
        </w:tc>
        <w:tc>
          <w:tcPr>
            <w:tcW w:w="749" w:type="dxa"/>
            <w:vAlign w:val="center"/>
          </w:tcPr>
          <w:p w14:paraId="012A11E1">
            <w:pPr>
              <w:autoSpaceDE w:val="0"/>
              <w:autoSpaceDN w:val="0"/>
              <w:adjustRightInd w:val="0"/>
              <w:snapToGrid w:val="0"/>
              <w:jc w:val="center"/>
              <w:rPr>
                <w:rFonts w:ascii="宋体" w:hAnsi="宋体"/>
                <w:kern w:val="0"/>
                <w:sz w:val="24"/>
              </w:rPr>
            </w:pPr>
          </w:p>
        </w:tc>
      </w:tr>
      <w:tr w14:paraId="39024F8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83E588C">
            <w:pPr>
              <w:autoSpaceDE w:val="0"/>
              <w:autoSpaceDN w:val="0"/>
              <w:adjustRightInd w:val="0"/>
              <w:snapToGrid w:val="0"/>
              <w:jc w:val="center"/>
              <w:rPr>
                <w:rFonts w:ascii="宋体" w:hAnsi="宋体"/>
                <w:kern w:val="0"/>
                <w:sz w:val="24"/>
              </w:rPr>
            </w:pPr>
          </w:p>
        </w:tc>
        <w:tc>
          <w:tcPr>
            <w:tcW w:w="1176" w:type="dxa"/>
            <w:vAlign w:val="center"/>
          </w:tcPr>
          <w:p w14:paraId="69AFB475">
            <w:pPr>
              <w:autoSpaceDE w:val="0"/>
              <w:autoSpaceDN w:val="0"/>
              <w:adjustRightInd w:val="0"/>
              <w:snapToGrid w:val="0"/>
              <w:jc w:val="center"/>
              <w:rPr>
                <w:rFonts w:ascii="宋体" w:hAnsi="宋体"/>
                <w:kern w:val="0"/>
                <w:sz w:val="24"/>
              </w:rPr>
            </w:pPr>
          </w:p>
        </w:tc>
        <w:tc>
          <w:tcPr>
            <w:tcW w:w="824" w:type="dxa"/>
            <w:vAlign w:val="center"/>
          </w:tcPr>
          <w:p w14:paraId="43FFDA44">
            <w:pPr>
              <w:autoSpaceDE w:val="0"/>
              <w:autoSpaceDN w:val="0"/>
              <w:adjustRightInd w:val="0"/>
              <w:snapToGrid w:val="0"/>
              <w:jc w:val="center"/>
              <w:rPr>
                <w:rFonts w:ascii="宋体" w:hAnsi="宋体"/>
                <w:kern w:val="0"/>
                <w:sz w:val="24"/>
              </w:rPr>
            </w:pPr>
          </w:p>
        </w:tc>
        <w:tc>
          <w:tcPr>
            <w:tcW w:w="1072" w:type="dxa"/>
            <w:vAlign w:val="center"/>
          </w:tcPr>
          <w:p w14:paraId="2ED5FF97">
            <w:pPr>
              <w:autoSpaceDE w:val="0"/>
              <w:autoSpaceDN w:val="0"/>
              <w:adjustRightInd w:val="0"/>
              <w:snapToGrid w:val="0"/>
              <w:jc w:val="center"/>
              <w:rPr>
                <w:rFonts w:ascii="宋体" w:hAnsi="宋体"/>
                <w:kern w:val="0"/>
                <w:sz w:val="24"/>
              </w:rPr>
            </w:pPr>
          </w:p>
        </w:tc>
        <w:tc>
          <w:tcPr>
            <w:tcW w:w="728" w:type="dxa"/>
            <w:vAlign w:val="center"/>
          </w:tcPr>
          <w:p w14:paraId="7A35DDDA">
            <w:pPr>
              <w:autoSpaceDE w:val="0"/>
              <w:autoSpaceDN w:val="0"/>
              <w:adjustRightInd w:val="0"/>
              <w:snapToGrid w:val="0"/>
              <w:jc w:val="center"/>
              <w:rPr>
                <w:rFonts w:ascii="宋体" w:hAnsi="宋体"/>
                <w:kern w:val="0"/>
                <w:sz w:val="24"/>
              </w:rPr>
            </w:pPr>
          </w:p>
        </w:tc>
        <w:tc>
          <w:tcPr>
            <w:tcW w:w="799" w:type="dxa"/>
            <w:vAlign w:val="center"/>
          </w:tcPr>
          <w:p w14:paraId="0D8EF586">
            <w:pPr>
              <w:autoSpaceDE w:val="0"/>
              <w:autoSpaceDN w:val="0"/>
              <w:adjustRightInd w:val="0"/>
              <w:snapToGrid w:val="0"/>
              <w:jc w:val="center"/>
              <w:rPr>
                <w:rFonts w:ascii="宋体" w:hAnsi="宋体"/>
                <w:kern w:val="0"/>
                <w:sz w:val="24"/>
              </w:rPr>
            </w:pPr>
          </w:p>
        </w:tc>
        <w:tc>
          <w:tcPr>
            <w:tcW w:w="1312" w:type="dxa"/>
            <w:vAlign w:val="center"/>
          </w:tcPr>
          <w:p w14:paraId="22168129">
            <w:pPr>
              <w:autoSpaceDE w:val="0"/>
              <w:autoSpaceDN w:val="0"/>
              <w:adjustRightInd w:val="0"/>
              <w:snapToGrid w:val="0"/>
              <w:jc w:val="center"/>
              <w:rPr>
                <w:rFonts w:ascii="宋体" w:hAnsi="宋体"/>
                <w:kern w:val="0"/>
                <w:sz w:val="24"/>
              </w:rPr>
            </w:pPr>
          </w:p>
        </w:tc>
        <w:tc>
          <w:tcPr>
            <w:tcW w:w="947" w:type="dxa"/>
            <w:vAlign w:val="center"/>
          </w:tcPr>
          <w:p w14:paraId="7CE0511F">
            <w:pPr>
              <w:autoSpaceDE w:val="0"/>
              <w:autoSpaceDN w:val="0"/>
              <w:adjustRightInd w:val="0"/>
              <w:snapToGrid w:val="0"/>
              <w:jc w:val="center"/>
              <w:rPr>
                <w:rFonts w:ascii="宋体" w:hAnsi="宋体"/>
                <w:kern w:val="0"/>
                <w:sz w:val="24"/>
              </w:rPr>
            </w:pPr>
          </w:p>
        </w:tc>
        <w:tc>
          <w:tcPr>
            <w:tcW w:w="1141" w:type="dxa"/>
            <w:vAlign w:val="center"/>
          </w:tcPr>
          <w:p w14:paraId="434E3067">
            <w:pPr>
              <w:autoSpaceDE w:val="0"/>
              <w:autoSpaceDN w:val="0"/>
              <w:adjustRightInd w:val="0"/>
              <w:snapToGrid w:val="0"/>
              <w:jc w:val="center"/>
              <w:rPr>
                <w:rFonts w:ascii="宋体" w:hAnsi="宋体"/>
                <w:kern w:val="0"/>
                <w:sz w:val="24"/>
              </w:rPr>
            </w:pPr>
          </w:p>
        </w:tc>
        <w:tc>
          <w:tcPr>
            <w:tcW w:w="749" w:type="dxa"/>
            <w:vAlign w:val="center"/>
          </w:tcPr>
          <w:p w14:paraId="416B658B">
            <w:pPr>
              <w:autoSpaceDE w:val="0"/>
              <w:autoSpaceDN w:val="0"/>
              <w:adjustRightInd w:val="0"/>
              <w:snapToGrid w:val="0"/>
              <w:jc w:val="center"/>
              <w:rPr>
                <w:rFonts w:ascii="宋体" w:hAnsi="宋体"/>
                <w:kern w:val="0"/>
                <w:sz w:val="24"/>
              </w:rPr>
            </w:pPr>
          </w:p>
        </w:tc>
      </w:tr>
      <w:tr w14:paraId="2218B1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09167BE">
            <w:pPr>
              <w:autoSpaceDE w:val="0"/>
              <w:autoSpaceDN w:val="0"/>
              <w:adjustRightInd w:val="0"/>
              <w:snapToGrid w:val="0"/>
              <w:jc w:val="center"/>
              <w:rPr>
                <w:rFonts w:ascii="宋体" w:hAnsi="宋体"/>
                <w:kern w:val="0"/>
                <w:sz w:val="24"/>
              </w:rPr>
            </w:pPr>
          </w:p>
        </w:tc>
        <w:tc>
          <w:tcPr>
            <w:tcW w:w="1176" w:type="dxa"/>
            <w:vAlign w:val="center"/>
          </w:tcPr>
          <w:p w14:paraId="3033E444">
            <w:pPr>
              <w:autoSpaceDE w:val="0"/>
              <w:autoSpaceDN w:val="0"/>
              <w:adjustRightInd w:val="0"/>
              <w:snapToGrid w:val="0"/>
              <w:jc w:val="center"/>
              <w:rPr>
                <w:rFonts w:ascii="宋体" w:hAnsi="宋体"/>
                <w:kern w:val="0"/>
                <w:sz w:val="24"/>
              </w:rPr>
            </w:pPr>
          </w:p>
        </w:tc>
        <w:tc>
          <w:tcPr>
            <w:tcW w:w="824" w:type="dxa"/>
            <w:vAlign w:val="center"/>
          </w:tcPr>
          <w:p w14:paraId="7E59D831">
            <w:pPr>
              <w:autoSpaceDE w:val="0"/>
              <w:autoSpaceDN w:val="0"/>
              <w:adjustRightInd w:val="0"/>
              <w:snapToGrid w:val="0"/>
              <w:jc w:val="center"/>
              <w:rPr>
                <w:rFonts w:ascii="宋体" w:hAnsi="宋体"/>
                <w:kern w:val="0"/>
                <w:sz w:val="24"/>
              </w:rPr>
            </w:pPr>
          </w:p>
        </w:tc>
        <w:tc>
          <w:tcPr>
            <w:tcW w:w="1072" w:type="dxa"/>
            <w:vAlign w:val="center"/>
          </w:tcPr>
          <w:p w14:paraId="2F477548">
            <w:pPr>
              <w:autoSpaceDE w:val="0"/>
              <w:autoSpaceDN w:val="0"/>
              <w:adjustRightInd w:val="0"/>
              <w:snapToGrid w:val="0"/>
              <w:jc w:val="center"/>
              <w:rPr>
                <w:rFonts w:ascii="宋体" w:hAnsi="宋体"/>
                <w:kern w:val="0"/>
                <w:sz w:val="24"/>
              </w:rPr>
            </w:pPr>
          </w:p>
        </w:tc>
        <w:tc>
          <w:tcPr>
            <w:tcW w:w="728" w:type="dxa"/>
            <w:vAlign w:val="center"/>
          </w:tcPr>
          <w:p w14:paraId="26D5A8BB">
            <w:pPr>
              <w:autoSpaceDE w:val="0"/>
              <w:autoSpaceDN w:val="0"/>
              <w:adjustRightInd w:val="0"/>
              <w:snapToGrid w:val="0"/>
              <w:jc w:val="center"/>
              <w:rPr>
                <w:rFonts w:ascii="宋体" w:hAnsi="宋体"/>
                <w:kern w:val="0"/>
                <w:sz w:val="24"/>
              </w:rPr>
            </w:pPr>
          </w:p>
        </w:tc>
        <w:tc>
          <w:tcPr>
            <w:tcW w:w="799" w:type="dxa"/>
            <w:vAlign w:val="center"/>
          </w:tcPr>
          <w:p w14:paraId="265E202E">
            <w:pPr>
              <w:autoSpaceDE w:val="0"/>
              <w:autoSpaceDN w:val="0"/>
              <w:adjustRightInd w:val="0"/>
              <w:snapToGrid w:val="0"/>
              <w:jc w:val="center"/>
              <w:rPr>
                <w:rFonts w:ascii="宋体" w:hAnsi="宋体"/>
                <w:kern w:val="0"/>
                <w:sz w:val="24"/>
              </w:rPr>
            </w:pPr>
          </w:p>
        </w:tc>
        <w:tc>
          <w:tcPr>
            <w:tcW w:w="1312" w:type="dxa"/>
            <w:vAlign w:val="center"/>
          </w:tcPr>
          <w:p w14:paraId="35F97797">
            <w:pPr>
              <w:autoSpaceDE w:val="0"/>
              <w:autoSpaceDN w:val="0"/>
              <w:adjustRightInd w:val="0"/>
              <w:snapToGrid w:val="0"/>
              <w:jc w:val="center"/>
              <w:rPr>
                <w:rFonts w:ascii="宋体" w:hAnsi="宋体"/>
                <w:kern w:val="0"/>
                <w:sz w:val="24"/>
              </w:rPr>
            </w:pPr>
          </w:p>
        </w:tc>
        <w:tc>
          <w:tcPr>
            <w:tcW w:w="947" w:type="dxa"/>
            <w:vAlign w:val="center"/>
          </w:tcPr>
          <w:p w14:paraId="1988AAEA">
            <w:pPr>
              <w:autoSpaceDE w:val="0"/>
              <w:autoSpaceDN w:val="0"/>
              <w:adjustRightInd w:val="0"/>
              <w:snapToGrid w:val="0"/>
              <w:jc w:val="center"/>
              <w:rPr>
                <w:rFonts w:ascii="宋体" w:hAnsi="宋体"/>
                <w:kern w:val="0"/>
                <w:sz w:val="24"/>
              </w:rPr>
            </w:pPr>
          </w:p>
        </w:tc>
        <w:tc>
          <w:tcPr>
            <w:tcW w:w="1141" w:type="dxa"/>
            <w:vAlign w:val="center"/>
          </w:tcPr>
          <w:p w14:paraId="00B05B99">
            <w:pPr>
              <w:autoSpaceDE w:val="0"/>
              <w:autoSpaceDN w:val="0"/>
              <w:adjustRightInd w:val="0"/>
              <w:snapToGrid w:val="0"/>
              <w:jc w:val="center"/>
              <w:rPr>
                <w:rFonts w:ascii="宋体" w:hAnsi="宋体"/>
                <w:kern w:val="0"/>
                <w:sz w:val="24"/>
              </w:rPr>
            </w:pPr>
          </w:p>
        </w:tc>
        <w:tc>
          <w:tcPr>
            <w:tcW w:w="749" w:type="dxa"/>
            <w:vAlign w:val="center"/>
          </w:tcPr>
          <w:p w14:paraId="458FDCCE">
            <w:pPr>
              <w:autoSpaceDE w:val="0"/>
              <w:autoSpaceDN w:val="0"/>
              <w:adjustRightInd w:val="0"/>
              <w:snapToGrid w:val="0"/>
              <w:jc w:val="center"/>
              <w:rPr>
                <w:rFonts w:ascii="宋体" w:hAnsi="宋体"/>
                <w:kern w:val="0"/>
                <w:sz w:val="24"/>
              </w:rPr>
            </w:pPr>
          </w:p>
        </w:tc>
      </w:tr>
      <w:tr w14:paraId="488C7CA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8134FC4">
            <w:pPr>
              <w:autoSpaceDE w:val="0"/>
              <w:autoSpaceDN w:val="0"/>
              <w:adjustRightInd w:val="0"/>
              <w:snapToGrid w:val="0"/>
              <w:jc w:val="center"/>
              <w:rPr>
                <w:rFonts w:ascii="宋体" w:hAnsi="宋体"/>
                <w:kern w:val="0"/>
                <w:sz w:val="24"/>
              </w:rPr>
            </w:pPr>
          </w:p>
        </w:tc>
        <w:tc>
          <w:tcPr>
            <w:tcW w:w="1176" w:type="dxa"/>
            <w:vAlign w:val="center"/>
          </w:tcPr>
          <w:p w14:paraId="612E931E">
            <w:pPr>
              <w:autoSpaceDE w:val="0"/>
              <w:autoSpaceDN w:val="0"/>
              <w:adjustRightInd w:val="0"/>
              <w:snapToGrid w:val="0"/>
              <w:jc w:val="center"/>
              <w:rPr>
                <w:rFonts w:ascii="宋体" w:hAnsi="宋体"/>
                <w:kern w:val="0"/>
                <w:sz w:val="24"/>
              </w:rPr>
            </w:pPr>
          </w:p>
        </w:tc>
        <w:tc>
          <w:tcPr>
            <w:tcW w:w="824" w:type="dxa"/>
            <w:vAlign w:val="center"/>
          </w:tcPr>
          <w:p w14:paraId="319D4F74">
            <w:pPr>
              <w:autoSpaceDE w:val="0"/>
              <w:autoSpaceDN w:val="0"/>
              <w:adjustRightInd w:val="0"/>
              <w:snapToGrid w:val="0"/>
              <w:jc w:val="center"/>
              <w:rPr>
                <w:rFonts w:ascii="宋体" w:hAnsi="宋体"/>
                <w:kern w:val="0"/>
                <w:sz w:val="24"/>
              </w:rPr>
            </w:pPr>
          </w:p>
        </w:tc>
        <w:tc>
          <w:tcPr>
            <w:tcW w:w="1072" w:type="dxa"/>
            <w:vAlign w:val="center"/>
          </w:tcPr>
          <w:p w14:paraId="7BB5DEBD">
            <w:pPr>
              <w:autoSpaceDE w:val="0"/>
              <w:autoSpaceDN w:val="0"/>
              <w:adjustRightInd w:val="0"/>
              <w:snapToGrid w:val="0"/>
              <w:jc w:val="center"/>
              <w:rPr>
                <w:rFonts w:ascii="宋体" w:hAnsi="宋体"/>
                <w:kern w:val="0"/>
                <w:sz w:val="24"/>
              </w:rPr>
            </w:pPr>
          </w:p>
        </w:tc>
        <w:tc>
          <w:tcPr>
            <w:tcW w:w="728" w:type="dxa"/>
            <w:vAlign w:val="center"/>
          </w:tcPr>
          <w:p w14:paraId="7CE2A64F">
            <w:pPr>
              <w:autoSpaceDE w:val="0"/>
              <w:autoSpaceDN w:val="0"/>
              <w:adjustRightInd w:val="0"/>
              <w:snapToGrid w:val="0"/>
              <w:jc w:val="center"/>
              <w:rPr>
                <w:rFonts w:ascii="宋体" w:hAnsi="宋体"/>
                <w:kern w:val="0"/>
                <w:sz w:val="24"/>
              </w:rPr>
            </w:pPr>
          </w:p>
        </w:tc>
        <w:tc>
          <w:tcPr>
            <w:tcW w:w="799" w:type="dxa"/>
            <w:vAlign w:val="center"/>
          </w:tcPr>
          <w:p w14:paraId="6D8C2B70">
            <w:pPr>
              <w:autoSpaceDE w:val="0"/>
              <w:autoSpaceDN w:val="0"/>
              <w:adjustRightInd w:val="0"/>
              <w:snapToGrid w:val="0"/>
              <w:jc w:val="center"/>
              <w:rPr>
                <w:rFonts w:ascii="宋体" w:hAnsi="宋体"/>
                <w:kern w:val="0"/>
                <w:sz w:val="24"/>
              </w:rPr>
            </w:pPr>
          </w:p>
        </w:tc>
        <w:tc>
          <w:tcPr>
            <w:tcW w:w="1312" w:type="dxa"/>
            <w:vAlign w:val="center"/>
          </w:tcPr>
          <w:p w14:paraId="4669F298">
            <w:pPr>
              <w:autoSpaceDE w:val="0"/>
              <w:autoSpaceDN w:val="0"/>
              <w:adjustRightInd w:val="0"/>
              <w:snapToGrid w:val="0"/>
              <w:jc w:val="center"/>
              <w:rPr>
                <w:rFonts w:ascii="宋体" w:hAnsi="宋体"/>
                <w:kern w:val="0"/>
                <w:sz w:val="24"/>
              </w:rPr>
            </w:pPr>
          </w:p>
        </w:tc>
        <w:tc>
          <w:tcPr>
            <w:tcW w:w="947" w:type="dxa"/>
            <w:vAlign w:val="center"/>
          </w:tcPr>
          <w:p w14:paraId="1A1B07FE">
            <w:pPr>
              <w:autoSpaceDE w:val="0"/>
              <w:autoSpaceDN w:val="0"/>
              <w:adjustRightInd w:val="0"/>
              <w:snapToGrid w:val="0"/>
              <w:jc w:val="center"/>
              <w:rPr>
                <w:rFonts w:ascii="宋体" w:hAnsi="宋体"/>
                <w:kern w:val="0"/>
                <w:sz w:val="24"/>
              </w:rPr>
            </w:pPr>
          </w:p>
        </w:tc>
        <w:tc>
          <w:tcPr>
            <w:tcW w:w="1141" w:type="dxa"/>
            <w:vAlign w:val="center"/>
          </w:tcPr>
          <w:p w14:paraId="73BF604E">
            <w:pPr>
              <w:autoSpaceDE w:val="0"/>
              <w:autoSpaceDN w:val="0"/>
              <w:adjustRightInd w:val="0"/>
              <w:snapToGrid w:val="0"/>
              <w:jc w:val="center"/>
              <w:rPr>
                <w:rFonts w:ascii="宋体" w:hAnsi="宋体"/>
                <w:kern w:val="0"/>
                <w:sz w:val="24"/>
              </w:rPr>
            </w:pPr>
          </w:p>
        </w:tc>
        <w:tc>
          <w:tcPr>
            <w:tcW w:w="749" w:type="dxa"/>
            <w:vAlign w:val="center"/>
          </w:tcPr>
          <w:p w14:paraId="496AD77A">
            <w:pPr>
              <w:autoSpaceDE w:val="0"/>
              <w:autoSpaceDN w:val="0"/>
              <w:adjustRightInd w:val="0"/>
              <w:snapToGrid w:val="0"/>
              <w:jc w:val="center"/>
              <w:rPr>
                <w:rFonts w:ascii="宋体" w:hAnsi="宋体"/>
                <w:kern w:val="0"/>
                <w:sz w:val="24"/>
              </w:rPr>
            </w:pPr>
          </w:p>
        </w:tc>
      </w:tr>
      <w:tr w14:paraId="62A8E2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DB5FB4D">
            <w:pPr>
              <w:autoSpaceDE w:val="0"/>
              <w:autoSpaceDN w:val="0"/>
              <w:adjustRightInd w:val="0"/>
              <w:snapToGrid w:val="0"/>
              <w:jc w:val="center"/>
              <w:rPr>
                <w:rFonts w:ascii="宋体" w:hAnsi="宋体"/>
                <w:kern w:val="0"/>
                <w:sz w:val="24"/>
              </w:rPr>
            </w:pPr>
          </w:p>
        </w:tc>
        <w:tc>
          <w:tcPr>
            <w:tcW w:w="1176" w:type="dxa"/>
            <w:vAlign w:val="center"/>
          </w:tcPr>
          <w:p w14:paraId="58661FB4">
            <w:pPr>
              <w:autoSpaceDE w:val="0"/>
              <w:autoSpaceDN w:val="0"/>
              <w:adjustRightInd w:val="0"/>
              <w:snapToGrid w:val="0"/>
              <w:jc w:val="center"/>
              <w:rPr>
                <w:rFonts w:ascii="宋体" w:hAnsi="宋体"/>
                <w:kern w:val="0"/>
                <w:sz w:val="24"/>
              </w:rPr>
            </w:pPr>
          </w:p>
        </w:tc>
        <w:tc>
          <w:tcPr>
            <w:tcW w:w="824" w:type="dxa"/>
            <w:vAlign w:val="center"/>
          </w:tcPr>
          <w:p w14:paraId="152A5470">
            <w:pPr>
              <w:autoSpaceDE w:val="0"/>
              <w:autoSpaceDN w:val="0"/>
              <w:adjustRightInd w:val="0"/>
              <w:snapToGrid w:val="0"/>
              <w:jc w:val="center"/>
              <w:rPr>
                <w:rFonts w:ascii="宋体" w:hAnsi="宋体"/>
                <w:kern w:val="0"/>
                <w:sz w:val="24"/>
              </w:rPr>
            </w:pPr>
          </w:p>
        </w:tc>
        <w:tc>
          <w:tcPr>
            <w:tcW w:w="1072" w:type="dxa"/>
            <w:vAlign w:val="center"/>
          </w:tcPr>
          <w:p w14:paraId="104D6BB5">
            <w:pPr>
              <w:autoSpaceDE w:val="0"/>
              <w:autoSpaceDN w:val="0"/>
              <w:adjustRightInd w:val="0"/>
              <w:snapToGrid w:val="0"/>
              <w:jc w:val="center"/>
              <w:rPr>
                <w:rFonts w:ascii="宋体" w:hAnsi="宋体"/>
                <w:kern w:val="0"/>
                <w:sz w:val="24"/>
              </w:rPr>
            </w:pPr>
          </w:p>
        </w:tc>
        <w:tc>
          <w:tcPr>
            <w:tcW w:w="728" w:type="dxa"/>
            <w:vAlign w:val="center"/>
          </w:tcPr>
          <w:p w14:paraId="57AD11E9">
            <w:pPr>
              <w:autoSpaceDE w:val="0"/>
              <w:autoSpaceDN w:val="0"/>
              <w:adjustRightInd w:val="0"/>
              <w:snapToGrid w:val="0"/>
              <w:jc w:val="center"/>
              <w:rPr>
                <w:rFonts w:ascii="宋体" w:hAnsi="宋体"/>
                <w:kern w:val="0"/>
                <w:sz w:val="24"/>
              </w:rPr>
            </w:pPr>
          </w:p>
        </w:tc>
        <w:tc>
          <w:tcPr>
            <w:tcW w:w="799" w:type="dxa"/>
            <w:vAlign w:val="center"/>
          </w:tcPr>
          <w:p w14:paraId="0B46D4F0">
            <w:pPr>
              <w:autoSpaceDE w:val="0"/>
              <w:autoSpaceDN w:val="0"/>
              <w:adjustRightInd w:val="0"/>
              <w:snapToGrid w:val="0"/>
              <w:jc w:val="center"/>
              <w:rPr>
                <w:rFonts w:ascii="宋体" w:hAnsi="宋体"/>
                <w:kern w:val="0"/>
                <w:sz w:val="24"/>
              </w:rPr>
            </w:pPr>
          </w:p>
        </w:tc>
        <w:tc>
          <w:tcPr>
            <w:tcW w:w="1312" w:type="dxa"/>
            <w:vAlign w:val="center"/>
          </w:tcPr>
          <w:p w14:paraId="214E65FA">
            <w:pPr>
              <w:autoSpaceDE w:val="0"/>
              <w:autoSpaceDN w:val="0"/>
              <w:adjustRightInd w:val="0"/>
              <w:snapToGrid w:val="0"/>
              <w:jc w:val="center"/>
              <w:rPr>
                <w:rFonts w:ascii="宋体" w:hAnsi="宋体"/>
                <w:kern w:val="0"/>
                <w:sz w:val="24"/>
              </w:rPr>
            </w:pPr>
          </w:p>
        </w:tc>
        <w:tc>
          <w:tcPr>
            <w:tcW w:w="947" w:type="dxa"/>
            <w:vAlign w:val="center"/>
          </w:tcPr>
          <w:p w14:paraId="7ACE558C">
            <w:pPr>
              <w:autoSpaceDE w:val="0"/>
              <w:autoSpaceDN w:val="0"/>
              <w:adjustRightInd w:val="0"/>
              <w:snapToGrid w:val="0"/>
              <w:jc w:val="center"/>
              <w:rPr>
                <w:rFonts w:ascii="宋体" w:hAnsi="宋体"/>
                <w:kern w:val="0"/>
                <w:sz w:val="24"/>
              </w:rPr>
            </w:pPr>
          </w:p>
        </w:tc>
        <w:tc>
          <w:tcPr>
            <w:tcW w:w="1141" w:type="dxa"/>
            <w:vAlign w:val="center"/>
          </w:tcPr>
          <w:p w14:paraId="51BCE326">
            <w:pPr>
              <w:autoSpaceDE w:val="0"/>
              <w:autoSpaceDN w:val="0"/>
              <w:adjustRightInd w:val="0"/>
              <w:snapToGrid w:val="0"/>
              <w:jc w:val="center"/>
              <w:rPr>
                <w:rFonts w:ascii="宋体" w:hAnsi="宋体"/>
                <w:kern w:val="0"/>
                <w:sz w:val="24"/>
              </w:rPr>
            </w:pPr>
          </w:p>
        </w:tc>
        <w:tc>
          <w:tcPr>
            <w:tcW w:w="749" w:type="dxa"/>
            <w:vAlign w:val="center"/>
          </w:tcPr>
          <w:p w14:paraId="48C9CF67">
            <w:pPr>
              <w:autoSpaceDE w:val="0"/>
              <w:autoSpaceDN w:val="0"/>
              <w:adjustRightInd w:val="0"/>
              <w:snapToGrid w:val="0"/>
              <w:jc w:val="center"/>
              <w:rPr>
                <w:rFonts w:ascii="宋体" w:hAnsi="宋体"/>
                <w:kern w:val="0"/>
                <w:sz w:val="24"/>
              </w:rPr>
            </w:pPr>
          </w:p>
        </w:tc>
      </w:tr>
      <w:tr w14:paraId="6524592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71253F8">
            <w:pPr>
              <w:autoSpaceDE w:val="0"/>
              <w:autoSpaceDN w:val="0"/>
              <w:adjustRightInd w:val="0"/>
              <w:snapToGrid w:val="0"/>
              <w:jc w:val="center"/>
              <w:rPr>
                <w:rFonts w:ascii="宋体" w:hAnsi="宋体"/>
                <w:kern w:val="0"/>
                <w:sz w:val="24"/>
              </w:rPr>
            </w:pPr>
          </w:p>
        </w:tc>
        <w:tc>
          <w:tcPr>
            <w:tcW w:w="1176" w:type="dxa"/>
            <w:vAlign w:val="center"/>
          </w:tcPr>
          <w:p w14:paraId="78B2FC2B">
            <w:pPr>
              <w:autoSpaceDE w:val="0"/>
              <w:autoSpaceDN w:val="0"/>
              <w:adjustRightInd w:val="0"/>
              <w:snapToGrid w:val="0"/>
              <w:jc w:val="center"/>
              <w:rPr>
                <w:rFonts w:ascii="宋体" w:hAnsi="宋体"/>
                <w:kern w:val="0"/>
                <w:sz w:val="24"/>
              </w:rPr>
            </w:pPr>
          </w:p>
        </w:tc>
        <w:tc>
          <w:tcPr>
            <w:tcW w:w="824" w:type="dxa"/>
            <w:vAlign w:val="center"/>
          </w:tcPr>
          <w:p w14:paraId="3721E949">
            <w:pPr>
              <w:autoSpaceDE w:val="0"/>
              <w:autoSpaceDN w:val="0"/>
              <w:adjustRightInd w:val="0"/>
              <w:snapToGrid w:val="0"/>
              <w:jc w:val="center"/>
              <w:rPr>
                <w:rFonts w:ascii="宋体" w:hAnsi="宋体"/>
                <w:kern w:val="0"/>
                <w:sz w:val="24"/>
              </w:rPr>
            </w:pPr>
          </w:p>
        </w:tc>
        <w:tc>
          <w:tcPr>
            <w:tcW w:w="1072" w:type="dxa"/>
            <w:vAlign w:val="center"/>
          </w:tcPr>
          <w:p w14:paraId="7795F9CA">
            <w:pPr>
              <w:autoSpaceDE w:val="0"/>
              <w:autoSpaceDN w:val="0"/>
              <w:adjustRightInd w:val="0"/>
              <w:snapToGrid w:val="0"/>
              <w:jc w:val="center"/>
              <w:rPr>
                <w:rFonts w:ascii="宋体" w:hAnsi="宋体"/>
                <w:kern w:val="0"/>
                <w:sz w:val="24"/>
              </w:rPr>
            </w:pPr>
          </w:p>
        </w:tc>
        <w:tc>
          <w:tcPr>
            <w:tcW w:w="728" w:type="dxa"/>
            <w:vAlign w:val="center"/>
          </w:tcPr>
          <w:p w14:paraId="08A1725F">
            <w:pPr>
              <w:autoSpaceDE w:val="0"/>
              <w:autoSpaceDN w:val="0"/>
              <w:adjustRightInd w:val="0"/>
              <w:snapToGrid w:val="0"/>
              <w:jc w:val="center"/>
              <w:rPr>
                <w:rFonts w:ascii="宋体" w:hAnsi="宋体"/>
                <w:kern w:val="0"/>
                <w:sz w:val="24"/>
              </w:rPr>
            </w:pPr>
          </w:p>
        </w:tc>
        <w:tc>
          <w:tcPr>
            <w:tcW w:w="799" w:type="dxa"/>
            <w:vAlign w:val="center"/>
          </w:tcPr>
          <w:p w14:paraId="6BD82E29">
            <w:pPr>
              <w:autoSpaceDE w:val="0"/>
              <w:autoSpaceDN w:val="0"/>
              <w:adjustRightInd w:val="0"/>
              <w:snapToGrid w:val="0"/>
              <w:jc w:val="center"/>
              <w:rPr>
                <w:rFonts w:ascii="宋体" w:hAnsi="宋体"/>
                <w:kern w:val="0"/>
                <w:sz w:val="24"/>
              </w:rPr>
            </w:pPr>
          </w:p>
        </w:tc>
        <w:tc>
          <w:tcPr>
            <w:tcW w:w="1312" w:type="dxa"/>
            <w:vAlign w:val="center"/>
          </w:tcPr>
          <w:p w14:paraId="0EC39431">
            <w:pPr>
              <w:autoSpaceDE w:val="0"/>
              <w:autoSpaceDN w:val="0"/>
              <w:adjustRightInd w:val="0"/>
              <w:snapToGrid w:val="0"/>
              <w:jc w:val="center"/>
              <w:rPr>
                <w:rFonts w:ascii="宋体" w:hAnsi="宋体"/>
                <w:kern w:val="0"/>
                <w:sz w:val="24"/>
              </w:rPr>
            </w:pPr>
          </w:p>
        </w:tc>
        <w:tc>
          <w:tcPr>
            <w:tcW w:w="947" w:type="dxa"/>
            <w:vAlign w:val="center"/>
          </w:tcPr>
          <w:p w14:paraId="32F1E1CB">
            <w:pPr>
              <w:autoSpaceDE w:val="0"/>
              <w:autoSpaceDN w:val="0"/>
              <w:adjustRightInd w:val="0"/>
              <w:snapToGrid w:val="0"/>
              <w:jc w:val="center"/>
              <w:rPr>
                <w:rFonts w:ascii="宋体" w:hAnsi="宋体"/>
                <w:kern w:val="0"/>
                <w:sz w:val="24"/>
              </w:rPr>
            </w:pPr>
          </w:p>
        </w:tc>
        <w:tc>
          <w:tcPr>
            <w:tcW w:w="1141" w:type="dxa"/>
            <w:vAlign w:val="center"/>
          </w:tcPr>
          <w:p w14:paraId="1135A682">
            <w:pPr>
              <w:autoSpaceDE w:val="0"/>
              <w:autoSpaceDN w:val="0"/>
              <w:adjustRightInd w:val="0"/>
              <w:snapToGrid w:val="0"/>
              <w:jc w:val="center"/>
              <w:rPr>
                <w:rFonts w:ascii="宋体" w:hAnsi="宋体"/>
                <w:kern w:val="0"/>
                <w:sz w:val="24"/>
              </w:rPr>
            </w:pPr>
          </w:p>
        </w:tc>
        <w:tc>
          <w:tcPr>
            <w:tcW w:w="749" w:type="dxa"/>
            <w:vAlign w:val="center"/>
          </w:tcPr>
          <w:p w14:paraId="15E7B995">
            <w:pPr>
              <w:autoSpaceDE w:val="0"/>
              <w:autoSpaceDN w:val="0"/>
              <w:adjustRightInd w:val="0"/>
              <w:snapToGrid w:val="0"/>
              <w:jc w:val="center"/>
              <w:rPr>
                <w:rFonts w:ascii="宋体" w:hAnsi="宋体"/>
                <w:kern w:val="0"/>
                <w:sz w:val="24"/>
              </w:rPr>
            </w:pPr>
          </w:p>
        </w:tc>
      </w:tr>
      <w:tr w14:paraId="255433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8B37779">
            <w:pPr>
              <w:autoSpaceDE w:val="0"/>
              <w:autoSpaceDN w:val="0"/>
              <w:adjustRightInd w:val="0"/>
              <w:snapToGrid w:val="0"/>
              <w:jc w:val="center"/>
              <w:rPr>
                <w:rFonts w:ascii="宋体" w:hAnsi="宋体"/>
                <w:kern w:val="0"/>
                <w:sz w:val="24"/>
              </w:rPr>
            </w:pPr>
          </w:p>
        </w:tc>
        <w:tc>
          <w:tcPr>
            <w:tcW w:w="1176" w:type="dxa"/>
            <w:vAlign w:val="center"/>
          </w:tcPr>
          <w:p w14:paraId="5DD8BC44">
            <w:pPr>
              <w:autoSpaceDE w:val="0"/>
              <w:autoSpaceDN w:val="0"/>
              <w:adjustRightInd w:val="0"/>
              <w:snapToGrid w:val="0"/>
              <w:jc w:val="center"/>
              <w:rPr>
                <w:rFonts w:ascii="宋体" w:hAnsi="宋体"/>
                <w:kern w:val="0"/>
                <w:sz w:val="24"/>
              </w:rPr>
            </w:pPr>
          </w:p>
        </w:tc>
        <w:tc>
          <w:tcPr>
            <w:tcW w:w="824" w:type="dxa"/>
            <w:vAlign w:val="center"/>
          </w:tcPr>
          <w:p w14:paraId="46A5D3B1">
            <w:pPr>
              <w:autoSpaceDE w:val="0"/>
              <w:autoSpaceDN w:val="0"/>
              <w:adjustRightInd w:val="0"/>
              <w:snapToGrid w:val="0"/>
              <w:jc w:val="center"/>
              <w:rPr>
                <w:rFonts w:ascii="宋体" w:hAnsi="宋体"/>
                <w:kern w:val="0"/>
                <w:sz w:val="24"/>
              </w:rPr>
            </w:pPr>
          </w:p>
        </w:tc>
        <w:tc>
          <w:tcPr>
            <w:tcW w:w="1072" w:type="dxa"/>
            <w:vAlign w:val="center"/>
          </w:tcPr>
          <w:p w14:paraId="4C9B413B">
            <w:pPr>
              <w:autoSpaceDE w:val="0"/>
              <w:autoSpaceDN w:val="0"/>
              <w:adjustRightInd w:val="0"/>
              <w:snapToGrid w:val="0"/>
              <w:jc w:val="center"/>
              <w:rPr>
                <w:rFonts w:ascii="宋体" w:hAnsi="宋体"/>
                <w:kern w:val="0"/>
                <w:sz w:val="24"/>
              </w:rPr>
            </w:pPr>
          </w:p>
        </w:tc>
        <w:tc>
          <w:tcPr>
            <w:tcW w:w="728" w:type="dxa"/>
            <w:vAlign w:val="center"/>
          </w:tcPr>
          <w:p w14:paraId="2A05BCA7">
            <w:pPr>
              <w:autoSpaceDE w:val="0"/>
              <w:autoSpaceDN w:val="0"/>
              <w:adjustRightInd w:val="0"/>
              <w:snapToGrid w:val="0"/>
              <w:jc w:val="center"/>
              <w:rPr>
                <w:rFonts w:ascii="宋体" w:hAnsi="宋体"/>
                <w:kern w:val="0"/>
                <w:sz w:val="24"/>
              </w:rPr>
            </w:pPr>
          </w:p>
        </w:tc>
        <w:tc>
          <w:tcPr>
            <w:tcW w:w="799" w:type="dxa"/>
            <w:vAlign w:val="center"/>
          </w:tcPr>
          <w:p w14:paraId="624145FB">
            <w:pPr>
              <w:autoSpaceDE w:val="0"/>
              <w:autoSpaceDN w:val="0"/>
              <w:adjustRightInd w:val="0"/>
              <w:snapToGrid w:val="0"/>
              <w:jc w:val="center"/>
              <w:rPr>
                <w:rFonts w:ascii="宋体" w:hAnsi="宋体"/>
                <w:kern w:val="0"/>
                <w:sz w:val="24"/>
              </w:rPr>
            </w:pPr>
          </w:p>
        </w:tc>
        <w:tc>
          <w:tcPr>
            <w:tcW w:w="1312" w:type="dxa"/>
            <w:vAlign w:val="center"/>
          </w:tcPr>
          <w:p w14:paraId="25D14B63">
            <w:pPr>
              <w:autoSpaceDE w:val="0"/>
              <w:autoSpaceDN w:val="0"/>
              <w:adjustRightInd w:val="0"/>
              <w:snapToGrid w:val="0"/>
              <w:jc w:val="center"/>
              <w:rPr>
                <w:rFonts w:ascii="宋体" w:hAnsi="宋体"/>
                <w:kern w:val="0"/>
                <w:sz w:val="24"/>
              </w:rPr>
            </w:pPr>
          </w:p>
        </w:tc>
        <w:tc>
          <w:tcPr>
            <w:tcW w:w="947" w:type="dxa"/>
            <w:vAlign w:val="center"/>
          </w:tcPr>
          <w:p w14:paraId="39B041F0">
            <w:pPr>
              <w:autoSpaceDE w:val="0"/>
              <w:autoSpaceDN w:val="0"/>
              <w:adjustRightInd w:val="0"/>
              <w:snapToGrid w:val="0"/>
              <w:jc w:val="center"/>
              <w:rPr>
                <w:rFonts w:ascii="宋体" w:hAnsi="宋体"/>
                <w:kern w:val="0"/>
                <w:sz w:val="24"/>
              </w:rPr>
            </w:pPr>
          </w:p>
        </w:tc>
        <w:tc>
          <w:tcPr>
            <w:tcW w:w="1141" w:type="dxa"/>
            <w:vAlign w:val="center"/>
          </w:tcPr>
          <w:p w14:paraId="195056FD">
            <w:pPr>
              <w:autoSpaceDE w:val="0"/>
              <w:autoSpaceDN w:val="0"/>
              <w:adjustRightInd w:val="0"/>
              <w:snapToGrid w:val="0"/>
              <w:jc w:val="center"/>
              <w:rPr>
                <w:rFonts w:ascii="宋体" w:hAnsi="宋体"/>
                <w:kern w:val="0"/>
                <w:sz w:val="24"/>
              </w:rPr>
            </w:pPr>
          </w:p>
        </w:tc>
        <w:tc>
          <w:tcPr>
            <w:tcW w:w="749" w:type="dxa"/>
            <w:vAlign w:val="center"/>
          </w:tcPr>
          <w:p w14:paraId="22BD435D">
            <w:pPr>
              <w:autoSpaceDE w:val="0"/>
              <w:autoSpaceDN w:val="0"/>
              <w:adjustRightInd w:val="0"/>
              <w:snapToGrid w:val="0"/>
              <w:jc w:val="center"/>
              <w:rPr>
                <w:rFonts w:ascii="宋体" w:hAnsi="宋体"/>
                <w:kern w:val="0"/>
                <w:sz w:val="24"/>
              </w:rPr>
            </w:pPr>
          </w:p>
        </w:tc>
      </w:tr>
      <w:tr w14:paraId="2138F4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F026B1F">
            <w:pPr>
              <w:autoSpaceDE w:val="0"/>
              <w:autoSpaceDN w:val="0"/>
              <w:adjustRightInd w:val="0"/>
              <w:snapToGrid w:val="0"/>
              <w:jc w:val="center"/>
              <w:rPr>
                <w:rFonts w:ascii="宋体" w:hAnsi="宋体"/>
                <w:kern w:val="0"/>
                <w:sz w:val="24"/>
              </w:rPr>
            </w:pPr>
          </w:p>
        </w:tc>
        <w:tc>
          <w:tcPr>
            <w:tcW w:w="1176" w:type="dxa"/>
            <w:vAlign w:val="center"/>
          </w:tcPr>
          <w:p w14:paraId="58F7E2AA">
            <w:pPr>
              <w:autoSpaceDE w:val="0"/>
              <w:autoSpaceDN w:val="0"/>
              <w:adjustRightInd w:val="0"/>
              <w:snapToGrid w:val="0"/>
              <w:jc w:val="center"/>
              <w:rPr>
                <w:rFonts w:ascii="宋体" w:hAnsi="宋体"/>
                <w:kern w:val="0"/>
                <w:sz w:val="24"/>
              </w:rPr>
            </w:pPr>
          </w:p>
        </w:tc>
        <w:tc>
          <w:tcPr>
            <w:tcW w:w="824" w:type="dxa"/>
            <w:vAlign w:val="center"/>
          </w:tcPr>
          <w:p w14:paraId="25732C16">
            <w:pPr>
              <w:autoSpaceDE w:val="0"/>
              <w:autoSpaceDN w:val="0"/>
              <w:adjustRightInd w:val="0"/>
              <w:snapToGrid w:val="0"/>
              <w:jc w:val="center"/>
              <w:rPr>
                <w:rFonts w:ascii="宋体" w:hAnsi="宋体"/>
                <w:kern w:val="0"/>
                <w:sz w:val="24"/>
              </w:rPr>
            </w:pPr>
          </w:p>
        </w:tc>
        <w:tc>
          <w:tcPr>
            <w:tcW w:w="1072" w:type="dxa"/>
            <w:vAlign w:val="center"/>
          </w:tcPr>
          <w:p w14:paraId="270AC9B1">
            <w:pPr>
              <w:autoSpaceDE w:val="0"/>
              <w:autoSpaceDN w:val="0"/>
              <w:adjustRightInd w:val="0"/>
              <w:snapToGrid w:val="0"/>
              <w:jc w:val="center"/>
              <w:rPr>
                <w:rFonts w:ascii="宋体" w:hAnsi="宋体"/>
                <w:kern w:val="0"/>
                <w:sz w:val="24"/>
              </w:rPr>
            </w:pPr>
          </w:p>
        </w:tc>
        <w:tc>
          <w:tcPr>
            <w:tcW w:w="728" w:type="dxa"/>
            <w:vAlign w:val="center"/>
          </w:tcPr>
          <w:p w14:paraId="4662D20C">
            <w:pPr>
              <w:autoSpaceDE w:val="0"/>
              <w:autoSpaceDN w:val="0"/>
              <w:adjustRightInd w:val="0"/>
              <w:snapToGrid w:val="0"/>
              <w:jc w:val="center"/>
              <w:rPr>
                <w:rFonts w:ascii="宋体" w:hAnsi="宋体"/>
                <w:kern w:val="0"/>
                <w:sz w:val="24"/>
              </w:rPr>
            </w:pPr>
          </w:p>
        </w:tc>
        <w:tc>
          <w:tcPr>
            <w:tcW w:w="799" w:type="dxa"/>
            <w:vAlign w:val="center"/>
          </w:tcPr>
          <w:p w14:paraId="01E7FBB5">
            <w:pPr>
              <w:autoSpaceDE w:val="0"/>
              <w:autoSpaceDN w:val="0"/>
              <w:adjustRightInd w:val="0"/>
              <w:snapToGrid w:val="0"/>
              <w:jc w:val="center"/>
              <w:rPr>
                <w:rFonts w:ascii="宋体" w:hAnsi="宋体"/>
                <w:kern w:val="0"/>
                <w:sz w:val="24"/>
              </w:rPr>
            </w:pPr>
          </w:p>
        </w:tc>
        <w:tc>
          <w:tcPr>
            <w:tcW w:w="1312" w:type="dxa"/>
            <w:vAlign w:val="center"/>
          </w:tcPr>
          <w:p w14:paraId="55C29509">
            <w:pPr>
              <w:autoSpaceDE w:val="0"/>
              <w:autoSpaceDN w:val="0"/>
              <w:adjustRightInd w:val="0"/>
              <w:snapToGrid w:val="0"/>
              <w:jc w:val="center"/>
              <w:rPr>
                <w:rFonts w:ascii="宋体" w:hAnsi="宋体"/>
                <w:kern w:val="0"/>
                <w:sz w:val="24"/>
              </w:rPr>
            </w:pPr>
          </w:p>
        </w:tc>
        <w:tc>
          <w:tcPr>
            <w:tcW w:w="947" w:type="dxa"/>
            <w:vAlign w:val="center"/>
          </w:tcPr>
          <w:p w14:paraId="4F5DAE9B">
            <w:pPr>
              <w:autoSpaceDE w:val="0"/>
              <w:autoSpaceDN w:val="0"/>
              <w:adjustRightInd w:val="0"/>
              <w:snapToGrid w:val="0"/>
              <w:jc w:val="center"/>
              <w:rPr>
                <w:rFonts w:ascii="宋体" w:hAnsi="宋体"/>
                <w:kern w:val="0"/>
                <w:sz w:val="24"/>
              </w:rPr>
            </w:pPr>
          </w:p>
        </w:tc>
        <w:tc>
          <w:tcPr>
            <w:tcW w:w="1141" w:type="dxa"/>
            <w:vAlign w:val="center"/>
          </w:tcPr>
          <w:p w14:paraId="7037B389">
            <w:pPr>
              <w:autoSpaceDE w:val="0"/>
              <w:autoSpaceDN w:val="0"/>
              <w:adjustRightInd w:val="0"/>
              <w:snapToGrid w:val="0"/>
              <w:jc w:val="center"/>
              <w:rPr>
                <w:rFonts w:ascii="宋体" w:hAnsi="宋体"/>
                <w:kern w:val="0"/>
                <w:sz w:val="24"/>
              </w:rPr>
            </w:pPr>
          </w:p>
        </w:tc>
        <w:tc>
          <w:tcPr>
            <w:tcW w:w="749" w:type="dxa"/>
            <w:vAlign w:val="center"/>
          </w:tcPr>
          <w:p w14:paraId="33FE3CCD">
            <w:pPr>
              <w:autoSpaceDE w:val="0"/>
              <w:autoSpaceDN w:val="0"/>
              <w:adjustRightInd w:val="0"/>
              <w:snapToGrid w:val="0"/>
              <w:jc w:val="center"/>
              <w:rPr>
                <w:rFonts w:ascii="宋体" w:hAnsi="宋体"/>
                <w:kern w:val="0"/>
                <w:sz w:val="24"/>
              </w:rPr>
            </w:pPr>
          </w:p>
        </w:tc>
      </w:tr>
      <w:tr w14:paraId="5AEF12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210409E">
            <w:pPr>
              <w:autoSpaceDE w:val="0"/>
              <w:autoSpaceDN w:val="0"/>
              <w:adjustRightInd w:val="0"/>
              <w:snapToGrid w:val="0"/>
              <w:jc w:val="center"/>
              <w:rPr>
                <w:rFonts w:ascii="宋体" w:hAnsi="宋体"/>
                <w:kern w:val="0"/>
                <w:sz w:val="24"/>
              </w:rPr>
            </w:pPr>
          </w:p>
        </w:tc>
        <w:tc>
          <w:tcPr>
            <w:tcW w:w="1176" w:type="dxa"/>
            <w:vAlign w:val="center"/>
          </w:tcPr>
          <w:p w14:paraId="0CD1FE19">
            <w:pPr>
              <w:autoSpaceDE w:val="0"/>
              <w:autoSpaceDN w:val="0"/>
              <w:adjustRightInd w:val="0"/>
              <w:snapToGrid w:val="0"/>
              <w:jc w:val="center"/>
              <w:rPr>
                <w:rFonts w:ascii="宋体" w:hAnsi="宋体"/>
                <w:kern w:val="0"/>
                <w:sz w:val="24"/>
              </w:rPr>
            </w:pPr>
          </w:p>
        </w:tc>
        <w:tc>
          <w:tcPr>
            <w:tcW w:w="824" w:type="dxa"/>
            <w:vAlign w:val="center"/>
          </w:tcPr>
          <w:p w14:paraId="1DCF2792">
            <w:pPr>
              <w:autoSpaceDE w:val="0"/>
              <w:autoSpaceDN w:val="0"/>
              <w:adjustRightInd w:val="0"/>
              <w:snapToGrid w:val="0"/>
              <w:jc w:val="center"/>
              <w:rPr>
                <w:rFonts w:ascii="宋体" w:hAnsi="宋体"/>
                <w:kern w:val="0"/>
                <w:sz w:val="24"/>
              </w:rPr>
            </w:pPr>
          </w:p>
        </w:tc>
        <w:tc>
          <w:tcPr>
            <w:tcW w:w="1072" w:type="dxa"/>
            <w:vAlign w:val="center"/>
          </w:tcPr>
          <w:p w14:paraId="2AB99EF1">
            <w:pPr>
              <w:autoSpaceDE w:val="0"/>
              <w:autoSpaceDN w:val="0"/>
              <w:adjustRightInd w:val="0"/>
              <w:snapToGrid w:val="0"/>
              <w:jc w:val="center"/>
              <w:rPr>
                <w:rFonts w:ascii="宋体" w:hAnsi="宋体"/>
                <w:kern w:val="0"/>
                <w:sz w:val="24"/>
              </w:rPr>
            </w:pPr>
          </w:p>
        </w:tc>
        <w:tc>
          <w:tcPr>
            <w:tcW w:w="728" w:type="dxa"/>
            <w:vAlign w:val="center"/>
          </w:tcPr>
          <w:p w14:paraId="236C7597">
            <w:pPr>
              <w:autoSpaceDE w:val="0"/>
              <w:autoSpaceDN w:val="0"/>
              <w:adjustRightInd w:val="0"/>
              <w:snapToGrid w:val="0"/>
              <w:jc w:val="center"/>
              <w:rPr>
                <w:rFonts w:ascii="宋体" w:hAnsi="宋体"/>
                <w:kern w:val="0"/>
                <w:sz w:val="24"/>
              </w:rPr>
            </w:pPr>
          </w:p>
        </w:tc>
        <w:tc>
          <w:tcPr>
            <w:tcW w:w="799" w:type="dxa"/>
            <w:vAlign w:val="center"/>
          </w:tcPr>
          <w:p w14:paraId="4006F498">
            <w:pPr>
              <w:autoSpaceDE w:val="0"/>
              <w:autoSpaceDN w:val="0"/>
              <w:adjustRightInd w:val="0"/>
              <w:snapToGrid w:val="0"/>
              <w:jc w:val="center"/>
              <w:rPr>
                <w:rFonts w:ascii="宋体" w:hAnsi="宋体"/>
                <w:kern w:val="0"/>
                <w:sz w:val="24"/>
              </w:rPr>
            </w:pPr>
          </w:p>
        </w:tc>
        <w:tc>
          <w:tcPr>
            <w:tcW w:w="1312" w:type="dxa"/>
            <w:vAlign w:val="center"/>
          </w:tcPr>
          <w:p w14:paraId="4587E3E9">
            <w:pPr>
              <w:autoSpaceDE w:val="0"/>
              <w:autoSpaceDN w:val="0"/>
              <w:adjustRightInd w:val="0"/>
              <w:snapToGrid w:val="0"/>
              <w:jc w:val="center"/>
              <w:rPr>
                <w:rFonts w:ascii="宋体" w:hAnsi="宋体"/>
                <w:kern w:val="0"/>
                <w:sz w:val="24"/>
              </w:rPr>
            </w:pPr>
          </w:p>
        </w:tc>
        <w:tc>
          <w:tcPr>
            <w:tcW w:w="947" w:type="dxa"/>
            <w:vAlign w:val="center"/>
          </w:tcPr>
          <w:p w14:paraId="56A0DF1D">
            <w:pPr>
              <w:autoSpaceDE w:val="0"/>
              <w:autoSpaceDN w:val="0"/>
              <w:adjustRightInd w:val="0"/>
              <w:snapToGrid w:val="0"/>
              <w:jc w:val="center"/>
              <w:rPr>
                <w:rFonts w:ascii="宋体" w:hAnsi="宋体"/>
                <w:kern w:val="0"/>
                <w:sz w:val="24"/>
              </w:rPr>
            </w:pPr>
          </w:p>
        </w:tc>
        <w:tc>
          <w:tcPr>
            <w:tcW w:w="1141" w:type="dxa"/>
            <w:vAlign w:val="center"/>
          </w:tcPr>
          <w:p w14:paraId="79756D45">
            <w:pPr>
              <w:autoSpaceDE w:val="0"/>
              <w:autoSpaceDN w:val="0"/>
              <w:adjustRightInd w:val="0"/>
              <w:snapToGrid w:val="0"/>
              <w:jc w:val="center"/>
              <w:rPr>
                <w:rFonts w:ascii="宋体" w:hAnsi="宋体"/>
                <w:kern w:val="0"/>
                <w:sz w:val="24"/>
              </w:rPr>
            </w:pPr>
          </w:p>
        </w:tc>
        <w:tc>
          <w:tcPr>
            <w:tcW w:w="749" w:type="dxa"/>
            <w:vAlign w:val="center"/>
          </w:tcPr>
          <w:p w14:paraId="131E4049">
            <w:pPr>
              <w:autoSpaceDE w:val="0"/>
              <w:autoSpaceDN w:val="0"/>
              <w:adjustRightInd w:val="0"/>
              <w:snapToGrid w:val="0"/>
              <w:jc w:val="center"/>
              <w:rPr>
                <w:rFonts w:ascii="宋体" w:hAnsi="宋体"/>
                <w:kern w:val="0"/>
                <w:sz w:val="24"/>
              </w:rPr>
            </w:pPr>
          </w:p>
        </w:tc>
      </w:tr>
      <w:tr w14:paraId="371B15B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0A1493F9">
            <w:pPr>
              <w:autoSpaceDE w:val="0"/>
              <w:autoSpaceDN w:val="0"/>
              <w:adjustRightInd w:val="0"/>
              <w:snapToGrid w:val="0"/>
              <w:jc w:val="center"/>
              <w:rPr>
                <w:rFonts w:ascii="宋体" w:hAnsi="宋体"/>
                <w:kern w:val="0"/>
                <w:sz w:val="24"/>
              </w:rPr>
            </w:pPr>
          </w:p>
        </w:tc>
        <w:tc>
          <w:tcPr>
            <w:tcW w:w="1176" w:type="dxa"/>
            <w:vAlign w:val="center"/>
          </w:tcPr>
          <w:p w14:paraId="7F4CF90B">
            <w:pPr>
              <w:autoSpaceDE w:val="0"/>
              <w:autoSpaceDN w:val="0"/>
              <w:adjustRightInd w:val="0"/>
              <w:snapToGrid w:val="0"/>
              <w:jc w:val="center"/>
              <w:rPr>
                <w:rFonts w:ascii="宋体" w:hAnsi="宋体"/>
                <w:kern w:val="0"/>
                <w:sz w:val="24"/>
              </w:rPr>
            </w:pPr>
          </w:p>
        </w:tc>
        <w:tc>
          <w:tcPr>
            <w:tcW w:w="824" w:type="dxa"/>
            <w:vAlign w:val="center"/>
          </w:tcPr>
          <w:p w14:paraId="000C4953">
            <w:pPr>
              <w:autoSpaceDE w:val="0"/>
              <w:autoSpaceDN w:val="0"/>
              <w:adjustRightInd w:val="0"/>
              <w:snapToGrid w:val="0"/>
              <w:jc w:val="center"/>
              <w:rPr>
                <w:rFonts w:ascii="宋体" w:hAnsi="宋体"/>
                <w:kern w:val="0"/>
                <w:sz w:val="24"/>
              </w:rPr>
            </w:pPr>
          </w:p>
        </w:tc>
        <w:tc>
          <w:tcPr>
            <w:tcW w:w="1072" w:type="dxa"/>
            <w:vAlign w:val="center"/>
          </w:tcPr>
          <w:p w14:paraId="577DB371">
            <w:pPr>
              <w:autoSpaceDE w:val="0"/>
              <w:autoSpaceDN w:val="0"/>
              <w:adjustRightInd w:val="0"/>
              <w:snapToGrid w:val="0"/>
              <w:jc w:val="center"/>
              <w:rPr>
                <w:rFonts w:ascii="宋体" w:hAnsi="宋体"/>
                <w:kern w:val="0"/>
                <w:sz w:val="24"/>
              </w:rPr>
            </w:pPr>
          </w:p>
        </w:tc>
        <w:tc>
          <w:tcPr>
            <w:tcW w:w="728" w:type="dxa"/>
            <w:vAlign w:val="center"/>
          </w:tcPr>
          <w:p w14:paraId="185908E8">
            <w:pPr>
              <w:autoSpaceDE w:val="0"/>
              <w:autoSpaceDN w:val="0"/>
              <w:adjustRightInd w:val="0"/>
              <w:snapToGrid w:val="0"/>
              <w:jc w:val="center"/>
              <w:rPr>
                <w:rFonts w:ascii="宋体" w:hAnsi="宋体"/>
                <w:kern w:val="0"/>
                <w:sz w:val="24"/>
              </w:rPr>
            </w:pPr>
          </w:p>
        </w:tc>
        <w:tc>
          <w:tcPr>
            <w:tcW w:w="799" w:type="dxa"/>
            <w:vAlign w:val="center"/>
          </w:tcPr>
          <w:p w14:paraId="338B6F9B">
            <w:pPr>
              <w:autoSpaceDE w:val="0"/>
              <w:autoSpaceDN w:val="0"/>
              <w:adjustRightInd w:val="0"/>
              <w:snapToGrid w:val="0"/>
              <w:jc w:val="center"/>
              <w:rPr>
                <w:rFonts w:ascii="宋体" w:hAnsi="宋体"/>
                <w:kern w:val="0"/>
                <w:sz w:val="24"/>
              </w:rPr>
            </w:pPr>
          </w:p>
        </w:tc>
        <w:tc>
          <w:tcPr>
            <w:tcW w:w="1312" w:type="dxa"/>
            <w:vAlign w:val="center"/>
          </w:tcPr>
          <w:p w14:paraId="30F8273D">
            <w:pPr>
              <w:autoSpaceDE w:val="0"/>
              <w:autoSpaceDN w:val="0"/>
              <w:adjustRightInd w:val="0"/>
              <w:snapToGrid w:val="0"/>
              <w:jc w:val="center"/>
              <w:rPr>
                <w:rFonts w:ascii="宋体" w:hAnsi="宋体"/>
                <w:kern w:val="0"/>
                <w:sz w:val="24"/>
              </w:rPr>
            </w:pPr>
          </w:p>
        </w:tc>
        <w:tc>
          <w:tcPr>
            <w:tcW w:w="947" w:type="dxa"/>
            <w:vAlign w:val="center"/>
          </w:tcPr>
          <w:p w14:paraId="38BE8475">
            <w:pPr>
              <w:autoSpaceDE w:val="0"/>
              <w:autoSpaceDN w:val="0"/>
              <w:adjustRightInd w:val="0"/>
              <w:snapToGrid w:val="0"/>
              <w:jc w:val="center"/>
              <w:rPr>
                <w:rFonts w:ascii="宋体" w:hAnsi="宋体"/>
                <w:kern w:val="0"/>
                <w:sz w:val="24"/>
              </w:rPr>
            </w:pPr>
          </w:p>
        </w:tc>
        <w:tc>
          <w:tcPr>
            <w:tcW w:w="1141" w:type="dxa"/>
            <w:vAlign w:val="center"/>
          </w:tcPr>
          <w:p w14:paraId="5E6FD112">
            <w:pPr>
              <w:autoSpaceDE w:val="0"/>
              <w:autoSpaceDN w:val="0"/>
              <w:adjustRightInd w:val="0"/>
              <w:snapToGrid w:val="0"/>
              <w:jc w:val="center"/>
              <w:rPr>
                <w:rFonts w:ascii="宋体" w:hAnsi="宋体"/>
                <w:kern w:val="0"/>
                <w:sz w:val="24"/>
              </w:rPr>
            </w:pPr>
          </w:p>
        </w:tc>
        <w:tc>
          <w:tcPr>
            <w:tcW w:w="749" w:type="dxa"/>
            <w:vAlign w:val="center"/>
          </w:tcPr>
          <w:p w14:paraId="27AC2E9D">
            <w:pPr>
              <w:autoSpaceDE w:val="0"/>
              <w:autoSpaceDN w:val="0"/>
              <w:adjustRightInd w:val="0"/>
              <w:snapToGrid w:val="0"/>
              <w:jc w:val="center"/>
              <w:rPr>
                <w:rFonts w:ascii="宋体" w:hAnsi="宋体"/>
                <w:kern w:val="0"/>
                <w:sz w:val="24"/>
              </w:rPr>
            </w:pPr>
          </w:p>
        </w:tc>
      </w:tr>
      <w:tr w14:paraId="2A7126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62A2F05">
            <w:pPr>
              <w:autoSpaceDE w:val="0"/>
              <w:autoSpaceDN w:val="0"/>
              <w:adjustRightInd w:val="0"/>
              <w:snapToGrid w:val="0"/>
              <w:jc w:val="center"/>
              <w:rPr>
                <w:rFonts w:ascii="宋体" w:hAnsi="宋体"/>
                <w:kern w:val="0"/>
                <w:sz w:val="24"/>
              </w:rPr>
            </w:pPr>
          </w:p>
        </w:tc>
        <w:tc>
          <w:tcPr>
            <w:tcW w:w="1176" w:type="dxa"/>
            <w:vAlign w:val="center"/>
          </w:tcPr>
          <w:p w14:paraId="109B42DA">
            <w:pPr>
              <w:autoSpaceDE w:val="0"/>
              <w:autoSpaceDN w:val="0"/>
              <w:adjustRightInd w:val="0"/>
              <w:snapToGrid w:val="0"/>
              <w:jc w:val="center"/>
              <w:rPr>
                <w:rFonts w:ascii="宋体" w:hAnsi="宋体"/>
                <w:kern w:val="0"/>
                <w:sz w:val="24"/>
              </w:rPr>
            </w:pPr>
          </w:p>
        </w:tc>
        <w:tc>
          <w:tcPr>
            <w:tcW w:w="824" w:type="dxa"/>
            <w:vAlign w:val="center"/>
          </w:tcPr>
          <w:p w14:paraId="70EC4215">
            <w:pPr>
              <w:autoSpaceDE w:val="0"/>
              <w:autoSpaceDN w:val="0"/>
              <w:adjustRightInd w:val="0"/>
              <w:snapToGrid w:val="0"/>
              <w:jc w:val="center"/>
              <w:rPr>
                <w:rFonts w:ascii="宋体" w:hAnsi="宋体"/>
                <w:kern w:val="0"/>
                <w:sz w:val="24"/>
              </w:rPr>
            </w:pPr>
          </w:p>
        </w:tc>
        <w:tc>
          <w:tcPr>
            <w:tcW w:w="1072" w:type="dxa"/>
            <w:vAlign w:val="center"/>
          </w:tcPr>
          <w:p w14:paraId="30627B75">
            <w:pPr>
              <w:autoSpaceDE w:val="0"/>
              <w:autoSpaceDN w:val="0"/>
              <w:adjustRightInd w:val="0"/>
              <w:snapToGrid w:val="0"/>
              <w:jc w:val="center"/>
              <w:rPr>
                <w:rFonts w:ascii="宋体" w:hAnsi="宋体"/>
                <w:kern w:val="0"/>
                <w:sz w:val="24"/>
              </w:rPr>
            </w:pPr>
          </w:p>
        </w:tc>
        <w:tc>
          <w:tcPr>
            <w:tcW w:w="728" w:type="dxa"/>
            <w:vAlign w:val="center"/>
          </w:tcPr>
          <w:p w14:paraId="539A3203">
            <w:pPr>
              <w:autoSpaceDE w:val="0"/>
              <w:autoSpaceDN w:val="0"/>
              <w:adjustRightInd w:val="0"/>
              <w:snapToGrid w:val="0"/>
              <w:jc w:val="center"/>
              <w:rPr>
                <w:rFonts w:ascii="宋体" w:hAnsi="宋体"/>
                <w:kern w:val="0"/>
                <w:sz w:val="24"/>
              </w:rPr>
            </w:pPr>
          </w:p>
        </w:tc>
        <w:tc>
          <w:tcPr>
            <w:tcW w:w="799" w:type="dxa"/>
            <w:vAlign w:val="center"/>
          </w:tcPr>
          <w:p w14:paraId="154460DF">
            <w:pPr>
              <w:autoSpaceDE w:val="0"/>
              <w:autoSpaceDN w:val="0"/>
              <w:adjustRightInd w:val="0"/>
              <w:snapToGrid w:val="0"/>
              <w:jc w:val="center"/>
              <w:rPr>
                <w:rFonts w:ascii="宋体" w:hAnsi="宋体"/>
                <w:kern w:val="0"/>
                <w:sz w:val="24"/>
              </w:rPr>
            </w:pPr>
          </w:p>
        </w:tc>
        <w:tc>
          <w:tcPr>
            <w:tcW w:w="1312" w:type="dxa"/>
            <w:vAlign w:val="center"/>
          </w:tcPr>
          <w:p w14:paraId="01E020CC">
            <w:pPr>
              <w:autoSpaceDE w:val="0"/>
              <w:autoSpaceDN w:val="0"/>
              <w:adjustRightInd w:val="0"/>
              <w:snapToGrid w:val="0"/>
              <w:jc w:val="center"/>
              <w:rPr>
                <w:rFonts w:ascii="宋体" w:hAnsi="宋体"/>
                <w:kern w:val="0"/>
                <w:sz w:val="24"/>
              </w:rPr>
            </w:pPr>
          </w:p>
        </w:tc>
        <w:tc>
          <w:tcPr>
            <w:tcW w:w="947" w:type="dxa"/>
            <w:vAlign w:val="center"/>
          </w:tcPr>
          <w:p w14:paraId="772DD9AA">
            <w:pPr>
              <w:autoSpaceDE w:val="0"/>
              <w:autoSpaceDN w:val="0"/>
              <w:adjustRightInd w:val="0"/>
              <w:snapToGrid w:val="0"/>
              <w:jc w:val="center"/>
              <w:rPr>
                <w:rFonts w:ascii="宋体" w:hAnsi="宋体"/>
                <w:kern w:val="0"/>
                <w:sz w:val="24"/>
              </w:rPr>
            </w:pPr>
          </w:p>
        </w:tc>
        <w:tc>
          <w:tcPr>
            <w:tcW w:w="1141" w:type="dxa"/>
            <w:vAlign w:val="center"/>
          </w:tcPr>
          <w:p w14:paraId="71ECA269">
            <w:pPr>
              <w:autoSpaceDE w:val="0"/>
              <w:autoSpaceDN w:val="0"/>
              <w:adjustRightInd w:val="0"/>
              <w:snapToGrid w:val="0"/>
              <w:jc w:val="center"/>
              <w:rPr>
                <w:rFonts w:ascii="宋体" w:hAnsi="宋体"/>
                <w:kern w:val="0"/>
                <w:sz w:val="24"/>
              </w:rPr>
            </w:pPr>
          </w:p>
        </w:tc>
        <w:tc>
          <w:tcPr>
            <w:tcW w:w="749" w:type="dxa"/>
            <w:vAlign w:val="center"/>
          </w:tcPr>
          <w:p w14:paraId="2662B865">
            <w:pPr>
              <w:autoSpaceDE w:val="0"/>
              <w:autoSpaceDN w:val="0"/>
              <w:adjustRightInd w:val="0"/>
              <w:snapToGrid w:val="0"/>
              <w:jc w:val="center"/>
              <w:rPr>
                <w:rFonts w:ascii="宋体" w:hAnsi="宋体"/>
                <w:kern w:val="0"/>
                <w:sz w:val="24"/>
              </w:rPr>
            </w:pPr>
          </w:p>
        </w:tc>
      </w:tr>
      <w:tr w14:paraId="59798E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7A33BE8C">
            <w:pPr>
              <w:autoSpaceDE w:val="0"/>
              <w:autoSpaceDN w:val="0"/>
              <w:adjustRightInd w:val="0"/>
              <w:snapToGrid w:val="0"/>
              <w:jc w:val="center"/>
              <w:rPr>
                <w:rFonts w:ascii="宋体" w:hAnsi="宋体"/>
                <w:kern w:val="0"/>
                <w:sz w:val="24"/>
              </w:rPr>
            </w:pPr>
          </w:p>
        </w:tc>
        <w:tc>
          <w:tcPr>
            <w:tcW w:w="1176" w:type="dxa"/>
            <w:vAlign w:val="center"/>
          </w:tcPr>
          <w:p w14:paraId="67F31E0F">
            <w:pPr>
              <w:autoSpaceDE w:val="0"/>
              <w:autoSpaceDN w:val="0"/>
              <w:adjustRightInd w:val="0"/>
              <w:snapToGrid w:val="0"/>
              <w:jc w:val="center"/>
              <w:rPr>
                <w:rFonts w:ascii="宋体" w:hAnsi="宋体"/>
                <w:kern w:val="0"/>
                <w:sz w:val="24"/>
              </w:rPr>
            </w:pPr>
          </w:p>
        </w:tc>
        <w:tc>
          <w:tcPr>
            <w:tcW w:w="824" w:type="dxa"/>
            <w:vAlign w:val="center"/>
          </w:tcPr>
          <w:p w14:paraId="5BAF2E82">
            <w:pPr>
              <w:autoSpaceDE w:val="0"/>
              <w:autoSpaceDN w:val="0"/>
              <w:adjustRightInd w:val="0"/>
              <w:snapToGrid w:val="0"/>
              <w:jc w:val="center"/>
              <w:rPr>
                <w:rFonts w:ascii="宋体" w:hAnsi="宋体"/>
                <w:kern w:val="0"/>
                <w:sz w:val="24"/>
              </w:rPr>
            </w:pPr>
          </w:p>
        </w:tc>
        <w:tc>
          <w:tcPr>
            <w:tcW w:w="1072" w:type="dxa"/>
            <w:vAlign w:val="center"/>
          </w:tcPr>
          <w:p w14:paraId="3F2FDA51">
            <w:pPr>
              <w:autoSpaceDE w:val="0"/>
              <w:autoSpaceDN w:val="0"/>
              <w:adjustRightInd w:val="0"/>
              <w:snapToGrid w:val="0"/>
              <w:jc w:val="center"/>
              <w:rPr>
                <w:rFonts w:ascii="宋体" w:hAnsi="宋体"/>
                <w:kern w:val="0"/>
                <w:sz w:val="24"/>
              </w:rPr>
            </w:pPr>
          </w:p>
        </w:tc>
        <w:tc>
          <w:tcPr>
            <w:tcW w:w="728" w:type="dxa"/>
            <w:vAlign w:val="center"/>
          </w:tcPr>
          <w:p w14:paraId="116F6EF3">
            <w:pPr>
              <w:autoSpaceDE w:val="0"/>
              <w:autoSpaceDN w:val="0"/>
              <w:adjustRightInd w:val="0"/>
              <w:snapToGrid w:val="0"/>
              <w:jc w:val="center"/>
              <w:rPr>
                <w:rFonts w:ascii="宋体" w:hAnsi="宋体"/>
                <w:kern w:val="0"/>
                <w:sz w:val="24"/>
              </w:rPr>
            </w:pPr>
          </w:p>
        </w:tc>
        <w:tc>
          <w:tcPr>
            <w:tcW w:w="799" w:type="dxa"/>
            <w:vAlign w:val="center"/>
          </w:tcPr>
          <w:p w14:paraId="66D3644A">
            <w:pPr>
              <w:autoSpaceDE w:val="0"/>
              <w:autoSpaceDN w:val="0"/>
              <w:adjustRightInd w:val="0"/>
              <w:snapToGrid w:val="0"/>
              <w:jc w:val="center"/>
              <w:rPr>
                <w:rFonts w:ascii="宋体" w:hAnsi="宋体"/>
                <w:kern w:val="0"/>
                <w:sz w:val="24"/>
              </w:rPr>
            </w:pPr>
          </w:p>
        </w:tc>
        <w:tc>
          <w:tcPr>
            <w:tcW w:w="1312" w:type="dxa"/>
            <w:vAlign w:val="center"/>
          </w:tcPr>
          <w:p w14:paraId="277850FE">
            <w:pPr>
              <w:autoSpaceDE w:val="0"/>
              <w:autoSpaceDN w:val="0"/>
              <w:adjustRightInd w:val="0"/>
              <w:snapToGrid w:val="0"/>
              <w:jc w:val="center"/>
              <w:rPr>
                <w:rFonts w:ascii="宋体" w:hAnsi="宋体"/>
                <w:kern w:val="0"/>
                <w:sz w:val="24"/>
              </w:rPr>
            </w:pPr>
          </w:p>
        </w:tc>
        <w:tc>
          <w:tcPr>
            <w:tcW w:w="947" w:type="dxa"/>
            <w:vAlign w:val="center"/>
          </w:tcPr>
          <w:p w14:paraId="2363E81F">
            <w:pPr>
              <w:autoSpaceDE w:val="0"/>
              <w:autoSpaceDN w:val="0"/>
              <w:adjustRightInd w:val="0"/>
              <w:snapToGrid w:val="0"/>
              <w:jc w:val="center"/>
              <w:rPr>
                <w:rFonts w:ascii="宋体" w:hAnsi="宋体"/>
                <w:kern w:val="0"/>
                <w:sz w:val="24"/>
              </w:rPr>
            </w:pPr>
          </w:p>
        </w:tc>
        <w:tc>
          <w:tcPr>
            <w:tcW w:w="1141" w:type="dxa"/>
            <w:vAlign w:val="center"/>
          </w:tcPr>
          <w:p w14:paraId="053224AA">
            <w:pPr>
              <w:autoSpaceDE w:val="0"/>
              <w:autoSpaceDN w:val="0"/>
              <w:adjustRightInd w:val="0"/>
              <w:snapToGrid w:val="0"/>
              <w:jc w:val="center"/>
              <w:rPr>
                <w:rFonts w:ascii="宋体" w:hAnsi="宋体"/>
                <w:kern w:val="0"/>
                <w:sz w:val="24"/>
              </w:rPr>
            </w:pPr>
          </w:p>
        </w:tc>
        <w:tc>
          <w:tcPr>
            <w:tcW w:w="749" w:type="dxa"/>
            <w:vAlign w:val="center"/>
          </w:tcPr>
          <w:p w14:paraId="34F7A981">
            <w:pPr>
              <w:autoSpaceDE w:val="0"/>
              <w:autoSpaceDN w:val="0"/>
              <w:adjustRightInd w:val="0"/>
              <w:snapToGrid w:val="0"/>
              <w:jc w:val="center"/>
              <w:rPr>
                <w:rFonts w:ascii="宋体" w:hAnsi="宋体"/>
                <w:kern w:val="0"/>
                <w:sz w:val="24"/>
              </w:rPr>
            </w:pPr>
          </w:p>
        </w:tc>
      </w:tr>
      <w:tr w14:paraId="77D23AF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6142D196">
            <w:pPr>
              <w:autoSpaceDE w:val="0"/>
              <w:autoSpaceDN w:val="0"/>
              <w:adjustRightInd w:val="0"/>
              <w:snapToGrid w:val="0"/>
              <w:jc w:val="center"/>
              <w:rPr>
                <w:rFonts w:ascii="宋体" w:hAnsi="宋体"/>
                <w:kern w:val="0"/>
                <w:sz w:val="24"/>
              </w:rPr>
            </w:pPr>
          </w:p>
        </w:tc>
        <w:tc>
          <w:tcPr>
            <w:tcW w:w="1176" w:type="dxa"/>
            <w:vAlign w:val="center"/>
          </w:tcPr>
          <w:p w14:paraId="230DEA0F">
            <w:pPr>
              <w:autoSpaceDE w:val="0"/>
              <w:autoSpaceDN w:val="0"/>
              <w:adjustRightInd w:val="0"/>
              <w:snapToGrid w:val="0"/>
              <w:jc w:val="center"/>
              <w:rPr>
                <w:rFonts w:ascii="宋体" w:hAnsi="宋体"/>
                <w:kern w:val="0"/>
                <w:sz w:val="24"/>
              </w:rPr>
            </w:pPr>
          </w:p>
        </w:tc>
        <w:tc>
          <w:tcPr>
            <w:tcW w:w="824" w:type="dxa"/>
            <w:vAlign w:val="center"/>
          </w:tcPr>
          <w:p w14:paraId="08E3D069">
            <w:pPr>
              <w:autoSpaceDE w:val="0"/>
              <w:autoSpaceDN w:val="0"/>
              <w:adjustRightInd w:val="0"/>
              <w:snapToGrid w:val="0"/>
              <w:jc w:val="center"/>
              <w:rPr>
                <w:rFonts w:ascii="宋体" w:hAnsi="宋体"/>
                <w:kern w:val="0"/>
                <w:sz w:val="24"/>
              </w:rPr>
            </w:pPr>
          </w:p>
        </w:tc>
        <w:tc>
          <w:tcPr>
            <w:tcW w:w="1072" w:type="dxa"/>
            <w:vAlign w:val="center"/>
          </w:tcPr>
          <w:p w14:paraId="5E1B64EC">
            <w:pPr>
              <w:autoSpaceDE w:val="0"/>
              <w:autoSpaceDN w:val="0"/>
              <w:adjustRightInd w:val="0"/>
              <w:snapToGrid w:val="0"/>
              <w:jc w:val="center"/>
              <w:rPr>
                <w:rFonts w:ascii="宋体" w:hAnsi="宋体"/>
                <w:kern w:val="0"/>
                <w:sz w:val="24"/>
              </w:rPr>
            </w:pPr>
          </w:p>
        </w:tc>
        <w:tc>
          <w:tcPr>
            <w:tcW w:w="728" w:type="dxa"/>
            <w:vAlign w:val="center"/>
          </w:tcPr>
          <w:p w14:paraId="293785D4">
            <w:pPr>
              <w:autoSpaceDE w:val="0"/>
              <w:autoSpaceDN w:val="0"/>
              <w:adjustRightInd w:val="0"/>
              <w:snapToGrid w:val="0"/>
              <w:jc w:val="center"/>
              <w:rPr>
                <w:rFonts w:ascii="宋体" w:hAnsi="宋体"/>
                <w:kern w:val="0"/>
                <w:sz w:val="24"/>
              </w:rPr>
            </w:pPr>
          </w:p>
        </w:tc>
        <w:tc>
          <w:tcPr>
            <w:tcW w:w="799" w:type="dxa"/>
            <w:vAlign w:val="center"/>
          </w:tcPr>
          <w:p w14:paraId="7B3A372F">
            <w:pPr>
              <w:autoSpaceDE w:val="0"/>
              <w:autoSpaceDN w:val="0"/>
              <w:adjustRightInd w:val="0"/>
              <w:snapToGrid w:val="0"/>
              <w:jc w:val="center"/>
              <w:rPr>
                <w:rFonts w:ascii="宋体" w:hAnsi="宋体"/>
                <w:kern w:val="0"/>
                <w:sz w:val="24"/>
              </w:rPr>
            </w:pPr>
          </w:p>
        </w:tc>
        <w:tc>
          <w:tcPr>
            <w:tcW w:w="1312" w:type="dxa"/>
            <w:vAlign w:val="center"/>
          </w:tcPr>
          <w:p w14:paraId="30D8FF5F">
            <w:pPr>
              <w:autoSpaceDE w:val="0"/>
              <w:autoSpaceDN w:val="0"/>
              <w:adjustRightInd w:val="0"/>
              <w:snapToGrid w:val="0"/>
              <w:jc w:val="center"/>
              <w:rPr>
                <w:rFonts w:ascii="宋体" w:hAnsi="宋体"/>
                <w:kern w:val="0"/>
                <w:sz w:val="24"/>
              </w:rPr>
            </w:pPr>
          </w:p>
        </w:tc>
        <w:tc>
          <w:tcPr>
            <w:tcW w:w="947" w:type="dxa"/>
            <w:vAlign w:val="center"/>
          </w:tcPr>
          <w:p w14:paraId="1E8358AF">
            <w:pPr>
              <w:autoSpaceDE w:val="0"/>
              <w:autoSpaceDN w:val="0"/>
              <w:adjustRightInd w:val="0"/>
              <w:snapToGrid w:val="0"/>
              <w:jc w:val="center"/>
              <w:rPr>
                <w:rFonts w:ascii="宋体" w:hAnsi="宋体"/>
                <w:kern w:val="0"/>
                <w:sz w:val="24"/>
              </w:rPr>
            </w:pPr>
          </w:p>
        </w:tc>
        <w:tc>
          <w:tcPr>
            <w:tcW w:w="1141" w:type="dxa"/>
            <w:vAlign w:val="center"/>
          </w:tcPr>
          <w:p w14:paraId="14465BB2">
            <w:pPr>
              <w:autoSpaceDE w:val="0"/>
              <w:autoSpaceDN w:val="0"/>
              <w:adjustRightInd w:val="0"/>
              <w:snapToGrid w:val="0"/>
              <w:jc w:val="center"/>
              <w:rPr>
                <w:rFonts w:ascii="宋体" w:hAnsi="宋体"/>
                <w:kern w:val="0"/>
                <w:sz w:val="24"/>
              </w:rPr>
            </w:pPr>
          </w:p>
        </w:tc>
        <w:tc>
          <w:tcPr>
            <w:tcW w:w="749" w:type="dxa"/>
            <w:vAlign w:val="center"/>
          </w:tcPr>
          <w:p w14:paraId="21108F3E">
            <w:pPr>
              <w:autoSpaceDE w:val="0"/>
              <w:autoSpaceDN w:val="0"/>
              <w:adjustRightInd w:val="0"/>
              <w:snapToGrid w:val="0"/>
              <w:jc w:val="center"/>
              <w:rPr>
                <w:rFonts w:ascii="宋体" w:hAnsi="宋体"/>
                <w:kern w:val="0"/>
                <w:sz w:val="24"/>
              </w:rPr>
            </w:pPr>
          </w:p>
        </w:tc>
      </w:tr>
      <w:tr w14:paraId="1C43C45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A52AEC2">
            <w:pPr>
              <w:autoSpaceDE w:val="0"/>
              <w:autoSpaceDN w:val="0"/>
              <w:adjustRightInd w:val="0"/>
              <w:snapToGrid w:val="0"/>
              <w:jc w:val="center"/>
              <w:rPr>
                <w:rFonts w:ascii="宋体" w:hAnsi="宋体"/>
                <w:kern w:val="0"/>
                <w:sz w:val="24"/>
              </w:rPr>
            </w:pPr>
          </w:p>
        </w:tc>
        <w:tc>
          <w:tcPr>
            <w:tcW w:w="1176" w:type="dxa"/>
            <w:vAlign w:val="center"/>
          </w:tcPr>
          <w:p w14:paraId="1DB0AED1">
            <w:pPr>
              <w:autoSpaceDE w:val="0"/>
              <w:autoSpaceDN w:val="0"/>
              <w:adjustRightInd w:val="0"/>
              <w:snapToGrid w:val="0"/>
              <w:jc w:val="center"/>
              <w:rPr>
                <w:rFonts w:ascii="宋体" w:hAnsi="宋体"/>
                <w:kern w:val="0"/>
                <w:sz w:val="24"/>
              </w:rPr>
            </w:pPr>
          </w:p>
        </w:tc>
        <w:tc>
          <w:tcPr>
            <w:tcW w:w="824" w:type="dxa"/>
            <w:vAlign w:val="center"/>
          </w:tcPr>
          <w:p w14:paraId="460C0CFD">
            <w:pPr>
              <w:autoSpaceDE w:val="0"/>
              <w:autoSpaceDN w:val="0"/>
              <w:adjustRightInd w:val="0"/>
              <w:snapToGrid w:val="0"/>
              <w:jc w:val="center"/>
              <w:rPr>
                <w:rFonts w:ascii="宋体" w:hAnsi="宋体"/>
                <w:kern w:val="0"/>
                <w:sz w:val="24"/>
              </w:rPr>
            </w:pPr>
          </w:p>
        </w:tc>
        <w:tc>
          <w:tcPr>
            <w:tcW w:w="1072" w:type="dxa"/>
            <w:vAlign w:val="center"/>
          </w:tcPr>
          <w:p w14:paraId="7CC129D5">
            <w:pPr>
              <w:autoSpaceDE w:val="0"/>
              <w:autoSpaceDN w:val="0"/>
              <w:adjustRightInd w:val="0"/>
              <w:snapToGrid w:val="0"/>
              <w:jc w:val="center"/>
              <w:rPr>
                <w:rFonts w:ascii="宋体" w:hAnsi="宋体"/>
                <w:kern w:val="0"/>
                <w:sz w:val="24"/>
              </w:rPr>
            </w:pPr>
          </w:p>
        </w:tc>
        <w:tc>
          <w:tcPr>
            <w:tcW w:w="728" w:type="dxa"/>
            <w:vAlign w:val="center"/>
          </w:tcPr>
          <w:p w14:paraId="0C8B93C9">
            <w:pPr>
              <w:autoSpaceDE w:val="0"/>
              <w:autoSpaceDN w:val="0"/>
              <w:adjustRightInd w:val="0"/>
              <w:snapToGrid w:val="0"/>
              <w:jc w:val="center"/>
              <w:rPr>
                <w:rFonts w:ascii="宋体" w:hAnsi="宋体"/>
                <w:kern w:val="0"/>
                <w:sz w:val="24"/>
              </w:rPr>
            </w:pPr>
          </w:p>
        </w:tc>
        <w:tc>
          <w:tcPr>
            <w:tcW w:w="799" w:type="dxa"/>
            <w:vAlign w:val="center"/>
          </w:tcPr>
          <w:p w14:paraId="185AF93A">
            <w:pPr>
              <w:autoSpaceDE w:val="0"/>
              <w:autoSpaceDN w:val="0"/>
              <w:adjustRightInd w:val="0"/>
              <w:snapToGrid w:val="0"/>
              <w:jc w:val="center"/>
              <w:rPr>
                <w:rFonts w:ascii="宋体" w:hAnsi="宋体"/>
                <w:kern w:val="0"/>
                <w:sz w:val="24"/>
              </w:rPr>
            </w:pPr>
          </w:p>
        </w:tc>
        <w:tc>
          <w:tcPr>
            <w:tcW w:w="1312" w:type="dxa"/>
            <w:vAlign w:val="center"/>
          </w:tcPr>
          <w:p w14:paraId="1B2B9DB4">
            <w:pPr>
              <w:autoSpaceDE w:val="0"/>
              <w:autoSpaceDN w:val="0"/>
              <w:adjustRightInd w:val="0"/>
              <w:snapToGrid w:val="0"/>
              <w:jc w:val="center"/>
              <w:rPr>
                <w:rFonts w:ascii="宋体" w:hAnsi="宋体"/>
                <w:kern w:val="0"/>
                <w:sz w:val="24"/>
              </w:rPr>
            </w:pPr>
          </w:p>
        </w:tc>
        <w:tc>
          <w:tcPr>
            <w:tcW w:w="947" w:type="dxa"/>
            <w:vAlign w:val="center"/>
          </w:tcPr>
          <w:p w14:paraId="07EBA98D">
            <w:pPr>
              <w:autoSpaceDE w:val="0"/>
              <w:autoSpaceDN w:val="0"/>
              <w:adjustRightInd w:val="0"/>
              <w:snapToGrid w:val="0"/>
              <w:jc w:val="center"/>
              <w:rPr>
                <w:rFonts w:ascii="宋体" w:hAnsi="宋体"/>
                <w:kern w:val="0"/>
                <w:sz w:val="24"/>
              </w:rPr>
            </w:pPr>
          </w:p>
        </w:tc>
        <w:tc>
          <w:tcPr>
            <w:tcW w:w="1141" w:type="dxa"/>
            <w:vAlign w:val="center"/>
          </w:tcPr>
          <w:p w14:paraId="27D4387B">
            <w:pPr>
              <w:autoSpaceDE w:val="0"/>
              <w:autoSpaceDN w:val="0"/>
              <w:adjustRightInd w:val="0"/>
              <w:snapToGrid w:val="0"/>
              <w:jc w:val="center"/>
              <w:rPr>
                <w:rFonts w:ascii="宋体" w:hAnsi="宋体"/>
                <w:kern w:val="0"/>
                <w:sz w:val="24"/>
              </w:rPr>
            </w:pPr>
          </w:p>
        </w:tc>
        <w:tc>
          <w:tcPr>
            <w:tcW w:w="749" w:type="dxa"/>
            <w:vAlign w:val="center"/>
          </w:tcPr>
          <w:p w14:paraId="6A439238">
            <w:pPr>
              <w:autoSpaceDE w:val="0"/>
              <w:autoSpaceDN w:val="0"/>
              <w:adjustRightInd w:val="0"/>
              <w:snapToGrid w:val="0"/>
              <w:jc w:val="center"/>
              <w:rPr>
                <w:rFonts w:ascii="宋体" w:hAnsi="宋体"/>
                <w:kern w:val="0"/>
                <w:sz w:val="24"/>
              </w:rPr>
            </w:pPr>
          </w:p>
        </w:tc>
      </w:tr>
      <w:tr w14:paraId="56EC24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14D55CD6">
            <w:pPr>
              <w:autoSpaceDE w:val="0"/>
              <w:autoSpaceDN w:val="0"/>
              <w:adjustRightInd w:val="0"/>
              <w:snapToGrid w:val="0"/>
              <w:jc w:val="center"/>
              <w:rPr>
                <w:rFonts w:ascii="宋体" w:hAnsi="宋体"/>
                <w:kern w:val="0"/>
                <w:sz w:val="24"/>
              </w:rPr>
            </w:pPr>
          </w:p>
        </w:tc>
        <w:tc>
          <w:tcPr>
            <w:tcW w:w="1176" w:type="dxa"/>
            <w:vAlign w:val="center"/>
          </w:tcPr>
          <w:p w14:paraId="1761AEEA">
            <w:pPr>
              <w:autoSpaceDE w:val="0"/>
              <w:autoSpaceDN w:val="0"/>
              <w:adjustRightInd w:val="0"/>
              <w:snapToGrid w:val="0"/>
              <w:jc w:val="center"/>
              <w:rPr>
                <w:rFonts w:ascii="宋体" w:hAnsi="宋体"/>
                <w:kern w:val="0"/>
                <w:sz w:val="24"/>
              </w:rPr>
            </w:pPr>
          </w:p>
        </w:tc>
        <w:tc>
          <w:tcPr>
            <w:tcW w:w="824" w:type="dxa"/>
            <w:vAlign w:val="center"/>
          </w:tcPr>
          <w:p w14:paraId="7D1B5684">
            <w:pPr>
              <w:autoSpaceDE w:val="0"/>
              <w:autoSpaceDN w:val="0"/>
              <w:adjustRightInd w:val="0"/>
              <w:snapToGrid w:val="0"/>
              <w:jc w:val="center"/>
              <w:rPr>
                <w:rFonts w:ascii="宋体" w:hAnsi="宋体"/>
                <w:kern w:val="0"/>
                <w:sz w:val="24"/>
              </w:rPr>
            </w:pPr>
          </w:p>
        </w:tc>
        <w:tc>
          <w:tcPr>
            <w:tcW w:w="1072" w:type="dxa"/>
            <w:vAlign w:val="center"/>
          </w:tcPr>
          <w:p w14:paraId="51E06837">
            <w:pPr>
              <w:autoSpaceDE w:val="0"/>
              <w:autoSpaceDN w:val="0"/>
              <w:adjustRightInd w:val="0"/>
              <w:snapToGrid w:val="0"/>
              <w:jc w:val="center"/>
              <w:rPr>
                <w:rFonts w:ascii="宋体" w:hAnsi="宋体"/>
                <w:kern w:val="0"/>
                <w:sz w:val="24"/>
              </w:rPr>
            </w:pPr>
          </w:p>
        </w:tc>
        <w:tc>
          <w:tcPr>
            <w:tcW w:w="728" w:type="dxa"/>
            <w:vAlign w:val="center"/>
          </w:tcPr>
          <w:p w14:paraId="0A177B89">
            <w:pPr>
              <w:autoSpaceDE w:val="0"/>
              <w:autoSpaceDN w:val="0"/>
              <w:adjustRightInd w:val="0"/>
              <w:snapToGrid w:val="0"/>
              <w:jc w:val="center"/>
              <w:rPr>
                <w:rFonts w:ascii="宋体" w:hAnsi="宋体"/>
                <w:kern w:val="0"/>
                <w:sz w:val="24"/>
              </w:rPr>
            </w:pPr>
          </w:p>
        </w:tc>
        <w:tc>
          <w:tcPr>
            <w:tcW w:w="799" w:type="dxa"/>
            <w:vAlign w:val="center"/>
          </w:tcPr>
          <w:p w14:paraId="7E547803">
            <w:pPr>
              <w:autoSpaceDE w:val="0"/>
              <w:autoSpaceDN w:val="0"/>
              <w:adjustRightInd w:val="0"/>
              <w:snapToGrid w:val="0"/>
              <w:jc w:val="center"/>
              <w:rPr>
                <w:rFonts w:ascii="宋体" w:hAnsi="宋体"/>
                <w:kern w:val="0"/>
                <w:sz w:val="24"/>
              </w:rPr>
            </w:pPr>
          </w:p>
        </w:tc>
        <w:tc>
          <w:tcPr>
            <w:tcW w:w="1312" w:type="dxa"/>
            <w:vAlign w:val="center"/>
          </w:tcPr>
          <w:p w14:paraId="2AC8475A">
            <w:pPr>
              <w:autoSpaceDE w:val="0"/>
              <w:autoSpaceDN w:val="0"/>
              <w:adjustRightInd w:val="0"/>
              <w:snapToGrid w:val="0"/>
              <w:jc w:val="center"/>
              <w:rPr>
                <w:rFonts w:ascii="宋体" w:hAnsi="宋体"/>
                <w:kern w:val="0"/>
                <w:sz w:val="24"/>
              </w:rPr>
            </w:pPr>
          </w:p>
        </w:tc>
        <w:tc>
          <w:tcPr>
            <w:tcW w:w="947" w:type="dxa"/>
            <w:vAlign w:val="center"/>
          </w:tcPr>
          <w:p w14:paraId="7582201F">
            <w:pPr>
              <w:autoSpaceDE w:val="0"/>
              <w:autoSpaceDN w:val="0"/>
              <w:adjustRightInd w:val="0"/>
              <w:snapToGrid w:val="0"/>
              <w:jc w:val="center"/>
              <w:rPr>
                <w:rFonts w:ascii="宋体" w:hAnsi="宋体"/>
                <w:kern w:val="0"/>
                <w:sz w:val="24"/>
              </w:rPr>
            </w:pPr>
          </w:p>
        </w:tc>
        <w:tc>
          <w:tcPr>
            <w:tcW w:w="1141" w:type="dxa"/>
            <w:vAlign w:val="center"/>
          </w:tcPr>
          <w:p w14:paraId="4E7C2993">
            <w:pPr>
              <w:autoSpaceDE w:val="0"/>
              <w:autoSpaceDN w:val="0"/>
              <w:adjustRightInd w:val="0"/>
              <w:snapToGrid w:val="0"/>
              <w:jc w:val="center"/>
              <w:rPr>
                <w:rFonts w:ascii="宋体" w:hAnsi="宋体"/>
                <w:kern w:val="0"/>
                <w:sz w:val="24"/>
              </w:rPr>
            </w:pPr>
          </w:p>
        </w:tc>
        <w:tc>
          <w:tcPr>
            <w:tcW w:w="749" w:type="dxa"/>
            <w:vAlign w:val="center"/>
          </w:tcPr>
          <w:p w14:paraId="2C458E8B">
            <w:pPr>
              <w:autoSpaceDE w:val="0"/>
              <w:autoSpaceDN w:val="0"/>
              <w:adjustRightInd w:val="0"/>
              <w:snapToGrid w:val="0"/>
              <w:jc w:val="center"/>
              <w:rPr>
                <w:rFonts w:ascii="宋体" w:hAnsi="宋体"/>
                <w:kern w:val="0"/>
                <w:sz w:val="24"/>
              </w:rPr>
            </w:pPr>
          </w:p>
        </w:tc>
      </w:tr>
      <w:tr w14:paraId="7A1A036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2A6B310F">
            <w:pPr>
              <w:autoSpaceDE w:val="0"/>
              <w:autoSpaceDN w:val="0"/>
              <w:adjustRightInd w:val="0"/>
              <w:snapToGrid w:val="0"/>
              <w:jc w:val="center"/>
              <w:rPr>
                <w:rFonts w:ascii="宋体" w:hAnsi="宋体"/>
                <w:kern w:val="0"/>
                <w:sz w:val="24"/>
              </w:rPr>
            </w:pPr>
          </w:p>
        </w:tc>
        <w:tc>
          <w:tcPr>
            <w:tcW w:w="1176" w:type="dxa"/>
            <w:vAlign w:val="center"/>
          </w:tcPr>
          <w:p w14:paraId="4B03F598">
            <w:pPr>
              <w:autoSpaceDE w:val="0"/>
              <w:autoSpaceDN w:val="0"/>
              <w:adjustRightInd w:val="0"/>
              <w:snapToGrid w:val="0"/>
              <w:jc w:val="center"/>
              <w:rPr>
                <w:rFonts w:ascii="宋体" w:hAnsi="宋体"/>
                <w:kern w:val="0"/>
                <w:sz w:val="24"/>
              </w:rPr>
            </w:pPr>
          </w:p>
        </w:tc>
        <w:tc>
          <w:tcPr>
            <w:tcW w:w="824" w:type="dxa"/>
            <w:vAlign w:val="center"/>
          </w:tcPr>
          <w:p w14:paraId="7562A0C3">
            <w:pPr>
              <w:autoSpaceDE w:val="0"/>
              <w:autoSpaceDN w:val="0"/>
              <w:adjustRightInd w:val="0"/>
              <w:snapToGrid w:val="0"/>
              <w:jc w:val="center"/>
              <w:rPr>
                <w:rFonts w:ascii="宋体" w:hAnsi="宋体"/>
                <w:kern w:val="0"/>
                <w:sz w:val="24"/>
              </w:rPr>
            </w:pPr>
          </w:p>
        </w:tc>
        <w:tc>
          <w:tcPr>
            <w:tcW w:w="1072" w:type="dxa"/>
            <w:vAlign w:val="center"/>
          </w:tcPr>
          <w:p w14:paraId="5DBE875A">
            <w:pPr>
              <w:autoSpaceDE w:val="0"/>
              <w:autoSpaceDN w:val="0"/>
              <w:adjustRightInd w:val="0"/>
              <w:snapToGrid w:val="0"/>
              <w:jc w:val="center"/>
              <w:rPr>
                <w:rFonts w:ascii="宋体" w:hAnsi="宋体"/>
                <w:kern w:val="0"/>
                <w:sz w:val="24"/>
              </w:rPr>
            </w:pPr>
          </w:p>
        </w:tc>
        <w:tc>
          <w:tcPr>
            <w:tcW w:w="728" w:type="dxa"/>
            <w:vAlign w:val="center"/>
          </w:tcPr>
          <w:p w14:paraId="774AC980">
            <w:pPr>
              <w:autoSpaceDE w:val="0"/>
              <w:autoSpaceDN w:val="0"/>
              <w:adjustRightInd w:val="0"/>
              <w:snapToGrid w:val="0"/>
              <w:jc w:val="center"/>
              <w:rPr>
                <w:rFonts w:ascii="宋体" w:hAnsi="宋体"/>
                <w:kern w:val="0"/>
                <w:sz w:val="24"/>
              </w:rPr>
            </w:pPr>
          </w:p>
        </w:tc>
        <w:tc>
          <w:tcPr>
            <w:tcW w:w="799" w:type="dxa"/>
            <w:vAlign w:val="center"/>
          </w:tcPr>
          <w:p w14:paraId="720F364C">
            <w:pPr>
              <w:autoSpaceDE w:val="0"/>
              <w:autoSpaceDN w:val="0"/>
              <w:adjustRightInd w:val="0"/>
              <w:snapToGrid w:val="0"/>
              <w:jc w:val="center"/>
              <w:rPr>
                <w:rFonts w:ascii="宋体" w:hAnsi="宋体"/>
                <w:kern w:val="0"/>
                <w:sz w:val="24"/>
              </w:rPr>
            </w:pPr>
          </w:p>
        </w:tc>
        <w:tc>
          <w:tcPr>
            <w:tcW w:w="1312" w:type="dxa"/>
            <w:vAlign w:val="center"/>
          </w:tcPr>
          <w:p w14:paraId="635C4C4D">
            <w:pPr>
              <w:autoSpaceDE w:val="0"/>
              <w:autoSpaceDN w:val="0"/>
              <w:adjustRightInd w:val="0"/>
              <w:snapToGrid w:val="0"/>
              <w:jc w:val="center"/>
              <w:rPr>
                <w:rFonts w:ascii="宋体" w:hAnsi="宋体"/>
                <w:kern w:val="0"/>
                <w:sz w:val="24"/>
              </w:rPr>
            </w:pPr>
          </w:p>
        </w:tc>
        <w:tc>
          <w:tcPr>
            <w:tcW w:w="947" w:type="dxa"/>
            <w:vAlign w:val="center"/>
          </w:tcPr>
          <w:p w14:paraId="3AECDB40">
            <w:pPr>
              <w:autoSpaceDE w:val="0"/>
              <w:autoSpaceDN w:val="0"/>
              <w:adjustRightInd w:val="0"/>
              <w:snapToGrid w:val="0"/>
              <w:jc w:val="center"/>
              <w:rPr>
                <w:rFonts w:ascii="宋体" w:hAnsi="宋体"/>
                <w:kern w:val="0"/>
                <w:sz w:val="24"/>
              </w:rPr>
            </w:pPr>
          </w:p>
        </w:tc>
        <w:tc>
          <w:tcPr>
            <w:tcW w:w="1141" w:type="dxa"/>
            <w:vAlign w:val="center"/>
          </w:tcPr>
          <w:p w14:paraId="55A4BD51">
            <w:pPr>
              <w:autoSpaceDE w:val="0"/>
              <w:autoSpaceDN w:val="0"/>
              <w:adjustRightInd w:val="0"/>
              <w:snapToGrid w:val="0"/>
              <w:jc w:val="center"/>
              <w:rPr>
                <w:rFonts w:ascii="宋体" w:hAnsi="宋体"/>
                <w:kern w:val="0"/>
                <w:sz w:val="24"/>
              </w:rPr>
            </w:pPr>
          </w:p>
        </w:tc>
        <w:tc>
          <w:tcPr>
            <w:tcW w:w="749" w:type="dxa"/>
            <w:vAlign w:val="center"/>
          </w:tcPr>
          <w:p w14:paraId="72DC1970">
            <w:pPr>
              <w:autoSpaceDE w:val="0"/>
              <w:autoSpaceDN w:val="0"/>
              <w:adjustRightInd w:val="0"/>
              <w:snapToGrid w:val="0"/>
              <w:jc w:val="center"/>
              <w:rPr>
                <w:rFonts w:ascii="宋体" w:hAnsi="宋体"/>
                <w:kern w:val="0"/>
                <w:sz w:val="24"/>
              </w:rPr>
            </w:pPr>
          </w:p>
        </w:tc>
      </w:tr>
      <w:tr w14:paraId="78454D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49732D64">
            <w:pPr>
              <w:autoSpaceDE w:val="0"/>
              <w:autoSpaceDN w:val="0"/>
              <w:adjustRightInd w:val="0"/>
              <w:snapToGrid w:val="0"/>
              <w:jc w:val="center"/>
              <w:rPr>
                <w:rFonts w:ascii="宋体" w:hAnsi="宋体"/>
                <w:kern w:val="0"/>
                <w:sz w:val="24"/>
              </w:rPr>
            </w:pPr>
          </w:p>
        </w:tc>
        <w:tc>
          <w:tcPr>
            <w:tcW w:w="1176" w:type="dxa"/>
            <w:vAlign w:val="center"/>
          </w:tcPr>
          <w:p w14:paraId="0A7F6219">
            <w:pPr>
              <w:autoSpaceDE w:val="0"/>
              <w:autoSpaceDN w:val="0"/>
              <w:adjustRightInd w:val="0"/>
              <w:snapToGrid w:val="0"/>
              <w:jc w:val="center"/>
              <w:rPr>
                <w:rFonts w:ascii="宋体" w:hAnsi="宋体"/>
                <w:kern w:val="0"/>
                <w:sz w:val="24"/>
              </w:rPr>
            </w:pPr>
          </w:p>
        </w:tc>
        <w:tc>
          <w:tcPr>
            <w:tcW w:w="824" w:type="dxa"/>
            <w:vAlign w:val="center"/>
          </w:tcPr>
          <w:p w14:paraId="074C074F">
            <w:pPr>
              <w:autoSpaceDE w:val="0"/>
              <w:autoSpaceDN w:val="0"/>
              <w:adjustRightInd w:val="0"/>
              <w:snapToGrid w:val="0"/>
              <w:jc w:val="center"/>
              <w:rPr>
                <w:rFonts w:ascii="宋体" w:hAnsi="宋体"/>
                <w:kern w:val="0"/>
                <w:sz w:val="24"/>
              </w:rPr>
            </w:pPr>
          </w:p>
        </w:tc>
        <w:tc>
          <w:tcPr>
            <w:tcW w:w="1072" w:type="dxa"/>
            <w:vAlign w:val="center"/>
          </w:tcPr>
          <w:p w14:paraId="2A703D3B">
            <w:pPr>
              <w:autoSpaceDE w:val="0"/>
              <w:autoSpaceDN w:val="0"/>
              <w:adjustRightInd w:val="0"/>
              <w:snapToGrid w:val="0"/>
              <w:jc w:val="center"/>
              <w:rPr>
                <w:rFonts w:ascii="宋体" w:hAnsi="宋体"/>
                <w:kern w:val="0"/>
                <w:sz w:val="24"/>
              </w:rPr>
            </w:pPr>
          </w:p>
        </w:tc>
        <w:tc>
          <w:tcPr>
            <w:tcW w:w="728" w:type="dxa"/>
            <w:vAlign w:val="center"/>
          </w:tcPr>
          <w:p w14:paraId="54F75FF7">
            <w:pPr>
              <w:autoSpaceDE w:val="0"/>
              <w:autoSpaceDN w:val="0"/>
              <w:adjustRightInd w:val="0"/>
              <w:snapToGrid w:val="0"/>
              <w:jc w:val="center"/>
              <w:rPr>
                <w:rFonts w:ascii="宋体" w:hAnsi="宋体"/>
                <w:kern w:val="0"/>
                <w:sz w:val="24"/>
              </w:rPr>
            </w:pPr>
          </w:p>
        </w:tc>
        <w:tc>
          <w:tcPr>
            <w:tcW w:w="799" w:type="dxa"/>
            <w:vAlign w:val="center"/>
          </w:tcPr>
          <w:p w14:paraId="55A62A51">
            <w:pPr>
              <w:autoSpaceDE w:val="0"/>
              <w:autoSpaceDN w:val="0"/>
              <w:adjustRightInd w:val="0"/>
              <w:snapToGrid w:val="0"/>
              <w:jc w:val="center"/>
              <w:rPr>
                <w:rFonts w:ascii="宋体" w:hAnsi="宋体"/>
                <w:kern w:val="0"/>
                <w:sz w:val="24"/>
              </w:rPr>
            </w:pPr>
          </w:p>
        </w:tc>
        <w:tc>
          <w:tcPr>
            <w:tcW w:w="1312" w:type="dxa"/>
            <w:vAlign w:val="center"/>
          </w:tcPr>
          <w:p w14:paraId="74D5E04E">
            <w:pPr>
              <w:autoSpaceDE w:val="0"/>
              <w:autoSpaceDN w:val="0"/>
              <w:adjustRightInd w:val="0"/>
              <w:snapToGrid w:val="0"/>
              <w:jc w:val="center"/>
              <w:rPr>
                <w:rFonts w:ascii="宋体" w:hAnsi="宋体"/>
                <w:kern w:val="0"/>
                <w:sz w:val="24"/>
              </w:rPr>
            </w:pPr>
          </w:p>
        </w:tc>
        <w:tc>
          <w:tcPr>
            <w:tcW w:w="947" w:type="dxa"/>
            <w:vAlign w:val="center"/>
          </w:tcPr>
          <w:p w14:paraId="04147E20">
            <w:pPr>
              <w:autoSpaceDE w:val="0"/>
              <w:autoSpaceDN w:val="0"/>
              <w:adjustRightInd w:val="0"/>
              <w:snapToGrid w:val="0"/>
              <w:jc w:val="center"/>
              <w:rPr>
                <w:rFonts w:ascii="宋体" w:hAnsi="宋体"/>
                <w:kern w:val="0"/>
                <w:sz w:val="24"/>
              </w:rPr>
            </w:pPr>
          </w:p>
        </w:tc>
        <w:tc>
          <w:tcPr>
            <w:tcW w:w="1141" w:type="dxa"/>
            <w:vAlign w:val="center"/>
          </w:tcPr>
          <w:p w14:paraId="3064196E">
            <w:pPr>
              <w:autoSpaceDE w:val="0"/>
              <w:autoSpaceDN w:val="0"/>
              <w:adjustRightInd w:val="0"/>
              <w:snapToGrid w:val="0"/>
              <w:jc w:val="center"/>
              <w:rPr>
                <w:rFonts w:ascii="宋体" w:hAnsi="宋体"/>
                <w:kern w:val="0"/>
                <w:sz w:val="24"/>
              </w:rPr>
            </w:pPr>
          </w:p>
        </w:tc>
        <w:tc>
          <w:tcPr>
            <w:tcW w:w="749" w:type="dxa"/>
            <w:vAlign w:val="center"/>
          </w:tcPr>
          <w:p w14:paraId="0DB2CFD6">
            <w:pPr>
              <w:autoSpaceDE w:val="0"/>
              <w:autoSpaceDN w:val="0"/>
              <w:adjustRightInd w:val="0"/>
              <w:snapToGrid w:val="0"/>
              <w:jc w:val="center"/>
              <w:rPr>
                <w:rFonts w:ascii="宋体" w:hAnsi="宋体"/>
                <w:kern w:val="0"/>
                <w:sz w:val="24"/>
              </w:rPr>
            </w:pPr>
          </w:p>
        </w:tc>
      </w:tr>
      <w:tr w14:paraId="3CB89A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339B490D">
            <w:pPr>
              <w:autoSpaceDE w:val="0"/>
              <w:autoSpaceDN w:val="0"/>
              <w:adjustRightInd w:val="0"/>
              <w:snapToGrid w:val="0"/>
              <w:jc w:val="center"/>
              <w:rPr>
                <w:rFonts w:ascii="宋体" w:hAnsi="宋体"/>
                <w:kern w:val="0"/>
                <w:sz w:val="24"/>
              </w:rPr>
            </w:pPr>
          </w:p>
        </w:tc>
        <w:tc>
          <w:tcPr>
            <w:tcW w:w="1176" w:type="dxa"/>
            <w:vAlign w:val="center"/>
          </w:tcPr>
          <w:p w14:paraId="02D0F04F">
            <w:pPr>
              <w:autoSpaceDE w:val="0"/>
              <w:autoSpaceDN w:val="0"/>
              <w:adjustRightInd w:val="0"/>
              <w:snapToGrid w:val="0"/>
              <w:jc w:val="center"/>
              <w:rPr>
                <w:rFonts w:ascii="宋体" w:hAnsi="宋体"/>
                <w:kern w:val="0"/>
                <w:sz w:val="24"/>
              </w:rPr>
            </w:pPr>
          </w:p>
        </w:tc>
        <w:tc>
          <w:tcPr>
            <w:tcW w:w="824" w:type="dxa"/>
            <w:vAlign w:val="center"/>
          </w:tcPr>
          <w:p w14:paraId="456B8C05">
            <w:pPr>
              <w:autoSpaceDE w:val="0"/>
              <w:autoSpaceDN w:val="0"/>
              <w:adjustRightInd w:val="0"/>
              <w:snapToGrid w:val="0"/>
              <w:jc w:val="center"/>
              <w:rPr>
                <w:rFonts w:ascii="宋体" w:hAnsi="宋体"/>
                <w:kern w:val="0"/>
                <w:sz w:val="24"/>
              </w:rPr>
            </w:pPr>
          </w:p>
        </w:tc>
        <w:tc>
          <w:tcPr>
            <w:tcW w:w="1072" w:type="dxa"/>
            <w:vAlign w:val="center"/>
          </w:tcPr>
          <w:p w14:paraId="7D07C68A">
            <w:pPr>
              <w:autoSpaceDE w:val="0"/>
              <w:autoSpaceDN w:val="0"/>
              <w:adjustRightInd w:val="0"/>
              <w:snapToGrid w:val="0"/>
              <w:jc w:val="center"/>
              <w:rPr>
                <w:rFonts w:ascii="宋体" w:hAnsi="宋体"/>
                <w:kern w:val="0"/>
                <w:sz w:val="24"/>
              </w:rPr>
            </w:pPr>
          </w:p>
        </w:tc>
        <w:tc>
          <w:tcPr>
            <w:tcW w:w="728" w:type="dxa"/>
            <w:vAlign w:val="center"/>
          </w:tcPr>
          <w:p w14:paraId="5947F389">
            <w:pPr>
              <w:autoSpaceDE w:val="0"/>
              <w:autoSpaceDN w:val="0"/>
              <w:adjustRightInd w:val="0"/>
              <w:snapToGrid w:val="0"/>
              <w:jc w:val="center"/>
              <w:rPr>
                <w:rFonts w:ascii="宋体" w:hAnsi="宋体"/>
                <w:kern w:val="0"/>
                <w:sz w:val="24"/>
              </w:rPr>
            </w:pPr>
          </w:p>
        </w:tc>
        <w:tc>
          <w:tcPr>
            <w:tcW w:w="799" w:type="dxa"/>
            <w:vAlign w:val="center"/>
          </w:tcPr>
          <w:p w14:paraId="5B3B3E74">
            <w:pPr>
              <w:autoSpaceDE w:val="0"/>
              <w:autoSpaceDN w:val="0"/>
              <w:adjustRightInd w:val="0"/>
              <w:snapToGrid w:val="0"/>
              <w:jc w:val="center"/>
              <w:rPr>
                <w:rFonts w:ascii="宋体" w:hAnsi="宋体"/>
                <w:kern w:val="0"/>
                <w:sz w:val="24"/>
              </w:rPr>
            </w:pPr>
          </w:p>
        </w:tc>
        <w:tc>
          <w:tcPr>
            <w:tcW w:w="1312" w:type="dxa"/>
            <w:vAlign w:val="center"/>
          </w:tcPr>
          <w:p w14:paraId="3F800D3A">
            <w:pPr>
              <w:autoSpaceDE w:val="0"/>
              <w:autoSpaceDN w:val="0"/>
              <w:adjustRightInd w:val="0"/>
              <w:snapToGrid w:val="0"/>
              <w:jc w:val="center"/>
              <w:rPr>
                <w:rFonts w:ascii="宋体" w:hAnsi="宋体"/>
                <w:kern w:val="0"/>
                <w:sz w:val="24"/>
              </w:rPr>
            </w:pPr>
          </w:p>
        </w:tc>
        <w:tc>
          <w:tcPr>
            <w:tcW w:w="947" w:type="dxa"/>
            <w:vAlign w:val="center"/>
          </w:tcPr>
          <w:p w14:paraId="571A7344">
            <w:pPr>
              <w:autoSpaceDE w:val="0"/>
              <w:autoSpaceDN w:val="0"/>
              <w:adjustRightInd w:val="0"/>
              <w:snapToGrid w:val="0"/>
              <w:jc w:val="center"/>
              <w:rPr>
                <w:rFonts w:ascii="宋体" w:hAnsi="宋体"/>
                <w:kern w:val="0"/>
                <w:sz w:val="24"/>
              </w:rPr>
            </w:pPr>
          </w:p>
        </w:tc>
        <w:tc>
          <w:tcPr>
            <w:tcW w:w="1141" w:type="dxa"/>
            <w:vAlign w:val="center"/>
          </w:tcPr>
          <w:p w14:paraId="05B2B108">
            <w:pPr>
              <w:autoSpaceDE w:val="0"/>
              <w:autoSpaceDN w:val="0"/>
              <w:adjustRightInd w:val="0"/>
              <w:snapToGrid w:val="0"/>
              <w:jc w:val="center"/>
              <w:rPr>
                <w:rFonts w:ascii="宋体" w:hAnsi="宋体"/>
                <w:kern w:val="0"/>
                <w:sz w:val="24"/>
              </w:rPr>
            </w:pPr>
          </w:p>
        </w:tc>
        <w:tc>
          <w:tcPr>
            <w:tcW w:w="749" w:type="dxa"/>
            <w:vAlign w:val="center"/>
          </w:tcPr>
          <w:p w14:paraId="08F1ADBB">
            <w:pPr>
              <w:autoSpaceDE w:val="0"/>
              <w:autoSpaceDN w:val="0"/>
              <w:adjustRightInd w:val="0"/>
              <w:snapToGrid w:val="0"/>
              <w:jc w:val="center"/>
              <w:rPr>
                <w:rFonts w:ascii="宋体" w:hAnsi="宋体"/>
                <w:kern w:val="0"/>
                <w:sz w:val="24"/>
              </w:rPr>
            </w:pPr>
          </w:p>
        </w:tc>
      </w:tr>
      <w:tr w14:paraId="3221D31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5" w:hRule="exact"/>
        </w:trPr>
        <w:tc>
          <w:tcPr>
            <w:tcW w:w="721" w:type="dxa"/>
            <w:vAlign w:val="center"/>
          </w:tcPr>
          <w:p w14:paraId="55B44C86">
            <w:pPr>
              <w:autoSpaceDE w:val="0"/>
              <w:autoSpaceDN w:val="0"/>
              <w:adjustRightInd w:val="0"/>
              <w:snapToGrid w:val="0"/>
              <w:jc w:val="center"/>
              <w:rPr>
                <w:rFonts w:ascii="宋体" w:hAnsi="宋体"/>
                <w:kern w:val="0"/>
                <w:sz w:val="24"/>
              </w:rPr>
            </w:pPr>
          </w:p>
        </w:tc>
        <w:tc>
          <w:tcPr>
            <w:tcW w:w="1176" w:type="dxa"/>
            <w:vAlign w:val="center"/>
          </w:tcPr>
          <w:p w14:paraId="43BE1A76">
            <w:pPr>
              <w:autoSpaceDE w:val="0"/>
              <w:autoSpaceDN w:val="0"/>
              <w:adjustRightInd w:val="0"/>
              <w:snapToGrid w:val="0"/>
              <w:jc w:val="center"/>
              <w:rPr>
                <w:rFonts w:ascii="宋体" w:hAnsi="宋体"/>
                <w:kern w:val="0"/>
                <w:sz w:val="24"/>
              </w:rPr>
            </w:pPr>
          </w:p>
        </w:tc>
        <w:tc>
          <w:tcPr>
            <w:tcW w:w="824" w:type="dxa"/>
            <w:vAlign w:val="center"/>
          </w:tcPr>
          <w:p w14:paraId="4148FC0E">
            <w:pPr>
              <w:autoSpaceDE w:val="0"/>
              <w:autoSpaceDN w:val="0"/>
              <w:adjustRightInd w:val="0"/>
              <w:snapToGrid w:val="0"/>
              <w:jc w:val="center"/>
              <w:rPr>
                <w:rFonts w:ascii="宋体" w:hAnsi="宋体"/>
                <w:kern w:val="0"/>
                <w:sz w:val="24"/>
              </w:rPr>
            </w:pPr>
          </w:p>
        </w:tc>
        <w:tc>
          <w:tcPr>
            <w:tcW w:w="1072" w:type="dxa"/>
            <w:vAlign w:val="center"/>
          </w:tcPr>
          <w:p w14:paraId="60C49D68">
            <w:pPr>
              <w:autoSpaceDE w:val="0"/>
              <w:autoSpaceDN w:val="0"/>
              <w:adjustRightInd w:val="0"/>
              <w:snapToGrid w:val="0"/>
              <w:jc w:val="center"/>
              <w:rPr>
                <w:rFonts w:ascii="宋体" w:hAnsi="宋体"/>
                <w:kern w:val="0"/>
                <w:sz w:val="24"/>
              </w:rPr>
            </w:pPr>
          </w:p>
        </w:tc>
        <w:tc>
          <w:tcPr>
            <w:tcW w:w="728" w:type="dxa"/>
            <w:vAlign w:val="center"/>
          </w:tcPr>
          <w:p w14:paraId="3B6EC4B5">
            <w:pPr>
              <w:autoSpaceDE w:val="0"/>
              <w:autoSpaceDN w:val="0"/>
              <w:adjustRightInd w:val="0"/>
              <w:snapToGrid w:val="0"/>
              <w:jc w:val="center"/>
              <w:rPr>
                <w:rFonts w:ascii="宋体" w:hAnsi="宋体"/>
                <w:kern w:val="0"/>
                <w:sz w:val="24"/>
              </w:rPr>
            </w:pPr>
          </w:p>
        </w:tc>
        <w:tc>
          <w:tcPr>
            <w:tcW w:w="799" w:type="dxa"/>
            <w:vAlign w:val="center"/>
          </w:tcPr>
          <w:p w14:paraId="5BA2AE9D">
            <w:pPr>
              <w:autoSpaceDE w:val="0"/>
              <w:autoSpaceDN w:val="0"/>
              <w:adjustRightInd w:val="0"/>
              <w:snapToGrid w:val="0"/>
              <w:jc w:val="center"/>
              <w:rPr>
                <w:rFonts w:ascii="宋体" w:hAnsi="宋体"/>
                <w:kern w:val="0"/>
                <w:sz w:val="24"/>
              </w:rPr>
            </w:pPr>
          </w:p>
        </w:tc>
        <w:tc>
          <w:tcPr>
            <w:tcW w:w="1312" w:type="dxa"/>
            <w:vAlign w:val="center"/>
          </w:tcPr>
          <w:p w14:paraId="3F948FF5">
            <w:pPr>
              <w:autoSpaceDE w:val="0"/>
              <w:autoSpaceDN w:val="0"/>
              <w:adjustRightInd w:val="0"/>
              <w:snapToGrid w:val="0"/>
              <w:jc w:val="center"/>
              <w:rPr>
                <w:rFonts w:ascii="宋体" w:hAnsi="宋体"/>
                <w:kern w:val="0"/>
                <w:sz w:val="24"/>
              </w:rPr>
            </w:pPr>
          </w:p>
        </w:tc>
        <w:tc>
          <w:tcPr>
            <w:tcW w:w="947" w:type="dxa"/>
            <w:vAlign w:val="center"/>
          </w:tcPr>
          <w:p w14:paraId="385EDD71">
            <w:pPr>
              <w:autoSpaceDE w:val="0"/>
              <w:autoSpaceDN w:val="0"/>
              <w:adjustRightInd w:val="0"/>
              <w:snapToGrid w:val="0"/>
              <w:jc w:val="center"/>
              <w:rPr>
                <w:rFonts w:ascii="宋体" w:hAnsi="宋体"/>
                <w:kern w:val="0"/>
                <w:sz w:val="24"/>
              </w:rPr>
            </w:pPr>
          </w:p>
        </w:tc>
        <w:tc>
          <w:tcPr>
            <w:tcW w:w="1141" w:type="dxa"/>
            <w:vAlign w:val="center"/>
          </w:tcPr>
          <w:p w14:paraId="6865873F">
            <w:pPr>
              <w:autoSpaceDE w:val="0"/>
              <w:autoSpaceDN w:val="0"/>
              <w:adjustRightInd w:val="0"/>
              <w:snapToGrid w:val="0"/>
              <w:jc w:val="center"/>
              <w:rPr>
                <w:rFonts w:ascii="宋体" w:hAnsi="宋体"/>
                <w:kern w:val="0"/>
                <w:sz w:val="24"/>
              </w:rPr>
            </w:pPr>
          </w:p>
        </w:tc>
        <w:tc>
          <w:tcPr>
            <w:tcW w:w="749" w:type="dxa"/>
            <w:vAlign w:val="center"/>
          </w:tcPr>
          <w:p w14:paraId="02FAAB3F">
            <w:pPr>
              <w:autoSpaceDE w:val="0"/>
              <w:autoSpaceDN w:val="0"/>
              <w:adjustRightInd w:val="0"/>
              <w:snapToGrid w:val="0"/>
              <w:jc w:val="center"/>
              <w:rPr>
                <w:rFonts w:ascii="宋体" w:hAnsi="宋体"/>
                <w:kern w:val="0"/>
                <w:sz w:val="24"/>
              </w:rPr>
            </w:pPr>
          </w:p>
        </w:tc>
      </w:tr>
    </w:tbl>
    <w:p w14:paraId="50919578">
      <w:pPr>
        <w:autoSpaceDE w:val="0"/>
        <w:autoSpaceDN w:val="0"/>
        <w:adjustRightInd w:val="0"/>
        <w:snapToGrid w:val="0"/>
        <w:spacing w:line="20" w:lineRule="exact"/>
        <w:jc w:val="left"/>
        <w:rPr>
          <w:rFonts w:ascii="宋体" w:hAnsi="宋体"/>
          <w:kern w:val="0"/>
        </w:rPr>
      </w:pPr>
    </w:p>
    <w:p w14:paraId="4E3BA049">
      <w:pPr>
        <w:jc w:val="center"/>
        <w:rPr>
          <w:rFonts w:ascii="宋体" w:hAnsi="宋体"/>
          <w:kern w:val="0"/>
          <w:sz w:val="20"/>
          <w:szCs w:val="20"/>
        </w:rPr>
      </w:pPr>
      <w:bookmarkStart w:id="2038" w:name="_Toc430530540"/>
      <w:bookmarkStart w:id="2039" w:name="_Toc277082651"/>
      <w:bookmarkStart w:id="2040" w:name="_Toc287607877"/>
      <w:bookmarkStart w:id="2041" w:name="_Toc224103505"/>
      <w:bookmarkStart w:id="2042" w:name="_Toc287620824"/>
      <w:r>
        <w:rPr>
          <w:rFonts w:ascii="宋体" w:hAnsi="宋体"/>
          <w:sz w:val="28"/>
        </w:rPr>
        <w:br w:type="page"/>
      </w:r>
      <w:bookmarkStart w:id="2043" w:name="_Toc509218858"/>
      <w:bookmarkStart w:id="2044" w:name="_Toc534185835"/>
      <w:r>
        <w:rPr>
          <w:sz w:val="32"/>
          <w:szCs w:val="32"/>
        </w:rPr>
        <w:t>附表二：拟配备本标段的试验和检测仪器设备表</w:t>
      </w:r>
      <w:bookmarkEnd w:id="2038"/>
      <w:bookmarkEnd w:id="2039"/>
      <w:bookmarkEnd w:id="2040"/>
      <w:bookmarkEnd w:id="2041"/>
      <w:bookmarkEnd w:id="2042"/>
      <w:bookmarkEnd w:id="2043"/>
      <w:bookmarkEnd w:id="2044"/>
    </w:p>
    <w:tbl>
      <w:tblPr>
        <w:tblStyle w:val="45"/>
        <w:tblW w:w="94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47"/>
        <w:gridCol w:w="1219"/>
        <w:gridCol w:w="852"/>
        <w:gridCol w:w="1111"/>
        <w:gridCol w:w="754"/>
        <w:gridCol w:w="827"/>
        <w:gridCol w:w="1359"/>
        <w:gridCol w:w="1855"/>
        <w:gridCol w:w="770"/>
      </w:tblGrid>
      <w:tr w14:paraId="780FAF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14" w:hRule="exact"/>
        </w:trPr>
        <w:tc>
          <w:tcPr>
            <w:tcW w:w="747" w:type="dxa"/>
            <w:vAlign w:val="center"/>
          </w:tcPr>
          <w:p w14:paraId="5CA85A73">
            <w:pPr>
              <w:autoSpaceDE w:val="0"/>
              <w:autoSpaceDN w:val="0"/>
              <w:adjustRightInd w:val="0"/>
              <w:snapToGrid w:val="0"/>
              <w:jc w:val="center"/>
              <w:rPr>
                <w:rFonts w:ascii="宋体" w:hAnsi="宋体"/>
                <w:kern w:val="0"/>
                <w:sz w:val="24"/>
              </w:rPr>
            </w:pPr>
            <w:r>
              <w:rPr>
                <w:rFonts w:ascii="宋体" w:hAnsi="宋体"/>
                <w:kern w:val="0"/>
                <w:szCs w:val="21"/>
              </w:rPr>
              <w:t>序号</w:t>
            </w:r>
          </w:p>
        </w:tc>
        <w:tc>
          <w:tcPr>
            <w:tcW w:w="1219" w:type="dxa"/>
            <w:vAlign w:val="center"/>
          </w:tcPr>
          <w:p w14:paraId="0FF17D7D">
            <w:pPr>
              <w:autoSpaceDE w:val="0"/>
              <w:autoSpaceDN w:val="0"/>
              <w:adjustRightInd w:val="0"/>
              <w:snapToGrid w:val="0"/>
              <w:jc w:val="center"/>
              <w:rPr>
                <w:rFonts w:ascii="宋体" w:hAnsi="宋体"/>
                <w:kern w:val="0"/>
                <w:szCs w:val="21"/>
              </w:rPr>
            </w:pPr>
            <w:r>
              <w:rPr>
                <w:rFonts w:ascii="宋体" w:hAnsi="宋体"/>
                <w:kern w:val="0"/>
                <w:szCs w:val="21"/>
              </w:rPr>
              <w:t>仪器设备</w:t>
            </w:r>
          </w:p>
          <w:p w14:paraId="3822AAA3">
            <w:pPr>
              <w:autoSpaceDE w:val="0"/>
              <w:autoSpaceDN w:val="0"/>
              <w:adjustRightInd w:val="0"/>
              <w:snapToGrid w:val="0"/>
              <w:jc w:val="center"/>
              <w:rPr>
                <w:rFonts w:ascii="宋体" w:hAnsi="宋体"/>
                <w:kern w:val="0"/>
                <w:sz w:val="24"/>
              </w:rPr>
            </w:pPr>
            <w:r>
              <w:rPr>
                <w:rFonts w:ascii="宋体" w:hAnsi="宋体"/>
                <w:kern w:val="0"/>
                <w:szCs w:val="21"/>
              </w:rPr>
              <w:t>名　　称</w:t>
            </w:r>
          </w:p>
        </w:tc>
        <w:tc>
          <w:tcPr>
            <w:tcW w:w="852" w:type="dxa"/>
            <w:vAlign w:val="center"/>
          </w:tcPr>
          <w:p w14:paraId="43F7E9DD">
            <w:pPr>
              <w:autoSpaceDE w:val="0"/>
              <w:autoSpaceDN w:val="0"/>
              <w:adjustRightInd w:val="0"/>
              <w:snapToGrid w:val="0"/>
              <w:jc w:val="center"/>
              <w:rPr>
                <w:rFonts w:ascii="宋体" w:hAnsi="宋体"/>
                <w:kern w:val="0"/>
                <w:szCs w:val="21"/>
              </w:rPr>
            </w:pPr>
            <w:r>
              <w:rPr>
                <w:rFonts w:ascii="宋体" w:hAnsi="宋体"/>
                <w:kern w:val="0"/>
                <w:szCs w:val="21"/>
              </w:rPr>
              <w:t>型号</w:t>
            </w:r>
          </w:p>
          <w:p w14:paraId="0DB9744B">
            <w:pPr>
              <w:autoSpaceDE w:val="0"/>
              <w:autoSpaceDN w:val="0"/>
              <w:adjustRightInd w:val="0"/>
              <w:snapToGrid w:val="0"/>
              <w:jc w:val="center"/>
              <w:rPr>
                <w:rFonts w:ascii="宋体" w:hAnsi="宋体"/>
                <w:kern w:val="0"/>
                <w:sz w:val="24"/>
              </w:rPr>
            </w:pPr>
            <w:r>
              <w:rPr>
                <w:rFonts w:ascii="宋体" w:hAnsi="宋体"/>
                <w:kern w:val="0"/>
                <w:szCs w:val="21"/>
              </w:rPr>
              <w:t>规格</w:t>
            </w:r>
          </w:p>
        </w:tc>
        <w:tc>
          <w:tcPr>
            <w:tcW w:w="1111" w:type="dxa"/>
            <w:vAlign w:val="center"/>
          </w:tcPr>
          <w:p w14:paraId="5CE54294">
            <w:pPr>
              <w:autoSpaceDE w:val="0"/>
              <w:autoSpaceDN w:val="0"/>
              <w:adjustRightInd w:val="0"/>
              <w:snapToGrid w:val="0"/>
              <w:jc w:val="center"/>
              <w:rPr>
                <w:rFonts w:ascii="宋体" w:hAnsi="宋体"/>
                <w:kern w:val="0"/>
                <w:sz w:val="24"/>
              </w:rPr>
            </w:pPr>
            <w:r>
              <w:rPr>
                <w:rFonts w:ascii="宋体" w:hAnsi="宋体"/>
                <w:kern w:val="0"/>
                <w:szCs w:val="21"/>
              </w:rPr>
              <w:t>数量</w:t>
            </w:r>
          </w:p>
        </w:tc>
        <w:tc>
          <w:tcPr>
            <w:tcW w:w="754" w:type="dxa"/>
            <w:vAlign w:val="center"/>
          </w:tcPr>
          <w:p w14:paraId="751301D1">
            <w:pPr>
              <w:autoSpaceDE w:val="0"/>
              <w:autoSpaceDN w:val="0"/>
              <w:adjustRightInd w:val="0"/>
              <w:snapToGrid w:val="0"/>
              <w:jc w:val="center"/>
              <w:rPr>
                <w:rFonts w:ascii="宋体" w:hAnsi="宋体"/>
                <w:kern w:val="0"/>
                <w:szCs w:val="21"/>
              </w:rPr>
            </w:pPr>
            <w:r>
              <w:rPr>
                <w:rFonts w:ascii="宋体" w:hAnsi="宋体"/>
                <w:kern w:val="0"/>
                <w:szCs w:val="21"/>
              </w:rPr>
              <w:t>国别</w:t>
            </w:r>
          </w:p>
          <w:p w14:paraId="60B86068">
            <w:pPr>
              <w:autoSpaceDE w:val="0"/>
              <w:autoSpaceDN w:val="0"/>
              <w:adjustRightInd w:val="0"/>
              <w:snapToGrid w:val="0"/>
              <w:jc w:val="center"/>
              <w:rPr>
                <w:rFonts w:ascii="宋体" w:hAnsi="宋体"/>
                <w:kern w:val="0"/>
                <w:sz w:val="24"/>
              </w:rPr>
            </w:pPr>
            <w:r>
              <w:rPr>
                <w:rFonts w:ascii="宋体" w:hAnsi="宋体"/>
                <w:kern w:val="0"/>
                <w:szCs w:val="21"/>
              </w:rPr>
              <w:t>产地</w:t>
            </w:r>
          </w:p>
        </w:tc>
        <w:tc>
          <w:tcPr>
            <w:tcW w:w="827" w:type="dxa"/>
            <w:vAlign w:val="center"/>
          </w:tcPr>
          <w:p w14:paraId="2660F83C">
            <w:pPr>
              <w:autoSpaceDE w:val="0"/>
              <w:autoSpaceDN w:val="0"/>
              <w:adjustRightInd w:val="0"/>
              <w:snapToGrid w:val="0"/>
              <w:jc w:val="center"/>
              <w:rPr>
                <w:rFonts w:ascii="宋体" w:hAnsi="宋体"/>
                <w:kern w:val="0"/>
                <w:szCs w:val="21"/>
              </w:rPr>
            </w:pPr>
            <w:r>
              <w:rPr>
                <w:rFonts w:ascii="宋体" w:hAnsi="宋体"/>
                <w:kern w:val="0"/>
                <w:szCs w:val="21"/>
              </w:rPr>
              <w:t>制造</w:t>
            </w:r>
          </w:p>
          <w:p w14:paraId="7830F877">
            <w:pPr>
              <w:autoSpaceDE w:val="0"/>
              <w:autoSpaceDN w:val="0"/>
              <w:adjustRightInd w:val="0"/>
              <w:snapToGrid w:val="0"/>
              <w:jc w:val="center"/>
              <w:rPr>
                <w:rFonts w:ascii="宋体" w:hAnsi="宋体"/>
                <w:kern w:val="0"/>
                <w:sz w:val="24"/>
              </w:rPr>
            </w:pPr>
            <w:r>
              <w:rPr>
                <w:rFonts w:ascii="宋体" w:hAnsi="宋体"/>
                <w:kern w:val="0"/>
                <w:szCs w:val="21"/>
              </w:rPr>
              <w:t>年份</w:t>
            </w:r>
          </w:p>
        </w:tc>
        <w:tc>
          <w:tcPr>
            <w:tcW w:w="1359" w:type="dxa"/>
            <w:vAlign w:val="center"/>
          </w:tcPr>
          <w:p w14:paraId="71690065">
            <w:pPr>
              <w:autoSpaceDE w:val="0"/>
              <w:autoSpaceDN w:val="0"/>
              <w:adjustRightInd w:val="0"/>
              <w:snapToGrid w:val="0"/>
              <w:jc w:val="center"/>
              <w:rPr>
                <w:rFonts w:ascii="宋体" w:hAnsi="宋体"/>
                <w:kern w:val="0"/>
                <w:szCs w:val="21"/>
              </w:rPr>
            </w:pPr>
            <w:r>
              <w:rPr>
                <w:rFonts w:ascii="宋体" w:hAnsi="宋体"/>
                <w:kern w:val="0"/>
                <w:szCs w:val="21"/>
              </w:rPr>
              <w:t>已使用</w:t>
            </w:r>
          </w:p>
          <w:p w14:paraId="57AD4B65">
            <w:pPr>
              <w:autoSpaceDE w:val="0"/>
              <w:autoSpaceDN w:val="0"/>
              <w:adjustRightInd w:val="0"/>
              <w:snapToGrid w:val="0"/>
              <w:jc w:val="center"/>
              <w:rPr>
                <w:rFonts w:ascii="宋体" w:hAnsi="宋体"/>
                <w:kern w:val="0"/>
                <w:szCs w:val="21"/>
              </w:rPr>
            </w:pPr>
            <w:r>
              <w:rPr>
                <w:rFonts w:ascii="宋体" w:hAnsi="宋体"/>
                <w:kern w:val="0"/>
                <w:szCs w:val="21"/>
              </w:rPr>
              <w:t>台时数</w:t>
            </w:r>
          </w:p>
        </w:tc>
        <w:tc>
          <w:tcPr>
            <w:tcW w:w="1855" w:type="dxa"/>
            <w:vAlign w:val="center"/>
          </w:tcPr>
          <w:p w14:paraId="36C1DEFB">
            <w:pPr>
              <w:autoSpaceDE w:val="0"/>
              <w:autoSpaceDN w:val="0"/>
              <w:adjustRightInd w:val="0"/>
              <w:snapToGrid w:val="0"/>
              <w:jc w:val="center"/>
              <w:rPr>
                <w:rFonts w:ascii="宋体" w:hAnsi="宋体"/>
                <w:kern w:val="0"/>
                <w:szCs w:val="21"/>
              </w:rPr>
            </w:pPr>
            <w:r>
              <w:rPr>
                <w:rFonts w:ascii="宋体" w:hAnsi="宋体"/>
                <w:kern w:val="0"/>
                <w:szCs w:val="21"/>
              </w:rPr>
              <w:t>用途</w:t>
            </w:r>
          </w:p>
        </w:tc>
        <w:tc>
          <w:tcPr>
            <w:tcW w:w="770" w:type="dxa"/>
            <w:vAlign w:val="center"/>
          </w:tcPr>
          <w:p w14:paraId="1D961FDB">
            <w:pPr>
              <w:autoSpaceDE w:val="0"/>
              <w:autoSpaceDN w:val="0"/>
              <w:adjustRightInd w:val="0"/>
              <w:snapToGrid w:val="0"/>
              <w:jc w:val="center"/>
              <w:rPr>
                <w:rFonts w:ascii="宋体" w:hAnsi="宋体"/>
                <w:kern w:val="0"/>
                <w:sz w:val="24"/>
              </w:rPr>
            </w:pPr>
            <w:r>
              <w:rPr>
                <w:rFonts w:ascii="宋体" w:hAnsi="宋体"/>
                <w:kern w:val="0"/>
                <w:szCs w:val="21"/>
              </w:rPr>
              <w:t>备注</w:t>
            </w:r>
          </w:p>
        </w:tc>
      </w:tr>
      <w:tr w14:paraId="67786A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C7DE40C">
            <w:pPr>
              <w:autoSpaceDE w:val="0"/>
              <w:autoSpaceDN w:val="0"/>
              <w:adjustRightInd w:val="0"/>
              <w:snapToGrid w:val="0"/>
              <w:jc w:val="left"/>
              <w:rPr>
                <w:rFonts w:ascii="宋体" w:hAnsi="宋体"/>
                <w:kern w:val="0"/>
                <w:sz w:val="24"/>
              </w:rPr>
            </w:pPr>
          </w:p>
        </w:tc>
        <w:tc>
          <w:tcPr>
            <w:tcW w:w="1219" w:type="dxa"/>
          </w:tcPr>
          <w:p w14:paraId="4CDB6CF9">
            <w:pPr>
              <w:autoSpaceDE w:val="0"/>
              <w:autoSpaceDN w:val="0"/>
              <w:adjustRightInd w:val="0"/>
              <w:snapToGrid w:val="0"/>
              <w:jc w:val="left"/>
              <w:rPr>
                <w:rFonts w:ascii="宋体" w:hAnsi="宋体"/>
                <w:kern w:val="0"/>
                <w:sz w:val="24"/>
              </w:rPr>
            </w:pPr>
          </w:p>
        </w:tc>
        <w:tc>
          <w:tcPr>
            <w:tcW w:w="852" w:type="dxa"/>
          </w:tcPr>
          <w:p w14:paraId="79076611">
            <w:pPr>
              <w:autoSpaceDE w:val="0"/>
              <w:autoSpaceDN w:val="0"/>
              <w:adjustRightInd w:val="0"/>
              <w:snapToGrid w:val="0"/>
              <w:jc w:val="left"/>
              <w:rPr>
                <w:rFonts w:ascii="宋体" w:hAnsi="宋体"/>
                <w:kern w:val="0"/>
                <w:sz w:val="24"/>
              </w:rPr>
            </w:pPr>
          </w:p>
        </w:tc>
        <w:tc>
          <w:tcPr>
            <w:tcW w:w="1111" w:type="dxa"/>
          </w:tcPr>
          <w:p w14:paraId="79365F7A">
            <w:pPr>
              <w:autoSpaceDE w:val="0"/>
              <w:autoSpaceDN w:val="0"/>
              <w:adjustRightInd w:val="0"/>
              <w:snapToGrid w:val="0"/>
              <w:jc w:val="left"/>
              <w:rPr>
                <w:rFonts w:ascii="宋体" w:hAnsi="宋体"/>
                <w:kern w:val="0"/>
                <w:sz w:val="24"/>
              </w:rPr>
            </w:pPr>
          </w:p>
        </w:tc>
        <w:tc>
          <w:tcPr>
            <w:tcW w:w="754" w:type="dxa"/>
          </w:tcPr>
          <w:p w14:paraId="0D17E91A">
            <w:pPr>
              <w:autoSpaceDE w:val="0"/>
              <w:autoSpaceDN w:val="0"/>
              <w:adjustRightInd w:val="0"/>
              <w:snapToGrid w:val="0"/>
              <w:jc w:val="left"/>
              <w:rPr>
                <w:rFonts w:ascii="宋体" w:hAnsi="宋体"/>
                <w:kern w:val="0"/>
                <w:sz w:val="24"/>
              </w:rPr>
            </w:pPr>
          </w:p>
        </w:tc>
        <w:tc>
          <w:tcPr>
            <w:tcW w:w="827" w:type="dxa"/>
          </w:tcPr>
          <w:p w14:paraId="01138B62">
            <w:pPr>
              <w:autoSpaceDE w:val="0"/>
              <w:autoSpaceDN w:val="0"/>
              <w:adjustRightInd w:val="0"/>
              <w:snapToGrid w:val="0"/>
              <w:jc w:val="left"/>
              <w:rPr>
                <w:rFonts w:ascii="宋体" w:hAnsi="宋体"/>
                <w:kern w:val="0"/>
                <w:sz w:val="24"/>
              </w:rPr>
            </w:pPr>
          </w:p>
        </w:tc>
        <w:tc>
          <w:tcPr>
            <w:tcW w:w="1359" w:type="dxa"/>
          </w:tcPr>
          <w:p w14:paraId="4C086CE3">
            <w:pPr>
              <w:autoSpaceDE w:val="0"/>
              <w:autoSpaceDN w:val="0"/>
              <w:adjustRightInd w:val="0"/>
              <w:snapToGrid w:val="0"/>
              <w:jc w:val="left"/>
              <w:rPr>
                <w:rFonts w:ascii="宋体" w:hAnsi="宋体"/>
                <w:kern w:val="0"/>
                <w:sz w:val="24"/>
              </w:rPr>
            </w:pPr>
          </w:p>
        </w:tc>
        <w:tc>
          <w:tcPr>
            <w:tcW w:w="1855" w:type="dxa"/>
          </w:tcPr>
          <w:p w14:paraId="2E7485CA">
            <w:pPr>
              <w:autoSpaceDE w:val="0"/>
              <w:autoSpaceDN w:val="0"/>
              <w:adjustRightInd w:val="0"/>
              <w:snapToGrid w:val="0"/>
              <w:jc w:val="left"/>
              <w:rPr>
                <w:rFonts w:ascii="宋体" w:hAnsi="宋体"/>
                <w:kern w:val="0"/>
                <w:sz w:val="24"/>
              </w:rPr>
            </w:pPr>
          </w:p>
        </w:tc>
        <w:tc>
          <w:tcPr>
            <w:tcW w:w="770" w:type="dxa"/>
          </w:tcPr>
          <w:p w14:paraId="45F7128B">
            <w:pPr>
              <w:autoSpaceDE w:val="0"/>
              <w:autoSpaceDN w:val="0"/>
              <w:adjustRightInd w:val="0"/>
              <w:snapToGrid w:val="0"/>
              <w:jc w:val="left"/>
              <w:rPr>
                <w:rFonts w:ascii="宋体" w:hAnsi="宋体"/>
                <w:kern w:val="0"/>
                <w:sz w:val="24"/>
              </w:rPr>
            </w:pPr>
          </w:p>
        </w:tc>
      </w:tr>
      <w:tr w14:paraId="43BD00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BCC1676">
            <w:pPr>
              <w:autoSpaceDE w:val="0"/>
              <w:autoSpaceDN w:val="0"/>
              <w:adjustRightInd w:val="0"/>
              <w:snapToGrid w:val="0"/>
              <w:jc w:val="left"/>
              <w:rPr>
                <w:rFonts w:ascii="宋体" w:hAnsi="宋体"/>
                <w:kern w:val="0"/>
                <w:sz w:val="24"/>
              </w:rPr>
            </w:pPr>
          </w:p>
        </w:tc>
        <w:tc>
          <w:tcPr>
            <w:tcW w:w="1219" w:type="dxa"/>
          </w:tcPr>
          <w:p w14:paraId="22D7C5FF">
            <w:pPr>
              <w:autoSpaceDE w:val="0"/>
              <w:autoSpaceDN w:val="0"/>
              <w:adjustRightInd w:val="0"/>
              <w:snapToGrid w:val="0"/>
              <w:jc w:val="left"/>
              <w:rPr>
                <w:rFonts w:ascii="宋体" w:hAnsi="宋体"/>
                <w:kern w:val="0"/>
                <w:sz w:val="24"/>
              </w:rPr>
            </w:pPr>
          </w:p>
        </w:tc>
        <w:tc>
          <w:tcPr>
            <w:tcW w:w="852" w:type="dxa"/>
          </w:tcPr>
          <w:p w14:paraId="7FA710B7">
            <w:pPr>
              <w:autoSpaceDE w:val="0"/>
              <w:autoSpaceDN w:val="0"/>
              <w:adjustRightInd w:val="0"/>
              <w:snapToGrid w:val="0"/>
              <w:jc w:val="left"/>
              <w:rPr>
                <w:rFonts w:ascii="宋体" w:hAnsi="宋体"/>
                <w:kern w:val="0"/>
                <w:sz w:val="24"/>
              </w:rPr>
            </w:pPr>
          </w:p>
        </w:tc>
        <w:tc>
          <w:tcPr>
            <w:tcW w:w="1111" w:type="dxa"/>
          </w:tcPr>
          <w:p w14:paraId="616B01E1">
            <w:pPr>
              <w:autoSpaceDE w:val="0"/>
              <w:autoSpaceDN w:val="0"/>
              <w:adjustRightInd w:val="0"/>
              <w:snapToGrid w:val="0"/>
              <w:jc w:val="left"/>
              <w:rPr>
                <w:rFonts w:ascii="宋体" w:hAnsi="宋体"/>
                <w:kern w:val="0"/>
                <w:sz w:val="24"/>
              </w:rPr>
            </w:pPr>
          </w:p>
        </w:tc>
        <w:tc>
          <w:tcPr>
            <w:tcW w:w="754" w:type="dxa"/>
          </w:tcPr>
          <w:p w14:paraId="177A93F4">
            <w:pPr>
              <w:autoSpaceDE w:val="0"/>
              <w:autoSpaceDN w:val="0"/>
              <w:adjustRightInd w:val="0"/>
              <w:snapToGrid w:val="0"/>
              <w:jc w:val="left"/>
              <w:rPr>
                <w:rFonts w:ascii="宋体" w:hAnsi="宋体"/>
                <w:kern w:val="0"/>
                <w:sz w:val="24"/>
              </w:rPr>
            </w:pPr>
          </w:p>
        </w:tc>
        <w:tc>
          <w:tcPr>
            <w:tcW w:w="827" w:type="dxa"/>
          </w:tcPr>
          <w:p w14:paraId="395E8D16">
            <w:pPr>
              <w:autoSpaceDE w:val="0"/>
              <w:autoSpaceDN w:val="0"/>
              <w:adjustRightInd w:val="0"/>
              <w:snapToGrid w:val="0"/>
              <w:jc w:val="left"/>
              <w:rPr>
                <w:rFonts w:ascii="宋体" w:hAnsi="宋体"/>
                <w:kern w:val="0"/>
                <w:sz w:val="24"/>
              </w:rPr>
            </w:pPr>
          </w:p>
        </w:tc>
        <w:tc>
          <w:tcPr>
            <w:tcW w:w="1359" w:type="dxa"/>
          </w:tcPr>
          <w:p w14:paraId="18E61006">
            <w:pPr>
              <w:autoSpaceDE w:val="0"/>
              <w:autoSpaceDN w:val="0"/>
              <w:adjustRightInd w:val="0"/>
              <w:snapToGrid w:val="0"/>
              <w:jc w:val="left"/>
              <w:rPr>
                <w:rFonts w:ascii="宋体" w:hAnsi="宋体"/>
                <w:kern w:val="0"/>
                <w:sz w:val="24"/>
              </w:rPr>
            </w:pPr>
          </w:p>
        </w:tc>
        <w:tc>
          <w:tcPr>
            <w:tcW w:w="1855" w:type="dxa"/>
          </w:tcPr>
          <w:p w14:paraId="7B1E3660">
            <w:pPr>
              <w:autoSpaceDE w:val="0"/>
              <w:autoSpaceDN w:val="0"/>
              <w:adjustRightInd w:val="0"/>
              <w:snapToGrid w:val="0"/>
              <w:jc w:val="left"/>
              <w:rPr>
                <w:rFonts w:ascii="宋体" w:hAnsi="宋体"/>
                <w:kern w:val="0"/>
                <w:sz w:val="24"/>
              </w:rPr>
            </w:pPr>
          </w:p>
        </w:tc>
        <w:tc>
          <w:tcPr>
            <w:tcW w:w="770" w:type="dxa"/>
          </w:tcPr>
          <w:p w14:paraId="7B8A7100">
            <w:pPr>
              <w:autoSpaceDE w:val="0"/>
              <w:autoSpaceDN w:val="0"/>
              <w:adjustRightInd w:val="0"/>
              <w:snapToGrid w:val="0"/>
              <w:jc w:val="left"/>
              <w:rPr>
                <w:rFonts w:ascii="宋体" w:hAnsi="宋体"/>
                <w:kern w:val="0"/>
                <w:sz w:val="24"/>
              </w:rPr>
            </w:pPr>
          </w:p>
        </w:tc>
      </w:tr>
      <w:tr w14:paraId="1903AB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05DCE74">
            <w:pPr>
              <w:autoSpaceDE w:val="0"/>
              <w:autoSpaceDN w:val="0"/>
              <w:adjustRightInd w:val="0"/>
              <w:snapToGrid w:val="0"/>
              <w:jc w:val="left"/>
              <w:rPr>
                <w:rFonts w:ascii="宋体" w:hAnsi="宋体"/>
                <w:kern w:val="0"/>
                <w:sz w:val="24"/>
              </w:rPr>
            </w:pPr>
          </w:p>
        </w:tc>
        <w:tc>
          <w:tcPr>
            <w:tcW w:w="1219" w:type="dxa"/>
          </w:tcPr>
          <w:p w14:paraId="0647C619">
            <w:pPr>
              <w:autoSpaceDE w:val="0"/>
              <w:autoSpaceDN w:val="0"/>
              <w:adjustRightInd w:val="0"/>
              <w:snapToGrid w:val="0"/>
              <w:jc w:val="left"/>
              <w:rPr>
                <w:rFonts w:ascii="宋体" w:hAnsi="宋体"/>
                <w:kern w:val="0"/>
                <w:sz w:val="24"/>
              </w:rPr>
            </w:pPr>
          </w:p>
        </w:tc>
        <w:tc>
          <w:tcPr>
            <w:tcW w:w="852" w:type="dxa"/>
          </w:tcPr>
          <w:p w14:paraId="6EEAF685">
            <w:pPr>
              <w:autoSpaceDE w:val="0"/>
              <w:autoSpaceDN w:val="0"/>
              <w:adjustRightInd w:val="0"/>
              <w:snapToGrid w:val="0"/>
              <w:jc w:val="left"/>
              <w:rPr>
                <w:rFonts w:ascii="宋体" w:hAnsi="宋体"/>
                <w:kern w:val="0"/>
                <w:sz w:val="24"/>
              </w:rPr>
            </w:pPr>
          </w:p>
        </w:tc>
        <w:tc>
          <w:tcPr>
            <w:tcW w:w="1111" w:type="dxa"/>
          </w:tcPr>
          <w:p w14:paraId="03BBEAAD">
            <w:pPr>
              <w:autoSpaceDE w:val="0"/>
              <w:autoSpaceDN w:val="0"/>
              <w:adjustRightInd w:val="0"/>
              <w:snapToGrid w:val="0"/>
              <w:jc w:val="left"/>
              <w:rPr>
                <w:rFonts w:ascii="宋体" w:hAnsi="宋体"/>
                <w:kern w:val="0"/>
                <w:sz w:val="24"/>
              </w:rPr>
            </w:pPr>
          </w:p>
        </w:tc>
        <w:tc>
          <w:tcPr>
            <w:tcW w:w="754" w:type="dxa"/>
          </w:tcPr>
          <w:p w14:paraId="5E9DCDD4">
            <w:pPr>
              <w:autoSpaceDE w:val="0"/>
              <w:autoSpaceDN w:val="0"/>
              <w:adjustRightInd w:val="0"/>
              <w:snapToGrid w:val="0"/>
              <w:jc w:val="left"/>
              <w:rPr>
                <w:rFonts w:ascii="宋体" w:hAnsi="宋体"/>
                <w:kern w:val="0"/>
                <w:sz w:val="24"/>
              </w:rPr>
            </w:pPr>
          </w:p>
        </w:tc>
        <w:tc>
          <w:tcPr>
            <w:tcW w:w="827" w:type="dxa"/>
          </w:tcPr>
          <w:p w14:paraId="635AB84E">
            <w:pPr>
              <w:autoSpaceDE w:val="0"/>
              <w:autoSpaceDN w:val="0"/>
              <w:adjustRightInd w:val="0"/>
              <w:snapToGrid w:val="0"/>
              <w:jc w:val="left"/>
              <w:rPr>
                <w:rFonts w:ascii="宋体" w:hAnsi="宋体"/>
                <w:kern w:val="0"/>
                <w:sz w:val="24"/>
              </w:rPr>
            </w:pPr>
          </w:p>
        </w:tc>
        <w:tc>
          <w:tcPr>
            <w:tcW w:w="1359" w:type="dxa"/>
          </w:tcPr>
          <w:p w14:paraId="22D3764F">
            <w:pPr>
              <w:autoSpaceDE w:val="0"/>
              <w:autoSpaceDN w:val="0"/>
              <w:adjustRightInd w:val="0"/>
              <w:snapToGrid w:val="0"/>
              <w:jc w:val="left"/>
              <w:rPr>
                <w:rFonts w:ascii="宋体" w:hAnsi="宋体"/>
                <w:kern w:val="0"/>
                <w:sz w:val="24"/>
              </w:rPr>
            </w:pPr>
          </w:p>
        </w:tc>
        <w:tc>
          <w:tcPr>
            <w:tcW w:w="1855" w:type="dxa"/>
          </w:tcPr>
          <w:p w14:paraId="1329B52A">
            <w:pPr>
              <w:autoSpaceDE w:val="0"/>
              <w:autoSpaceDN w:val="0"/>
              <w:adjustRightInd w:val="0"/>
              <w:snapToGrid w:val="0"/>
              <w:jc w:val="left"/>
              <w:rPr>
                <w:rFonts w:ascii="宋体" w:hAnsi="宋体"/>
                <w:kern w:val="0"/>
                <w:sz w:val="24"/>
              </w:rPr>
            </w:pPr>
          </w:p>
        </w:tc>
        <w:tc>
          <w:tcPr>
            <w:tcW w:w="770" w:type="dxa"/>
          </w:tcPr>
          <w:p w14:paraId="0B81DEE1">
            <w:pPr>
              <w:autoSpaceDE w:val="0"/>
              <w:autoSpaceDN w:val="0"/>
              <w:adjustRightInd w:val="0"/>
              <w:snapToGrid w:val="0"/>
              <w:jc w:val="left"/>
              <w:rPr>
                <w:rFonts w:ascii="宋体" w:hAnsi="宋体"/>
                <w:kern w:val="0"/>
                <w:sz w:val="24"/>
              </w:rPr>
            </w:pPr>
          </w:p>
        </w:tc>
      </w:tr>
      <w:tr w14:paraId="5210FE6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67CEBFD">
            <w:pPr>
              <w:autoSpaceDE w:val="0"/>
              <w:autoSpaceDN w:val="0"/>
              <w:adjustRightInd w:val="0"/>
              <w:snapToGrid w:val="0"/>
              <w:jc w:val="left"/>
              <w:rPr>
                <w:rFonts w:ascii="宋体" w:hAnsi="宋体"/>
                <w:kern w:val="0"/>
                <w:sz w:val="24"/>
              </w:rPr>
            </w:pPr>
          </w:p>
        </w:tc>
        <w:tc>
          <w:tcPr>
            <w:tcW w:w="1219" w:type="dxa"/>
          </w:tcPr>
          <w:p w14:paraId="70F5FBCF">
            <w:pPr>
              <w:autoSpaceDE w:val="0"/>
              <w:autoSpaceDN w:val="0"/>
              <w:adjustRightInd w:val="0"/>
              <w:snapToGrid w:val="0"/>
              <w:jc w:val="left"/>
              <w:rPr>
                <w:rFonts w:ascii="宋体" w:hAnsi="宋体"/>
                <w:kern w:val="0"/>
                <w:sz w:val="24"/>
              </w:rPr>
            </w:pPr>
          </w:p>
        </w:tc>
        <w:tc>
          <w:tcPr>
            <w:tcW w:w="852" w:type="dxa"/>
          </w:tcPr>
          <w:p w14:paraId="4A35C553">
            <w:pPr>
              <w:autoSpaceDE w:val="0"/>
              <w:autoSpaceDN w:val="0"/>
              <w:adjustRightInd w:val="0"/>
              <w:snapToGrid w:val="0"/>
              <w:jc w:val="left"/>
              <w:rPr>
                <w:rFonts w:ascii="宋体" w:hAnsi="宋体"/>
                <w:kern w:val="0"/>
                <w:sz w:val="24"/>
              </w:rPr>
            </w:pPr>
          </w:p>
        </w:tc>
        <w:tc>
          <w:tcPr>
            <w:tcW w:w="1111" w:type="dxa"/>
          </w:tcPr>
          <w:p w14:paraId="61E82ECF">
            <w:pPr>
              <w:autoSpaceDE w:val="0"/>
              <w:autoSpaceDN w:val="0"/>
              <w:adjustRightInd w:val="0"/>
              <w:snapToGrid w:val="0"/>
              <w:jc w:val="left"/>
              <w:rPr>
                <w:rFonts w:ascii="宋体" w:hAnsi="宋体"/>
                <w:kern w:val="0"/>
                <w:sz w:val="24"/>
              </w:rPr>
            </w:pPr>
          </w:p>
        </w:tc>
        <w:tc>
          <w:tcPr>
            <w:tcW w:w="754" w:type="dxa"/>
          </w:tcPr>
          <w:p w14:paraId="3C8BC1A5">
            <w:pPr>
              <w:autoSpaceDE w:val="0"/>
              <w:autoSpaceDN w:val="0"/>
              <w:adjustRightInd w:val="0"/>
              <w:snapToGrid w:val="0"/>
              <w:jc w:val="left"/>
              <w:rPr>
                <w:rFonts w:ascii="宋体" w:hAnsi="宋体"/>
                <w:kern w:val="0"/>
                <w:sz w:val="24"/>
              </w:rPr>
            </w:pPr>
          </w:p>
        </w:tc>
        <w:tc>
          <w:tcPr>
            <w:tcW w:w="827" w:type="dxa"/>
          </w:tcPr>
          <w:p w14:paraId="0A341B31">
            <w:pPr>
              <w:autoSpaceDE w:val="0"/>
              <w:autoSpaceDN w:val="0"/>
              <w:adjustRightInd w:val="0"/>
              <w:snapToGrid w:val="0"/>
              <w:jc w:val="left"/>
              <w:rPr>
                <w:rFonts w:ascii="宋体" w:hAnsi="宋体"/>
                <w:kern w:val="0"/>
                <w:sz w:val="24"/>
              </w:rPr>
            </w:pPr>
          </w:p>
        </w:tc>
        <w:tc>
          <w:tcPr>
            <w:tcW w:w="1359" w:type="dxa"/>
          </w:tcPr>
          <w:p w14:paraId="54CC07EC">
            <w:pPr>
              <w:autoSpaceDE w:val="0"/>
              <w:autoSpaceDN w:val="0"/>
              <w:adjustRightInd w:val="0"/>
              <w:snapToGrid w:val="0"/>
              <w:jc w:val="left"/>
              <w:rPr>
                <w:rFonts w:ascii="宋体" w:hAnsi="宋体"/>
                <w:kern w:val="0"/>
                <w:sz w:val="24"/>
              </w:rPr>
            </w:pPr>
          </w:p>
        </w:tc>
        <w:tc>
          <w:tcPr>
            <w:tcW w:w="1855" w:type="dxa"/>
          </w:tcPr>
          <w:p w14:paraId="57CF0358">
            <w:pPr>
              <w:autoSpaceDE w:val="0"/>
              <w:autoSpaceDN w:val="0"/>
              <w:adjustRightInd w:val="0"/>
              <w:snapToGrid w:val="0"/>
              <w:jc w:val="left"/>
              <w:rPr>
                <w:rFonts w:ascii="宋体" w:hAnsi="宋体"/>
                <w:kern w:val="0"/>
                <w:sz w:val="24"/>
              </w:rPr>
            </w:pPr>
          </w:p>
        </w:tc>
        <w:tc>
          <w:tcPr>
            <w:tcW w:w="770" w:type="dxa"/>
          </w:tcPr>
          <w:p w14:paraId="26DFEE5E">
            <w:pPr>
              <w:autoSpaceDE w:val="0"/>
              <w:autoSpaceDN w:val="0"/>
              <w:adjustRightInd w:val="0"/>
              <w:snapToGrid w:val="0"/>
              <w:jc w:val="left"/>
              <w:rPr>
                <w:rFonts w:ascii="宋体" w:hAnsi="宋体"/>
                <w:kern w:val="0"/>
                <w:sz w:val="24"/>
              </w:rPr>
            </w:pPr>
          </w:p>
        </w:tc>
      </w:tr>
      <w:tr w14:paraId="0F730B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CA8BC10">
            <w:pPr>
              <w:autoSpaceDE w:val="0"/>
              <w:autoSpaceDN w:val="0"/>
              <w:adjustRightInd w:val="0"/>
              <w:snapToGrid w:val="0"/>
              <w:jc w:val="left"/>
              <w:rPr>
                <w:rFonts w:ascii="宋体" w:hAnsi="宋体"/>
                <w:kern w:val="0"/>
                <w:sz w:val="24"/>
              </w:rPr>
            </w:pPr>
          </w:p>
        </w:tc>
        <w:tc>
          <w:tcPr>
            <w:tcW w:w="1219" w:type="dxa"/>
          </w:tcPr>
          <w:p w14:paraId="5BB08226">
            <w:pPr>
              <w:autoSpaceDE w:val="0"/>
              <w:autoSpaceDN w:val="0"/>
              <w:adjustRightInd w:val="0"/>
              <w:snapToGrid w:val="0"/>
              <w:jc w:val="left"/>
              <w:rPr>
                <w:rFonts w:ascii="宋体" w:hAnsi="宋体"/>
                <w:kern w:val="0"/>
                <w:sz w:val="24"/>
              </w:rPr>
            </w:pPr>
          </w:p>
        </w:tc>
        <w:tc>
          <w:tcPr>
            <w:tcW w:w="852" w:type="dxa"/>
          </w:tcPr>
          <w:p w14:paraId="3DAA4700">
            <w:pPr>
              <w:autoSpaceDE w:val="0"/>
              <w:autoSpaceDN w:val="0"/>
              <w:adjustRightInd w:val="0"/>
              <w:snapToGrid w:val="0"/>
              <w:jc w:val="left"/>
              <w:rPr>
                <w:rFonts w:ascii="宋体" w:hAnsi="宋体"/>
                <w:kern w:val="0"/>
                <w:sz w:val="24"/>
              </w:rPr>
            </w:pPr>
          </w:p>
        </w:tc>
        <w:tc>
          <w:tcPr>
            <w:tcW w:w="1111" w:type="dxa"/>
          </w:tcPr>
          <w:p w14:paraId="40A11247">
            <w:pPr>
              <w:autoSpaceDE w:val="0"/>
              <w:autoSpaceDN w:val="0"/>
              <w:adjustRightInd w:val="0"/>
              <w:snapToGrid w:val="0"/>
              <w:jc w:val="left"/>
              <w:rPr>
                <w:rFonts w:ascii="宋体" w:hAnsi="宋体"/>
                <w:kern w:val="0"/>
                <w:sz w:val="24"/>
              </w:rPr>
            </w:pPr>
          </w:p>
        </w:tc>
        <w:tc>
          <w:tcPr>
            <w:tcW w:w="754" w:type="dxa"/>
          </w:tcPr>
          <w:p w14:paraId="7ABDAF1F">
            <w:pPr>
              <w:autoSpaceDE w:val="0"/>
              <w:autoSpaceDN w:val="0"/>
              <w:adjustRightInd w:val="0"/>
              <w:snapToGrid w:val="0"/>
              <w:jc w:val="left"/>
              <w:rPr>
                <w:rFonts w:ascii="宋体" w:hAnsi="宋体"/>
                <w:kern w:val="0"/>
                <w:sz w:val="24"/>
              </w:rPr>
            </w:pPr>
          </w:p>
        </w:tc>
        <w:tc>
          <w:tcPr>
            <w:tcW w:w="827" w:type="dxa"/>
          </w:tcPr>
          <w:p w14:paraId="194715EC">
            <w:pPr>
              <w:autoSpaceDE w:val="0"/>
              <w:autoSpaceDN w:val="0"/>
              <w:adjustRightInd w:val="0"/>
              <w:snapToGrid w:val="0"/>
              <w:jc w:val="left"/>
              <w:rPr>
                <w:rFonts w:ascii="宋体" w:hAnsi="宋体"/>
                <w:kern w:val="0"/>
                <w:sz w:val="24"/>
              </w:rPr>
            </w:pPr>
          </w:p>
        </w:tc>
        <w:tc>
          <w:tcPr>
            <w:tcW w:w="1359" w:type="dxa"/>
          </w:tcPr>
          <w:p w14:paraId="575B73EA">
            <w:pPr>
              <w:autoSpaceDE w:val="0"/>
              <w:autoSpaceDN w:val="0"/>
              <w:adjustRightInd w:val="0"/>
              <w:snapToGrid w:val="0"/>
              <w:jc w:val="left"/>
              <w:rPr>
                <w:rFonts w:ascii="宋体" w:hAnsi="宋体"/>
                <w:kern w:val="0"/>
                <w:sz w:val="24"/>
              </w:rPr>
            </w:pPr>
          </w:p>
        </w:tc>
        <w:tc>
          <w:tcPr>
            <w:tcW w:w="1855" w:type="dxa"/>
          </w:tcPr>
          <w:p w14:paraId="1D67FC3B">
            <w:pPr>
              <w:autoSpaceDE w:val="0"/>
              <w:autoSpaceDN w:val="0"/>
              <w:adjustRightInd w:val="0"/>
              <w:snapToGrid w:val="0"/>
              <w:jc w:val="left"/>
              <w:rPr>
                <w:rFonts w:ascii="宋体" w:hAnsi="宋体"/>
                <w:kern w:val="0"/>
                <w:sz w:val="24"/>
              </w:rPr>
            </w:pPr>
          </w:p>
        </w:tc>
        <w:tc>
          <w:tcPr>
            <w:tcW w:w="770" w:type="dxa"/>
          </w:tcPr>
          <w:p w14:paraId="7151AD57">
            <w:pPr>
              <w:autoSpaceDE w:val="0"/>
              <w:autoSpaceDN w:val="0"/>
              <w:adjustRightInd w:val="0"/>
              <w:snapToGrid w:val="0"/>
              <w:jc w:val="left"/>
              <w:rPr>
                <w:rFonts w:ascii="宋体" w:hAnsi="宋体"/>
                <w:kern w:val="0"/>
                <w:sz w:val="24"/>
              </w:rPr>
            </w:pPr>
          </w:p>
        </w:tc>
      </w:tr>
      <w:tr w14:paraId="00AF23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9410C9F">
            <w:pPr>
              <w:autoSpaceDE w:val="0"/>
              <w:autoSpaceDN w:val="0"/>
              <w:adjustRightInd w:val="0"/>
              <w:snapToGrid w:val="0"/>
              <w:jc w:val="left"/>
              <w:rPr>
                <w:rFonts w:ascii="宋体" w:hAnsi="宋体"/>
                <w:kern w:val="0"/>
                <w:sz w:val="24"/>
              </w:rPr>
            </w:pPr>
          </w:p>
        </w:tc>
        <w:tc>
          <w:tcPr>
            <w:tcW w:w="1219" w:type="dxa"/>
          </w:tcPr>
          <w:p w14:paraId="5FFB3A03">
            <w:pPr>
              <w:autoSpaceDE w:val="0"/>
              <w:autoSpaceDN w:val="0"/>
              <w:adjustRightInd w:val="0"/>
              <w:snapToGrid w:val="0"/>
              <w:jc w:val="left"/>
              <w:rPr>
                <w:rFonts w:ascii="宋体" w:hAnsi="宋体"/>
                <w:kern w:val="0"/>
                <w:sz w:val="24"/>
              </w:rPr>
            </w:pPr>
          </w:p>
        </w:tc>
        <w:tc>
          <w:tcPr>
            <w:tcW w:w="852" w:type="dxa"/>
          </w:tcPr>
          <w:p w14:paraId="524A6136">
            <w:pPr>
              <w:autoSpaceDE w:val="0"/>
              <w:autoSpaceDN w:val="0"/>
              <w:adjustRightInd w:val="0"/>
              <w:snapToGrid w:val="0"/>
              <w:jc w:val="left"/>
              <w:rPr>
                <w:rFonts w:ascii="宋体" w:hAnsi="宋体"/>
                <w:kern w:val="0"/>
                <w:sz w:val="24"/>
              </w:rPr>
            </w:pPr>
          </w:p>
        </w:tc>
        <w:tc>
          <w:tcPr>
            <w:tcW w:w="1111" w:type="dxa"/>
          </w:tcPr>
          <w:p w14:paraId="26ADA6DB">
            <w:pPr>
              <w:autoSpaceDE w:val="0"/>
              <w:autoSpaceDN w:val="0"/>
              <w:adjustRightInd w:val="0"/>
              <w:snapToGrid w:val="0"/>
              <w:jc w:val="left"/>
              <w:rPr>
                <w:rFonts w:ascii="宋体" w:hAnsi="宋体"/>
                <w:kern w:val="0"/>
                <w:sz w:val="24"/>
              </w:rPr>
            </w:pPr>
          </w:p>
        </w:tc>
        <w:tc>
          <w:tcPr>
            <w:tcW w:w="754" w:type="dxa"/>
          </w:tcPr>
          <w:p w14:paraId="609C0A81">
            <w:pPr>
              <w:autoSpaceDE w:val="0"/>
              <w:autoSpaceDN w:val="0"/>
              <w:adjustRightInd w:val="0"/>
              <w:snapToGrid w:val="0"/>
              <w:jc w:val="left"/>
              <w:rPr>
                <w:rFonts w:ascii="宋体" w:hAnsi="宋体"/>
                <w:kern w:val="0"/>
                <w:sz w:val="24"/>
              </w:rPr>
            </w:pPr>
          </w:p>
        </w:tc>
        <w:tc>
          <w:tcPr>
            <w:tcW w:w="827" w:type="dxa"/>
          </w:tcPr>
          <w:p w14:paraId="08EF793B">
            <w:pPr>
              <w:autoSpaceDE w:val="0"/>
              <w:autoSpaceDN w:val="0"/>
              <w:adjustRightInd w:val="0"/>
              <w:snapToGrid w:val="0"/>
              <w:jc w:val="left"/>
              <w:rPr>
                <w:rFonts w:ascii="宋体" w:hAnsi="宋体"/>
                <w:kern w:val="0"/>
                <w:sz w:val="24"/>
              </w:rPr>
            </w:pPr>
          </w:p>
        </w:tc>
        <w:tc>
          <w:tcPr>
            <w:tcW w:w="1359" w:type="dxa"/>
          </w:tcPr>
          <w:p w14:paraId="7E697BE8">
            <w:pPr>
              <w:autoSpaceDE w:val="0"/>
              <w:autoSpaceDN w:val="0"/>
              <w:adjustRightInd w:val="0"/>
              <w:snapToGrid w:val="0"/>
              <w:jc w:val="left"/>
              <w:rPr>
                <w:rFonts w:ascii="宋体" w:hAnsi="宋体"/>
                <w:kern w:val="0"/>
                <w:sz w:val="24"/>
              </w:rPr>
            </w:pPr>
          </w:p>
        </w:tc>
        <w:tc>
          <w:tcPr>
            <w:tcW w:w="1855" w:type="dxa"/>
          </w:tcPr>
          <w:p w14:paraId="068AF52B">
            <w:pPr>
              <w:autoSpaceDE w:val="0"/>
              <w:autoSpaceDN w:val="0"/>
              <w:adjustRightInd w:val="0"/>
              <w:snapToGrid w:val="0"/>
              <w:jc w:val="left"/>
              <w:rPr>
                <w:rFonts w:ascii="宋体" w:hAnsi="宋体"/>
                <w:kern w:val="0"/>
                <w:sz w:val="24"/>
              </w:rPr>
            </w:pPr>
          </w:p>
        </w:tc>
        <w:tc>
          <w:tcPr>
            <w:tcW w:w="770" w:type="dxa"/>
          </w:tcPr>
          <w:p w14:paraId="088168C4">
            <w:pPr>
              <w:autoSpaceDE w:val="0"/>
              <w:autoSpaceDN w:val="0"/>
              <w:adjustRightInd w:val="0"/>
              <w:snapToGrid w:val="0"/>
              <w:jc w:val="left"/>
              <w:rPr>
                <w:rFonts w:ascii="宋体" w:hAnsi="宋体"/>
                <w:kern w:val="0"/>
                <w:sz w:val="24"/>
              </w:rPr>
            </w:pPr>
          </w:p>
        </w:tc>
      </w:tr>
      <w:tr w14:paraId="2E005A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7916D371">
            <w:pPr>
              <w:autoSpaceDE w:val="0"/>
              <w:autoSpaceDN w:val="0"/>
              <w:adjustRightInd w:val="0"/>
              <w:snapToGrid w:val="0"/>
              <w:jc w:val="left"/>
              <w:rPr>
                <w:rFonts w:ascii="宋体" w:hAnsi="宋体"/>
                <w:kern w:val="0"/>
                <w:sz w:val="24"/>
              </w:rPr>
            </w:pPr>
          </w:p>
        </w:tc>
        <w:tc>
          <w:tcPr>
            <w:tcW w:w="1219" w:type="dxa"/>
          </w:tcPr>
          <w:p w14:paraId="05C40D7C">
            <w:pPr>
              <w:autoSpaceDE w:val="0"/>
              <w:autoSpaceDN w:val="0"/>
              <w:adjustRightInd w:val="0"/>
              <w:snapToGrid w:val="0"/>
              <w:jc w:val="left"/>
              <w:rPr>
                <w:rFonts w:ascii="宋体" w:hAnsi="宋体"/>
                <w:kern w:val="0"/>
                <w:sz w:val="24"/>
              </w:rPr>
            </w:pPr>
          </w:p>
        </w:tc>
        <w:tc>
          <w:tcPr>
            <w:tcW w:w="852" w:type="dxa"/>
          </w:tcPr>
          <w:p w14:paraId="79D46B55">
            <w:pPr>
              <w:autoSpaceDE w:val="0"/>
              <w:autoSpaceDN w:val="0"/>
              <w:adjustRightInd w:val="0"/>
              <w:snapToGrid w:val="0"/>
              <w:jc w:val="left"/>
              <w:rPr>
                <w:rFonts w:ascii="宋体" w:hAnsi="宋体"/>
                <w:kern w:val="0"/>
                <w:sz w:val="24"/>
              </w:rPr>
            </w:pPr>
          </w:p>
        </w:tc>
        <w:tc>
          <w:tcPr>
            <w:tcW w:w="1111" w:type="dxa"/>
          </w:tcPr>
          <w:p w14:paraId="3AB334AB">
            <w:pPr>
              <w:autoSpaceDE w:val="0"/>
              <w:autoSpaceDN w:val="0"/>
              <w:adjustRightInd w:val="0"/>
              <w:snapToGrid w:val="0"/>
              <w:jc w:val="left"/>
              <w:rPr>
                <w:rFonts w:ascii="宋体" w:hAnsi="宋体"/>
                <w:kern w:val="0"/>
                <w:sz w:val="24"/>
              </w:rPr>
            </w:pPr>
          </w:p>
        </w:tc>
        <w:tc>
          <w:tcPr>
            <w:tcW w:w="754" w:type="dxa"/>
          </w:tcPr>
          <w:p w14:paraId="7DE5EC38">
            <w:pPr>
              <w:autoSpaceDE w:val="0"/>
              <w:autoSpaceDN w:val="0"/>
              <w:adjustRightInd w:val="0"/>
              <w:snapToGrid w:val="0"/>
              <w:jc w:val="left"/>
              <w:rPr>
                <w:rFonts w:ascii="宋体" w:hAnsi="宋体"/>
                <w:kern w:val="0"/>
                <w:sz w:val="24"/>
              </w:rPr>
            </w:pPr>
          </w:p>
        </w:tc>
        <w:tc>
          <w:tcPr>
            <w:tcW w:w="827" w:type="dxa"/>
          </w:tcPr>
          <w:p w14:paraId="0C4D03D7">
            <w:pPr>
              <w:autoSpaceDE w:val="0"/>
              <w:autoSpaceDN w:val="0"/>
              <w:adjustRightInd w:val="0"/>
              <w:snapToGrid w:val="0"/>
              <w:jc w:val="left"/>
              <w:rPr>
                <w:rFonts w:ascii="宋体" w:hAnsi="宋体"/>
                <w:kern w:val="0"/>
                <w:sz w:val="24"/>
              </w:rPr>
            </w:pPr>
          </w:p>
        </w:tc>
        <w:tc>
          <w:tcPr>
            <w:tcW w:w="1359" w:type="dxa"/>
          </w:tcPr>
          <w:p w14:paraId="48EAC37D">
            <w:pPr>
              <w:autoSpaceDE w:val="0"/>
              <w:autoSpaceDN w:val="0"/>
              <w:adjustRightInd w:val="0"/>
              <w:snapToGrid w:val="0"/>
              <w:jc w:val="left"/>
              <w:rPr>
                <w:rFonts w:ascii="宋体" w:hAnsi="宋体"/>
                <w:kern w:val="0"/>
                <w:sz w:val="24"/>
              </w:rPr>
            </w:pPr>
          </w:p>
        </w:tc>
        <w:tc>
          <w:tcPr>
            <w:tcW w:w="1855" w:type="dxa"/>
          </w:tcPr>
          <w:p w14:paraId="271CB595">
            <w:pPr>
              <w:autoSpaceDE w:val="0"/>
              <w:autoSpaceDN w:val="0"/>
              <w:adjustRightInd w:val="0"/>
              <w:snapToGrid w:val="0"/>
              <w:jc w:val="left"/>
              <w:rPr>
                <w:rFonts w:ascii="宋体" w:hAnsi="宋体"/>
                <w:kern w:val="0"/>
                <w:sz w:val="24"/>
              </w:rPr>
            </w:pPr>
          </w:p>
        </w:tc>
        <w:tc>
          <w:tcPr>
            <w:tcW w:w="770" w:type="dxa"/>
          </w:tcPr>
          <w:p w14:paraId="10FF6CA6">
            <w:pPr>
              <w:autoSpaceDE w:val="0"/>
              <w:autoSpaceDN w:val="0"/>
              <w:adjustRightInd w:val="0"/>
              <w:snapToGrid w:val="0"/>
              <w:jc w:val="left"/>
              <w:rPr>
                <w:rFonts w:ascii="宋体" w:hAnsi="宋体"/>
                <w:kern w:val="0"/>
                <w:sz w:val="24"/>
              </w:rPr>
            </w:pPr>
          </w:p>
        </w:tc>
      </w:tr>
      <w:tr w14:paraId="0C6E4B2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4ED1E31">
            <w:pPr>
              <w:autoSpaceDE w:val="0"/>
              <w:autoSpaceDN w:val="0"/>
              <w:adjustRightInd w:val="0"/>
              <w:snapToGrid w:val="0"/>
              <w:jc w:val="left"/>
              <w:rPr>
                <w:rFonts w:ascii="宋体" w:hAnsi="宋体"/>
                <w:kern w:val="0"/>
                <w:sz w:val="24"/>
              </w:rPr>
            </w:pPr>
          </w:p>
        </w:tc>
        <w:tc>
          <w:tcPr>
            <w:tcW w:w="1219" w:type="dxa"/>
          </w:tcPr>
          <w:p w14:paraId="03758153">
            <w:pPr>
              <w:autoSpaceDE w:val="0"/>
              <w:autoSpaceDN w:val="0"/>
              <w:adjustRightInd w:val="0"/>
              <w:snapToGrid w:val="0"/>
              <w:jc w:val="left"/>
              <w:rPr>
                <w:rFonts w:ascii="宋体" w:hAnsi="宋体"/>
                <w:kern w:val="0"/>
                <w:sz w:val="24"/>
              </w:rPr>
            </w:pPr>
          </w:p>
        </w:tc>
        <w:tc>
          <w:tcPr>
            <w:tcW w:w="852" w:type="dxa"/>
          </w:tcPr>
          <w:p w14:paraId="2A7F485C">
            <w:pPr>
              <w:autoSpaceDE w:val="0"/>
              <w:autoSpaceDN w:val="0"/>
              <w:adjustRightInd w:val="0"/>
              <w:snapToGrid w:val="0"/>
              <w:jc w:val="left"/>
              <w:rPr>
                <w:rFonts w:ascii="宋体" w:hAnsi="宋体"/>
                <w:kern w:val="0"/>
                <w:sz w:val="24"/>
              </w:rPr>
            </w:pPr>
          </w:p>
        </w:tc>
        <w:tc>
          <w:tcPr>
            <w:tcW w:w="1111" w:type="dxa"/>
          </w:tcPr>
          <w:p w14:paraId="0B5BB916">
            <w:pPr>
              <w:autoSpaceDE w:val="0"/>
              <w:autoSpaceDN w:val="0"/>
              <w:adjustRightInd w:val="0"/>
              <w:snapToGrid w:val="0"/>
              <w:jc w:val="left"/>
              <w:rPr>
                <w:rFonts w:ascii="宋体" w:hAnsi="宋体"/>
                <w:kern w:val="0"/>
                <w:sz w:val="24"/>
              </w:rPr>
            </w:pPr>
          </w:p>
        </w:tc>
        <w:tc>
          <w:tcPr>
            <w:tcW w:w="754" w:type="dxa"/>
          </w:tcPr>
          <w:p w14:paraId="030DB398">
            <w:pPr>
              <w:autoSpaceDE w:val="0"/>
              <w:autoSpaceDN w:val="0"/>
              <w:adjustRightInd w:val="0"/>
              <w:snapToGrid w:val="0"/>
              <w:jc w:val="left"/>
              <w:rPr>
                <w:rFonts w:ascii="宋体" w:hAnsi="宋体"/>
                <w:kern w:val="0"/>
                <w:sz w:val="24"/>
              </w:rPr>
            </w:pPr>
          </w:p>
        </w:tc>
        <w:tc>
          <w:tcPr>
            <w:tcW w:w="827" w:type="dxa"/>
          </w:tcPr>
          <w:p w14:paraId="69E827A4">
            <w:pPr>
              <w:autoSpaceDE w:val="0"/>
              <w:autoSpaceDN w:val="0"/>
              <w:adjustRightInd w:val="0"/>
              <w:snapToGrid w:val="0"/>
              <w:jc w:val="left"/>
              <w:rPr>
                <w:rFonts w:ascii="宋体" w:hAnsi="宋体"/>
                <w:kern w:val="0"/>
                <w:sz w:val="24"/>
              </w:rPr>
            </w:pPr>
          </w:p>
        </w:tc>
        <w:tc>
          <w:tcPr>
            <w:tcW w:w="1359" w:type="dxa"/>
          </w:tcPr>
          <w:p w14:paraId="331F516D">
            <w:pPr>
              <w:autoSpaceDE w:val="0"/>
              <w:autoSpaceDN w:val="0"/>
              <w:adjustRightInd w:val="0"/>
              <w:snapToGrid w:val="0"/>
              <w:jc w:val="left"/>
              <w:rPr>
                <w:rFonts w:ascii="宋体" w:hAnsi="宋体"/>
                <w:kern w:val="0"/>
                <w:sz w:val="24"/>
              </w:rPr>
            </w:pPr>
          </w:p>
        </w:tc>
        <w:tc>
          <w:tcPr>
            <w:tcW w:w="1855" w:type="dxa"/>
          </w:tcPr>
          <w:p w14:paraId="7B66B210">
            <w:pPr>
              <w:autoSpaceDE w:val="0"/>
              <w:autoSpaceDN w:val="0"/>
              <w:adjustRightInd w:val="0"/>
              <w:snapToGrid w:val="0"/>
              <w:jc w:val="left"/>
              <w:rPr>
                <w:rFonts w:ascii="宋体" w:hAnsi="宋体"/>
                <w:kern w:val="0"/>
                <w:sz w:val="24"/>
              </w:rPr>
            </w:pPr>
          </w:p>
        </w:tc>
        <w:tc>
          <w:tcPr>
            <w:tcW w:w="770" w:type="dxa"/>
          </w:tcPr>
          <w:p w14:paraId="59FC896E">
            <w:pPr>
              <w:autoSpaceDE w:val="0"/>
              <w:autoSpaceDN w:val="0"/>
              <w:adjustRightInd w:val="0"/>
              <w:snapToGrid w:val="0"/>
              <w:jc w:val="left"/>
              <w:rPr>
                <w:rFonts w:ascii="宋体" w:hAnsi="宋体"/>
                <w:kern w:val="0"/>
                <w:sz w:val="24"/>
              </w:rPr>
            </w:pPr>
          </w:p>
        </w:tc>
      </w:tr>
      <w:tr w14:paraId="1F7C96D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013D75D">
            <w:pPr>
              <w:autoSpaceDE w:val="0"/>
              <w:autoSpaceDN w:val="0"/>
              <w:adjustRightInd w:val="0"/>
              <w:snapToGrid w:val="0"/>
              <w:jc w:val="left"/>
              <w:rPr>
                <w:rFonts w:ascii="宋体" w:hAnsi="宋体"/>
                <w:kern w:val="0"/>
                <w:sz w:val="24"/>
              </w:rPr>
            </w:pPr>
          </w:p>
        </w:tc>
        <w:tc>
          <w:tcPr>
            <w:tcW w:w="1219" w:type="dxa"/>
          </w:tcPr>
          <w:p w14:paraId="2686463B">
            <w:pPr>
              <w:autoSpaceDE w:val="0"/>
              <w:autoSpaceDN w:val="0"/>
              <w:adjustRightInd w:val="0"/>
              <w:snapToGrid w:val="0"/>
              <w:jc w:val="left"/>
              <w:rPr>
                <w:rFonts w:ascii="宋体" w:hAnsi="宋体"/>
                <w:kern w:val="0"/>
                <w:sz w:val="24"/>
              </w:rPr>
            </w:pPr>
          </w:p>
        </w:tc>
        <w:tc>
          <w:tcPr>
            <w:tcW w:w="852" w:type="dxa"/>
          </w:tcPr>
          <w:p w14:paraId="7E5D3190">
            <w:pPr>
              <w:autoSpaceDE w:val="0"/>
              <w:autoSpaceDN w:val="0"/>
              <w:adjustRightInd w:val="0"/>
              <w:snapToGrid w:val="0"/>
              <w:jc w:val="left"/>
              <w:rPr>
                <w:rFonts w:ascii="宋体" w:hAnsi="宋体"/>
                <w:kern w:val="0"/>
                <w:sz w:val="24"/>
              </w:rPr>
            </w:pPr>
          </w:p>
        </w:tc>
        <w:tc>
          <w:tcPr>
            <w:tcW w:w="1111" w:type="dxa"/>
          </w:tcPr>
          <w:p w14:paraId="2D524490">
            <w:pPr>
              <w:autoSpaceDE w:val="0"/>
              <w:autoSpaceDN w:val="0"/>
              <w:adjustRightInd w:val="0"/>
              <w:snapToGrid w:val="0"/>
              <w:jc w:val="left"/>
              <w:rPr>
                <w:rFonts w:ascii="宋体" w:hAnsi="宋体"/>
                <w:kern w:val="0"/>
                <w:sz w:val="24"/>
              </w:rPr>
            </w:pPr>
          </w:p>
        </w:tc>
        <w:tc>
          <w:tcPr>
            <w:tcW w:w="754" w:type="dxa"/>
          </w:tcPr>
          <w:p w14:paraId="11256F4F">
            <w:pPr>
              <w:autoSpaceDE w:val="0"/>
              <w:autoSpaceDN w:val="0"/>
              <w:adjustRightInd w:val="0"/>
              <w:snapToGrid w:val="0"/>
              <w:jc w:val="left"/>
              <w:rPr>
                <w:rFonts w:ascii="宋体" w:hAnsi="宋体"/>
                <w:kern w:val="0"/>
                <w:sz w:val="24"/>
              </w:rPr>
            </w:pPr>
          </w:p>
        </w:tc>
        <w:tc>
          <w:tcPr>
            <w:tcW w:w="827" w:type="dxa"/>
          </w:tcPr>
          <w:p w14:paraId="03701FB5">
            <w:pPr>
              <w:autoSpaceDE w:val="0"/>
              <w:autoSpaceDN w:val="0"/>
              <w:adjustRightInd w:val="0"/>
              <w:snapToGrid w:val="0"/>
              <w:jc w:val="left"/>
              <w:rPr>
                <w:rFonts w:ascii="宋体" w:hAnsi="宋体"/>
                <w:kern w:val="0"/>
                <w:sz w:val="24"/>
              </w:rPr>
            </w:pPr>
          </w:p>
        </w:tc>
        <w:tc>
          <w:tcPr>
            <w:tcW w:w="1359" w:type="dxa"/>
          </w:tcPr>
          <w:p w14:paraId="72821D25">
            <w:pPr>
              <w:autoSpaceDE w:val="0"/>
              <w:autoSpaceDN w:val="0"/>
              <w:adjustRightInd w:val="0"/>
              <w:snapToGrid w:val="0"/>
              <w:jc w:val="left"/>
              <w:rPr>
                <w:rFonts w:ascii="宋体" w:hAnsi="宋体"/>
                <w:kern w:val="0"/>
                <w:sz w:val="24"/>
              </w:rPr>
            </w:pPr>
          </w:p>
        </w:tc>
        <w:tc>
          <w:tcPr>
            <w:tcW w:w="1855" w:type="dxa"/>
          </w:tcPr>
          <w:p w14:paraId="569A96E8">
            <w:pPr>
              <w:autoSpaceDE w:val="0"/>
              <w:autoSpaceDN w:val="0"/>
              <w:adjustRightInd w:val="0"/>
              <w:snapToGrid w:val="0"/>
              <w:jc w:val="left"/>
              <w:rPr>
                <w:rFonts w:ascii="宋体" w:hAnsi="宋体"/>
                <w:kern w:val="0"/>
                <w:sz w:val="24"/>
              </w:rPr>
            </w:pPr>
          </w:p>
        </w:tc>
        <w:tc>
          <w:tcPr>
            <w:tcW w:w="770" w:type="dxa"/>
          </w:tcPr>
          <w:p w14:paraId="5521F9F4">
            <w:pPr>
              <w:autoSpaceDE w:val="0"/>
              <w:autoSpaceDN w:val="0"/>
              <w:adjustRightInd w:val="0"/>
              <w:snapToGrid w:val="0"/>
              <w:jc w:val="left"/>
              <w:rPr>
                <w:rFonts w:ascii="宋体" w:hAnsi="宋体"/>
                <w:kern w:val="0"/>
                <w:sz w:val="24"/>
              </w:rPr>
            </w:pPr>
          </w:p>
        </w:tc>
      </w:tr>
      <w:tr w14:paraId="52237D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0441DBD">
            <w:pPr>
              <w:autoSpaceDE w:val="0"/>
              <w:autoSpaceDN w:val="0"/>
              <w:adjustRightInd w:val="0"/>
              <w:snapToGrid w:val="0"/>
              <w:jc w:val="left"/>
              <w:rPr>
                <w:rFonts w:ascii="宋体" w:hAnsi="宋体"/>
                <w:kern w:val="0"/>
                <w:sz w:val="24"/>
              </w:rPr>
            </w:pPr>
          </w:p>
        </w:tc>
        <w:tc>
          <w:tcPr>
            <w:tcW w:w="1219" w:type="dxa"/>
          </w:tcPr>
          <w:p w14:paraId="2D9DC314">
            <w:pPr>
              <w:autoSpaceDE w:val="0"/>
              <w:autoSpaceDN w:val="0"/>
              <w:adjustRightInd w:val="0"/>
              <w:snapToGrid w:val="0"/>
              <w:jc w:val="left"/>
              <w:rPr>
                <w:rFonts w:ascii="宋体" w:hAnsi="宋体"/>
                <w:kern w:val="0"/>
                <w:sz w:val="24"/>
              </w:rPr>
            </w:pPr>
          </w:p>
        </w:tc>
        <w:tc>
          <w:tcPr>
            <w:tcW w:w="852" w:type="dxa"/>
          </w:tcPr>
          <w:p w14:paraId="578F2583">
            <w:pPr>
              <w:autoSpaceDE w:val="0"/>
              <w:autoSpaceDN w:val="0"/>
              <w:adjustRightInd w:val="0"/>
              <w:snapToGrid w:val="0"/>
              <w:jc w:val="left"/>
              <w:rPr>
                <w:rFonts w:ascii="宋体" w:hAnsi="宋体"/>
                <w:kern w:val="0"/>
                <w:sz w:val="24"/>
              </w:rPr>
            </w:pPr>
          </w:p>
        </w:tc>
        <w:tc>
          <w:tcPr>
            <w:tcW w:w="1111" w:type="dxa"/>
          </w:tcPr>
          <w:p w14:paraId="34589B4C">
            <w:pPr>
              <w:autoSpaceDE w:val="0"/>
              <w:autoSpaceDN w:val="0"/>
              <w:adjustRightInd w:val="0"/>
              <w:snapToGrid w:val="0"/>
              <w:jc w:val="left"/>
              <w:rPr>
                <w:rFonts w:ascii="宋体" w:hAnsi="宋体"/>
                <w:kern w:val="0"/>
                <w:sz w:val="24"/>
              </w:rPr>
            </w:pPr>
          </w:p>
        </w:tc>
        <w:tc>
          <w:tcPr>
            <w:tcW w:w="754" w:type="dxa"/>
          </w:tcPr>
          <w:p w14:paraId="30D4DADB">
            <w:pPr>
              <w:autoSpaceDE w:val="0"/>
              <w:autoSpaceDN w:val="0"/>
              <w:adjustRightInd w:val="0"/>
              <w:snapToGrid w:val="0"/>
              <w:jc w:val="left"/>
              <w:rPr>
                <w:rFonts w:ascii="宋体" w:hAnsi="宋体"/>
                <w:kern w:val="0"/>
                <w:sz w:val="24"/>
              </w:rPr>
            </w:pPr>
          </w:p>
        </w:tc>
        <w:tc>
          <w:tcPr>
            <w:tcW w:w="827" w:type="dxa"/>
          </w:tcPr>
          <w:p w14:paraId="7E180F28">
            <w:pPr>
              <w:autoSpaceDE w:val="0"/>
              <w:autoSpaceDN w:val="0"/>
              <w:adjustRightInd w:val="0"/>
              <w:snapToGrid w:val="0"/>
              <w:jc w:val="left"/>
              <w:rPr>
                <w:rFonts w:ascii="宋体" w:hAnsi="宋体"/>
                <w:kern w:val="0"/>
                <w:sz w:val="24"/>
              </w:rPr>
            </w:pPr>
          </w:p>
        </w:tc>
        <w:tc>
          <w:tcPr>
            <w:tcW w:w="1359" w:type="dxa"/>
          </w:tcPr>
          <w:p w14:paraId="04AC0EBC">
            <w:pPr>
              <w:autoSpaceDE w:val="0"/>
              <w:autoSpaceDN w:val="0"/>
              <w:adjustRightInd w:val="0"/>
              <w:snapToGrid w:val="0"/>
              <w:jc w:val="left"/>
              <w:rPr>
                <w:rFonts w:ascii="宋体" w:hAnsi="宋体"/>
                <w:kern w:val="0"/>
                <w:sz w:val="24"/>
              </w:rPr>
            </w:pPr>
          </w:p>
        </w:tc>
        <w:tc>
          <w:tcPr>
            <w:tcW w:w="1855" w:type="dxa"/>
          </w:tcPr>
          <w:p w14:paraId="07A0130E">
            <w:pPr>
              <w:autoSpaceDE w:val="0"/>
              <w:autoSpaceDN w:val="0"/>
              <w:adjustRightInd w:val="0"/>
              <w:snapToGrid w:val="0"/>
              <w:jc w:val="left"/>
              <w:rPr>
                <w:rFonts w:ascii="宋体" w:hAnsi="宋体"/>
                <w:kern w:val="0"/>
                <w:sz w:val="24"/>
              </w:rPr>
            </w:pPr>
          </w:p>
        </w:tc>
        <w:tc>
          <w:tcPr>
            <w:tcW w:w="770" w:type="dxa"/>
          </w:tcPr>
          <w:p w14:paraId="34C8C0AB">
            <w:pPr>
              <w:autoSpaceDE w:val="0"/>
              <w:autoSpaceDN w:val="0"/>
              <w:adjustRightInd w:val="0"/>
              <w:snapToGrid w:val="0"/>
              <w:jc w:val="left"/>
              <w:rPr>
                <w:rFonts w:ascii="宋体" w:hAnsi="宋体"/>
                <w:kern w:val="0"/>
                <w:sz w:val="24"/>
              </w:rPr>
            </w:pPr>
          </w:p>
        </w:tc>
      </w:tr>
      <w:tr w14:paraId="758B4A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8ABB8D5">
            <w:pPr>
              <w:autoSpaceDE w:val="0"/>
              <w:autoSpaceDN w:val="0"/>
              <w:adjustRightInd w:val="0"/>
              <w:snapToGrid w:val="0"/>
              <w:jc w:val="left"/>
              <w:rPr>
                <w:rFonts w:ascii="宋体" w:hAnsi="宋体"/>
                <w:kern w:val="0"/>
                <w:sz w:val="24"/>
              </w:rPr>
            </w:pPr>
          </w:p>
        </w:tc>
        <w:tc>
          <w:tcPr>
            <w:tcW w:w="1219" w:type="dxa"/>
          </w:tcPr>
          <w:p w14:paraId="7AA4F037">
            <w:pPr>
              <w:autoSpaceDE w:val="0"/>
              <w:autoSpaceDN w:val="0"/>
              <w:adjustRightInd w:val="0"/>
              <w:snapToGrid w:val="0"/>
              <w:jc w:val="left"/>
              <w:rPr>
                <w:rFonts w:ascii="宋体" w:hAnsi="宋体"/>
                <w:kern w:val="0"/>
                <w:sz w:val="24"/>
              </w:rPr>
            </w:pPr>
          </w:p>
        </w:tc>
        <w:tc>
          <w:tcPr>
            <w:tcW w:w="852" w:type="dxa"/>
          </w:tcPr>
          <w:p w14:paraId="44F247C0">
            <w:pPr>
              <w:autoSpaceDE w:val="0"/>
              <w:autoSpaceDN w:val="0"/>
              <w:adjustRightInd w:val="0"/>
              <w:snapToGrid w:val="0"/>
              <w:jc w:val="left"/>
              <w:rPr>
                <w:rFonts w:ascii="宋体" w:hAnsi="宋体"/>
                <w:kern w:val="0"/>
                <w:sz w:val="24"/>
              </w:rPr>
            </w:pPr>
          </w:p>
        </w:tc>
        <w:tc>
          <w:tcPr>
            <w:tcW w:w="1111" w:type="dxa"/>
          </w:tcPr>
          <w:p w14:paraId="3C67C28F">
            <w:pPr>
              <w:autoSpaceDE w:val="0"/>
              <w:autoSpaceDN w:val="0"/>
              <w:adjustRightInd w:val="0"/>
              <w:snapToGrid w:val="0"/>
              <w:jc w:val="left"/>
              <w:rPr>
                <w:rFonts w:ascii="宋体" w:hAnsi="宋体"/>
                <w:kern w:val="0"/>
                <w:sz w:val="24"/>
              </w:rPr>
            </w:pPr>
          </w:p>
        </w:tc>
        <w:tc>
          <w:tcPr>
            <w:tcW w:w="754" w:type="dxa"/>
          </w:tcPr>
          <w:p w14:paraId="114F66BC">
            <w:pPr>
              <w:autoSpaceDE w:val="0"/>
              <w:autoSpaceDN w:val="0"/>
              <w:adjustRightInd w:val="0"/>
              <w:snapToGrid w:val="0"/>
              <w:jc w:val="left"/>
              <w:rPr>
                <w:rFonts w:ascii="宋体" w:hAnsi="宋体"/>
                <w:kern w:val="0"/>
                <w:sz w:val="24"/>
              </w:rPr>
            </w:pPr>
          </w:p>
        </w:tc>
        <w:tc>
          <w:tcPr>
            <w:tcW w:w="827" w:type="dxa"/>
          </w:tcPr>
          <w:p w14:paraId="6A353218">
            <w:pPr>
              <w:autoSpaceDE w:val="0"/>
              <w:autoSpaceDN w:val="0"/>
              <w:adjustRightInd w:val="0"/>
              <w:snapToGrid w:val="0"/>
              <w:jc w:val="left"/>
              <w:rPr>
                <w:rFonts w:ascii="宋体" w:hAnsi="宋体"/>
                <w:kern w:val="0"/>
                <w:sz w:val="24"/>
              </w:rPr>
            </w:pPr>
          </w:p>
        </w:tc>
        <w:tc>
          <w:tcPr>
            <w:tcW w:w="1359" w:type="dxa"/>
          </w:tcPr>
          <w:p w14:paraId="36FBF967">
            <w:pPr>
              <w:autoSpaceDE w:val="0"/>
              <w:autoSpaceDN w:val="0"/>
              <w:adjustRightInd w:val="0"/>
              <w:snapToGrid w:val="0"/>
              <w:jc w:val="left"/>
              <w:rPr>
                <w:rFonts w:ascii="宋体" w:hAnsi="宋体"/>
                <w:kern w:val="0"/>
                <w:sz w:val="24"/>
              </w:rPr>
            </w:pPr>
          </w:p>
        </w:tc>
        <w:tc>
          <w:tcPr>
            <w:tcW w:w="1855" w:type="dxa"/>
          </w:tcPr>
          <w:p w14:paraId="688C11C3">
            <w:pPr>
              <w:autoSpaceDE w:val="0"/>
              <w:autoSpaceDN w:val="0"/>
              <w:adjustRightInd w:val="0"/>
              <w:snapToGrid w:val="0"/>
              <w:jc w:val="left"/>
              <w:rPr>
                <w:rFonts w:ascii="宋体" w:hAnsi="宋体"/>
                <w:kern w:val="0"/>
                <w:sz w:val="24"/>
              </w:rPr>
            </w:pPr>
          </w:p>
        </w:tc>
        <w:tc>
          <w:tcPr>
            <w:tcW w:w="770" w:type="dxa"/>
          </w:tcPr>
          <w:p w14:paraId="5CDA1A26">
            <w:pPr>
              <w:autoSpaceDE w:val="0"/>
              <w:autoSpaceDN w:val="0"/>
              <w:adjustRightInd w:val="0"/>
              <w:snapToGrid w:val="0"/>
              <w:jc w:val="left"/>
              <w:rPr>
                <w:rFonts w:ascii="宋体" w:hAnsi="宋体"/>
                <w:kern w:val="0"/>
                <w:sz w:val="24"/>
              </w:rPr>
            </w:pPr>
          </w:p>
        </w:tc>
      </w:tr>
      <w:tr w14:paraId="338AEA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2DC5D88">
            <w:pPr>
              <w:autoSpaceDE w:val="0"/>
              <w:autoSpaceDN w:val="0"/>
              <w:adjustRightInd w:val="0"/>
              <w:snapToGrid w:val="0"/>
              <w:jc w:val="left"/>
              <w:rPr>
                <w:rFonts w:ascii="宋体" w:hAnsi="宋体"/>
                <w:kern w:val="0"/>
                <w:sz w:val="24"/>
              </w:rPr>
            </w:pPr>
          </w:p>
        </w:tc>
        <w:tc>
          <w:tcPr>
            <w:tcW w:w="1219" w:type="dxa"/>
          </w:tcPr>
          <w:p w14:paraId="4FF2F014">
            <w:pPr>
              <w:autoSpaceDE w:val="0"/>
              <w:autoSpaceDN w:val="0"/>
              <w:adjustRightInd w:val="0"/>
              <w:snapToGrid w:val="0"/>
              <w:jc w:val="left"/>
              <w:rPr>
                <w:rFonts w:ascii="宋体" w:hAnsi="宋体"/>
                <w:kern w:val="0"/>
                <w:sz w:val="24"/>
              </w:rPr>
            </w:pPr>
          </w:p>
        </w:tc>
        <w:tc>
          <w:tcPr>
            <w:tcW w:w="852" w:type="dxa"/>
          </w:tcPr>
          <w:p w14:paraId="3B9C27CC">
            <w:pPr>
              <w:autoSpaceDE w:val="0"/>
              <w:autoSpaceDN w:val="0"/>
              <w:adjustRightInd w:val="0"/>
              <w:snapToGrid w:val="0"/>
              <w:jc w:val="left"/>
              <w:rPr>
                <w:rFonts w:ascii="宋体" w:hAnsi="宋体"/>
                <w:kern w:val="0"/>
                <w:sz w:val="24"/>
              </w:rPr>
            </w:pPr>
          </w:p>
        </w:tc>
        <w:tc>
          <w:tcPr>
            <w:tcW w:w="1111" w:type="dxa"/>
          </w:tcPr>
          <w:p w14:paraId="553CEEEB">
            <w:pPr>
              <w:autoSpaceDE w:val="0"/>
              <w:autoSpaceDN w:val="0"/>
              <w:adjustRightInd w:val="0"/>
              <w:snapToGrid w:val="0"/>
              <w:jc w:val="left"/>
              <w:rPr>
                <w:rFonts w:ascii="宋体" w:hAnsi="宋体"/>
                <w:kern w:val="0"/>
                <w:sz w:val="24"/>
              </w:rPr>
            </w:pPr>
          </w:p>
        </w:tc>
        <w:tc>
          <w:tcPr>
            <w:tcW w:w="754" w:type="dxa"/>
          </w:tcPr>
          <w:p w14:paraId="7FB05031">
            <w:pPr>
              <w:autoSpaceDE w:val="0"/>
              <w:autoSpaceDN w:val="0"/>
              <w:adjustRightInd w:val="0"/>
              <w:snapToGrid w:val="0"/>
              <w:jc w:val="left"/>
              <w:rPr>
                <w:rFonts w:ascii="宋体" w:hAnsi="宋体"/>
                <w:kern w:val="0"/>
                <w:sz w:val="24"/>
              </w:rPr>
            </w:pPr>
          </w:p>
        </w:tc>
        <w:tc>
          <w:tcPr>
            <w:tcW w:w="827" w:type="dxa"/>
          </w:tcPr>
          <w:p w14:paraId="0BD715B6">
            <w:pPr>
              <w:autoSpaceDE w:val="0"/>
              <w:autoSpaceDN w:val="0"/>
              <w:adjustRightInd w:val="0"/>
              <w:snapToGrid w:val="0"/>
              <w:jc w:val="left"/>
              <w:rPr>
                <w:rFonts w:ascii="宋体" w:hAnsi="宋体"/>
                <w:kern w:val="0"/>
                <w:sz w:val="24"/>
              </w:rPr>
            </w:pPr>
          </w:p>
        </w:tc>
        <w:tc>
          <w:tcPr>
            <w:tcW w:w="1359" w:type="dxa"/>
          </w:tcPr>
          <w:p w14:paraId="103BA19A">
            <w:pPr>
              <w:autoSpaceDE w:val="0"/>
              <w:autoSpaceDN w:val="0"/>
              <w:adjustRightInd w:val="0"/>
              <w:snapToGrid w:val="0"/>
              <w:jc w:val="left"/>
              <w:rPr>
                <w:rFonts w:ascii="宋体" w:hAnsi="宋体"/>
                <w:kern w:val="0"/>
                <w:sz w:val="24"/>
              </w:rPr>
            </w:pPr>
          </w:p>
        </w:tc>
        <w:tc>
          <w:tcPr>
            <w:tcW w:w="1855" w:type="dxa"/>
          </w:tcPr>
          <w:p w14:paraId="100032D2">
            <w:pPr>
              <w:autoSpaceDE w:val="0"/>
              <w:autoSpaceDN w:val="0"/>
              <w:adjustRightInd w:val="0"/>
              <w:snapToGrid w:val="0"/>
              <w:jc w:val="left"/>
              <w:rPr>
                <w:rFonts w:ascii="宋体" w:hAnsi="宋体"/>
                <w:kern w:val="0"/>
                <w:sz w:val="24"/>
              </w:rPr>
            </w:pPr>
          </w:p>
        </w:tc>
        <w:tc>
          <w:tcPr>
            <w:tcW w:w="770" w:type="dxa"/>
          </w:tcPr>
          <w:p w14:paraId="219E467E">
            <w:pPr>
              <w:autoSpaceDE w:val="0"/>
              <w:autoSpaceDN w:val="0"/>
              <w:adjustRightInd w:val="0"/>
              <w:snapToGrid w:val="0"/>
              <w:jc w:val="left"/>
              <w:rPr>
                <w:rFonts w:ascii="宋体" w:hAnsi="宋体"/>
                <w:kern w:val="0"/>
                <w:sz w:val="24"/>
              </w:rPr>
            </w:pPr>
          </w:p>
        </w:tc>
      </w:tr>
      <w:tr w14:paraId="79F8E7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EEE3575">
            <w:pPr>
              <w:autoSpaceDE w:val="0"/>
              <w:autoSpaceDN w:val="0"/>
              <w:adjustRightInd w:val="0"/>
              <w:snapToGrid w:val="0"/>
              <w:jc w:val="left"/>
              <w:rPr>
                <w:rFonts w:ascii="宋体" w:hAnsi="宋体"/>
                <w:kern w:val="0"/>
                <w:sz w:val="24"/>
              </w:rPr>
            </w:pPr>
          </w:p>
        </w:tc>
        <w:tc>
          <w:tcPr>
            <w:tcW w:w="1219" w:type="dxa"/>
          </w:tcPr>
          <w:p w14:paraId="3C2AE159">
            <w:pPr>
              <w:autoSpaceDE w:val="0"/>
              <w:autoSpaceDN w:val="0"/>
              <w:adjustRightInd w:val="0"/>
              <w:snapToGrid w:val="0"/>
              <w:jc w:val="left"/>
              <w:rPr>
                <w:rFonts w:ascii="宋体" w:hAnsi="宋体"/>
                <w:kern w:val="0"/>
                <w:sz w:val="24"/>
              </w:rPr>
            </w:pPr>
          </w:p>
        </w:tc>
        <w:tc>
          <w:tcPr>
            <w:tcW w:w="852" w:type="dxa"/>
          </w:tcPr>
          <w:p w14:paraId="42E241B1">
            <w:pPr>
              <w:autoSpaceDE w:val="0"/>
              <w:autoSpaceDN w:val="0"/>
              <w:adjustRightInd w:val="0"/>
              <w:snapToGrid w:val="0"/>
              <w:jc w:val="left"/>
              <w:rPr>
                <w:rFonts w:ascii="宋体" w:hAnsi="宋体"/>
                <w:kern w:val="0"/>
                <w:sz w:val="24"/>
              </w:rPr>
            </w:pPr>
          </w:p>
        </w:tc>
        <w:tc>
          <w:tcPr>
            <w:tcW w:w="1111" w:type="dxa"/>
          </w:tcPr>
          <w:p w14:paraId="49059B9C">
            <w:pPr>
              <w:autoSpaceDE w:val="0"/>
              <w:autoSpaceDN w:val="0"/>
              <w:adjustRightInd w:val="0"/>
              <w:snapToGrid w:val="0"/>
              <w:jc w:val="left"/>
              <w:rPr>
                <w:rFonts w:ascii="宋体" w:hAnsi="宋体"/>
                <w:kern w:val="0"/>
                <w:sz w:val="24"/>
              </w:rPr>
            </w:pPr>
          </w:p>
        </w:tc>
        <w:tc>
          <w:tcPr>
            <w:tcW w:w="754" w:type="dxa"/>
          </w:tcPr>
          <w:p w14:paraId="4DF33493">
            <w:pPr>
              <w:autoSpaceDE w:val="0"/>
              <w:autoSpaceDN w:val="0"/>
              <w:adjustRightInd w:val="0"/>
              <w:snapToGrid w:val="0"/>
              <w:jc w:val="left"/>
              <w:rPr>
                <w:rFonts w:ascii="宋体" w:hAnsi="宋体"/>
                <w:kern w:val="0"/>
                <w:sz w:val="24"/>
              </w:rPr>
            </w:pPr>
          </w:p>
        </w:tc>
        <w:tc>
          <w:tcPr>
            <w:tcW w:w="827" w:type="dxa"/>
          </w:tcPr>
          <w:p w14:paraId="119BE517">
            <w:pPr>
              <w:autoSpaceDE w:val="0"/>
              <w:autoSpaceDN w:val="0"/>
              <w:adjustRightInd w:val="0"/>
              <w:snapToGrid w:val="0"/>
              <w:jc w:val="left"/>
              <w:rPr>
                <w:rFonts w:ascii="宋体" w:hAnsi="宋体"/>
                <w:kern w:val="0"/>
                <w:sz w:val="24"/>
              </w:rPr>
            </w:pPr>
          </w:p>
        </w:tc>
        <w:tc>
          <w:tcPr>
            <w:tcW w:w="1359" w:type="dxa"/>
          </w:tcPr>
          <w:p w14:paraId="5DDDA73E">
            <w:pPr>
              <w:autoSpaceDE w:val="0"/>
              <w:autoSpaceDN w:val="0"/>
              <w:adjustRightInd w:val="0"/>
              <w:snapToGrid w:val="0"/>
              <w:jc w:val="left"/>
              <w:rPr>
                <w:rFonts w:ascii="宋体" w:hAnsi="宋体"/>
                <w:kern w:val="0"/>
                <w:sz w:val="24"/>
              </w:rPr>
            </w:pPr>
          </w:p>
        </w:tc>
        <w:tc>
          <w:tcPr>
            <w:tcW w:w="1855" w:type="dxa"/>
          </w:tcPr>
          <w:p w14:paraId="03FEBC7F">
            <w:pPr>
              <w:autoSpaceDE w:val="0"/>
              <w:autoSpaceDN w:val="0"/>
              <w:adjustRightInd w:val="0"/>
              <w:snapToGrid w:val="0"/>
              <w:jc w:val="left"/>
              <w:rPr>
                <w:rFonts w:ascii="宋体" w:hAnsi="宋体"/>
                <w:kern w:val="0"/>
                <w:sz w:val="24"/>
              </w:rPr>
            </w:pPr>
          </w:p>
        </w:tc>
        <w:tc>
          <w:tcPr>
            <w:tcW w:w="770" w:type="dxa"/>
          </w:tcPr>
          <w:p w14:paraId="426B8DCE">
            <w:pPr>
              <w:autoSpaceDE w:val="0"/>
              <w:autoSpaceDN w:val="0"/>
              <w:adjustRightInd w:val="0"/>
              <w:snapToGrid w:val="0"/>
              <w:jc w:val="left"/>
              <w:rPr>
                <w:rFonts w:ascii="宋体" w:hAnsi="宋体"/>
                <w:kern w:val="0"/>
                <w:sz w:val="24"/>
              </w:rPr>
            </w:pPr>
          </w:p>
        </w:tc>
      </w:tr>
      <w:tr w14:paraId="1A4DB9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E3B86C">
            <w:pPr>
              <w:autoSpaceDE w:val="0"/>
              <w:autoSpaceDN w:val="0"/>
              <w:adjustRightInd w:val="0"/>
              <w:snapToGrid w:val="0"/>
              <w:jc w:val="left"/>
              <w:rPr>
                <w:rFonts w:ascii="宋体" w:hAnsi="宋体"/>
                <w:kern w:val="0"/>
                <w:sz w:val="24"/>
              </w:rPr>
            </w:pPr>
          </w:p>
        </w:tc>
        <w:tc>
          <w:tcPr>
            <w:tcW w:w="1219" w:type="dxa"/>
          </w:tcPr>
          <w:p w14:paraId="32351731">
            <w:pPr>
              <w:autoSpaceDE w:val="0"/>
              <w:autoSpaceDN w:val="0"/>
              <w:adjustRightInd w:val="0"/>
              <w:snapToGrid w:val="0"/>
              <w:jc w:val="left"/>
              <w:rPr>
                <w:rFonts w:ascii="宋体" w:hAnsi="宋体"/>
                <w:kern w:val="0"/>
                <w:sz w:val="24"/>
              </w:rPr>
            </w:pPr>
          </w:p>
        </w:tc>
        <w:tc>
          <w:tcPr>
            <w:tcW w:w="852" w:type="dxa"/>
          </w:tcPr>
          <w:p w14:paraId="70FA8D1A">
            <w:pPr>
              <w:autoSpaceDE w:val="0"/>
              <w:autoSpaceDN w:val="0"/>
              <w:adjustRightInd w:val="0"/>
              <w:snapToGrid w:val="0"/>
              <w:jc w:val="left"/>
              <w:rPr>
                <w:rFonts w:ascii="宋体" w:hAnsi="宋体"/>
                <w:kern w:val="0"/>
                <w:sz w:val="24"/>
              </w:rPr>
            </w:pPr>
          </w:p>
        </w:tc>
        <w:tc>
          <w:tcPr>
            <w:tcW w:w="1111" w:type="dxa"/>
          </w:tcPr>
          <w:p w14:paraId="19DA92C1">
            <w:pPr>
              <w:autoSpaceDE w:val="0"/>
              <w:autoSpaceDN w:val="0"/>
              <w:adjustRightInd w:val="0"/>
              <w:snapToGrid w:val="0"/>
              <w:jc w:val="left"/>
              <w:rPr>
                <w:rFonts w:ascii="宋体" w:hAnsi="宋体"/>
                <w:kern w:val="0"/>
                <w:sz w:val="24"/>
              </w:rPr>
            </w:pPr>
          </w:p>
        </w:tc>
        <w:tc>
          <w:tcPr>
            <w:tcW w:w="754" w:type="dxa"/>
          </w:tcPr>
          <w:p w14:paraId="2F9A9C0A">
            <w:pPr>
              <w:autoSpaceDE w:val="0"/>
              <w:autoSpaceDN w:val="0"/>
              <w:adjustRightInd w:val="0"/>
              <w:snapToGrid w:val="0"/>
              <w:jc w:val="left"/>
              <w:rPr>
                <w:rFonts w:ascii="宋体" w:hAnsi="宋体"/>
                <w:kern w:val="0"/>
                <w:sz w:val="24"/>
              </w:rPr>
            </w:pPr>
          </w:p>
        </w:tc>
        <w:tc>
          <w:tcPr>
            <w:tcW w:w="827" w:type="dxa"/>
          </w:tcPr>
          <w:p w14:paraId="794CCB13">
            <w:pPr>
              <w:autoSpaceDE w:val="0"/>
              <w:autoSpaceDN w:val="0"/>
              <w:adjustRightInd w:val="0"/>
              <w:snapToGrid w:val="0"/>
              <w:jc w:val="left"/>
              <w:rPr>
                <w:rFonts w:ascii="宋体" w:hAnsi="宋体"/>
                <w:kern w:val="0"/>
                <w:sz w:val="24"/>
              </w:rPr>
            </w:pPr>
          </w:p>
        </w:tc>
        <w:tc>
          <w:tcPr>
            <w:tcW w:w="1359" w:type="dxa"/>
          </w:tcPr>
          <w:p w14:paraId="6EC52560">
            <w:pPr>
              <w:autoSpaceDE w:val="0"/>
              <w:autoSpaceDN w:val="0"/>
              <w:adjustRightInd w:val="0"/>
              <w:snapToGrid w:val="0"/>
              <w:jc w:val="left"/>
              <w:rPr>
                <w:rFonts w:ascii="宋体" w:hAnsi="宋体"/>
                <w:kern w:val="0"/>
                <w:sz w:val="24"/>
              </w:rPr>
            </w:pPr>
          </w:p>
        </w:tc>
        <w:tc>
          <w:tcPr>
            <w:tcW w:w="1855" w:type="dxa"/>
          </w:tcPr>
          <w:p w14:paraId="2B5E74D7">
            <w:pPr>
              <w:autoSpaceDE w:val="0"/>
              <w:autoSpaceDN w:val="0"/>
              <w:adjustRightInd w:val="0"/>
              <w:snapToGrid w:val="0"/>
              <w:jc w:val="left"/>
              <w:rPr>
                <w:rFonts w:ascii="宋体" w:hAnsi="宋体"/>
                <w:kern w:val="0"/>
                <w:sz w:val="24"/>
              </w:rPr>
            </w:pPr>
          </w:p>
        </w:tc>
        <w:tc>
          <w:tcPr>
            <w:tcW w:w="770" w:type="dxa"/>
          </w:tcPr>
          <w:p w14:paraId="6F0A0DAA">
            <w:pPr>
              <w:autoSpaceDE w:val="0"/>
              <w:autoSpaceDN w:val="0"/>
              <w:adjustRightInd w:val="0"/>
              <w:snapToGrid w:val="0"/>
              <w:jc w:val="left"/>
              <w:rPr>
                <w:rFonts w:ascii="宋体" w:hAnsi="宋体"/>
                <w:kern w:val="0"/>
                <w:sz w:val="24"/>
              </w:rPr>
            </w:pPr>
          </w:p>
        </w:tc>
      </w:tr>
      <w:tr w14:paraId="051659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44B35E6A">
            <w:pPr>
              <w:autoSpaceDE w:val="0"/>
              <w:autoSpaceDN w:val="0"/>
              <w:adjustRightInd w:val="0"/>
              <w:snapToGrid w:val="0"/>
              <w:jc w:val="left"/>
              <w:rPr>
                <w:rFonts w:ascii="宋体" w:hAnsi="宋体"/>
                <w:kern w:val="0"/>
                <w:sz w:val="24"/>
              </w:rPr>
            </w:pPr>
          </w:p>
        </w:tc>
        <w:tc>
          <w:tcPr>
            <w:tcW w:w="1219" w:type="dxa"/>
          </w:tcPr>
          <w:p w14:paraId="08A9983D">
            <w:pPr>
              <w:autoSpaceDE w:val="0"/>
              <w:autoSpaceDN w:val="0"/>
              <w:adjustRightInd w:val="0"/>
              <w:snapToGrid w:val="0"/>
              <w:jc w:val="left"/>
              <w:rPr>
                <w:rFonts w:ascii="宋体" w:hAnsi="宋体"/>
                <w:kern w:val="0"/>
                <w:sz w:val="24"/>
              </w:rPr>
            </w:pPr>
          </w:p>
        </w:tc>
        <w:tc>
          <w:tcPr>
            <w:tcW w:w="852" w:type="dxa"/>
          </w:tcPr>
          <w:p w14:paraId="5B370DC1">
            <w:pPr>
              <w:autoSpaceDE w:val="0"/>
              <w:autoSpaceDN w:val="0"/>
              <w:adjustRightInd w:val="0"/>
              <w:snapToGrid w:val="0"/>
              <w:jc w:val="left"/>
              <w:rPr>
                <w:rFonts w:ascii="宋体" w:hAnsi="宋体"/>
                <w:kern w:val="0"/>
                <w:sz w:val="24"/>
              </w:rPr>
            </w:pPr>
          </w:p>
        </w:tc>
        <w:tc>
          <w:tcPr>
            <w:tcW w:w="1111" w:type="dxa"/>
          </w:tcPr>
          <w:p w14:paraId="5B3DBE63">
            <w:pPr>
              <w:autoSpaceDE w:val="0"/>
              <w:autoSpaceDN w:val="0"/>
              <w:adjustRightInd w:val="0"/>
              <w:snapToGrid w:val="0"/>
              <w:jc w:val="left"/>
              <w:rPr>
                <w:rFonts w:ascii="宋体" w:hAnsi="宋体"/>
                <w:kern w:val="0"/>
                <w:sz w:val="24"/>
              </w:rPr>
            </w:pPr>
          </w:p>
        </w:tc>
        <w:tc>
          <w:tcPr>
            <w:tcW w:w="754" w:type="dxa"/>
          </w:tcPr>
          <w:p w14:paraId="6071FCA1">
            <w:pPr>
              <w:autoSpaceDE w:val="0"/>
              <w:autoSpaceDN w:val="0"/>
              <w:adjustRightInd w:val="0"/>
              <w:snapToGrid w:val="0"/>
              <w:jc w:val="left"/>
              <w:rPr>
                <w:rFonts w:ascii="宋体" w:hAnsi="宋体"/>
                <w:kern w:val="0"/>
                <w:sz w:val="24"/>
              </w:rPr>
            </w:pPr>
          </w:p>
        </w:tc>
        <w:tc>
          <w:tcPr>
            <w:tcW w:w="827" w:type="dxa"/>
          </w:tcPr>
          <w:p w14:paraId="4D397239">
            <w:pPr>
              <w:autoSpaceDE w:val="0"/>
              <w:autoSpaceDN w:val="0"/>
              <w:adjustRightInd w:val="0"/>
              <w:snapToGrid w:val="0"/>
              <w:jc w:val="left"/>
              <w:rPr>
                <w:rFonts w:ascii="宋体" w:hAnsi="宋体"/>
                <w:kern w:val="0"/>
                <w:sz w:val="24"/>
              </w:rPr>
            </w:pPr>
          </w:p>
        </w:tc>
        <w:tc>
          <w:tcPr>
            <w:tcW w:w="1359" w:type="dxa"/>
          </w:tcPr>
          <w:p w14:paraId="4E0104E5">
            <w:pPr>
              <w:autoSpaceDE w:val="0"/>
              <w:autoSpaceDN w:val="0"/>
              <w:adjustRightInd w:val="0"/>
              <w:snapToGrid w:val="0"/>
              <w:jc w:val="left"/>
              <w:rPr>
                <w:rFonts w:ascii="宋体" w:hAnsi="宋体"/>
                <w:kern w:val="0"/>
                <w:sz w:val="24"/>
              </w:rPr>
            </w:pPr>
          </w:p>
        </w:tc>
        <w:tc>
          <w:tcPr>
            <w:tcW w:w="1855" w:type="dxa"/>
          </w:tcPr>
          <w:p w14:paraId="2ABBDFB9">
            <w:pPr>
              <w:autoSpaceDE w:val="0"/>
              <w:autoSpaceDN w:val="0"/>
              <w:adjustRightInd w:val="0"/>
              <w:snapToGrid w:val="0"/>
              <w:jc w:val="left"/>
              <w:rPr>
                <w:rFonts w:ascii="宋体" w:hAnsi="宋体"/>
                <w:kern w:val="0"/>
                <w:sz w:val="24"/>
              </w:rPr>
            </w:pPr>
          </w:p>
        </w:tc>
        <w:tc>
          <w:tcPr>
            <w:tcW w:w="770" w:type="dxa"/>
          </w:tcPr>
          <w:p w14:paraId="4872C4CA">
            <w:pPr>
              <w:autoSpaceDE w:val="0"/>
              <w:autoSpaceDN w:val="0"/>
              <w:adjustRightInd w:val="0"/>
              <w:snapToGrid w:val="0"/>
              <w:jc w:val="left"/>
              <w:rPr>
                <w:rFonts w:ascii="宋体" w:hAnsi="宋体"/>
                <w:kern w:val="0"/>
                <w:sz w:val="24"/>
              </w:rPr>
            </w:pPr>
          </w:p>
        </w:tc>
      </w:tr>
      <w:tr w14:paraId="2357123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0BF556C">
            <w:pPr>
              <w:autoSpaceDE w:val="0"/>
              <w:autoSpaceDN w:val="0"/>
              <w:adjustRightInd w:val="0"/>
              <w:snapToGrid w:val="0"/>
              <w:jc w:val="left"/>
              <w:rPr>
                <w:rFonts w:ascii="宋体" w:hAnsi="宋体"/>
                <w:kern w:val="0"/>
                <w:sz w:val="24"/>
              </w:rPr>
            </w:pPr>
          </w:p>
        </w:tc>
        <w:tc>
          <w:tcPr>
            <w:tcW w:w="1219" w:type="dxa"/>
          </w:tcPr>
          <w:p w14:paraId="643E4D28">
            <w:pPr>
              <w:autoSpaceDE w:val="0"/>
              <w:autoSpaceDN w:val="0"/>
              <w:adjustRightInd w:val="0"/>
              <w:snapToGrid w:val="0"/>
              <w:jc w:val="left"/>
              <w:rPr>
                <w:rFonts w:ascii="宋体" w:hAnsi="宋体"/>
                <w:kern w:val="0"/>
                <w:sz w:val="24"/>
              </w:rPr>
            </w:pPr>
          </w:p>
        </w:tc>
        <w:tc>
          <w:tcPr>
            <w:tcW w:w="852" w:type="dxa"/>
          </w:tcPr>
          <w:p w14:paraId="3B14D92C">
            <w:pPr>
              <w:autoSpaceDE w:val="0"/>
              <w:autoSpaceDN w:val="0"/>
              <w:adjustRightInd w:val="0"/>
              <w:snapToGrid w:val="0"/>
              <w:jc w:val="left"/>
              <w:rPr>
                <w:rFonts w:ascii="宋体" w:hAnsi="宋体"/>
                <w:kern w:val="0"/>
                <w:sz w:val="24"/>
              </w:rPr>
            </w:pPr>
          </w:p>
        </w:tc>
        <w:tc>
          <w:tcPr>
            <w:tcW w:w="1111" w:type="dxa"/>
          </w:tcPr>
          <w:p w14:paraId="0C6A0DAC">
            <w:pPr>
              <w:autoSpaceDE w:val="0"/>
              <w:autoSpaceDN w:val="0"/>
              <w:adjustRightInd w:val="0"/>
              <w:snapToGrid w:val="0"/>
              <w:jc w:val="left"/>
              <w:rPr>
                <w:rFonts w:ascii="宋体" w:hAnsi="宋体"/>
                <w:kern w:val="0"/>
                <w:sz w:val="24"/>
              </w:rPr>
            </w:pPr>
          </w:p>
        </w:tc>
        <w:tc>
          <w:tcPr>
            <w:tcW w:w="754" w:type="dxa"/>
          </w:tcPr>
          <w:p w14:paraId="798CE521">
            <w:pPr>
              <w:autoSpaceDE w:val="0"/>
              <w:autoSpaceDN w:val="0"/>
              <w:adjustRightInd w:val="0"/>
              <w:snapToGrid w:val="0"/>
              <w:jc w:val="left"/>
              <w:rPr>
                <w:rFonts w:ascii="宋体" w:hAnsi="宋体"/>
                <w:kern w:val="0"/>
                <w:sz w:val="24"/>
              </w:rPr>
            </w:pPr>
          </w:p>
        </w:tc>
        <w:tc>
          <w:tcPr>
            <w:tcW w:w="827" w:type="dxa"/>
          </w:tcPr>
          <w:p w14:paraId="6DCB2154">
            <w:pPr>
              <w:autoSpaceDE w:val="0"/>
              <w:autoSpaceDN w:val="0"/>
              <w:adjustRightInd w:val="0"/>
              <w:snapToGrid w:val="0"/>
              <w:jc w:val="left"/>
              <w:rPr>
                <w:rFonts w:ascii="宋体" w:hAnsi="宋体"/>
                <w:kern w:val="0"/>
                <w:sz w:val="24"/>
              </w:rPr>
            </w:pPr>
          </w:p>
        </w:tc>
        <w:tc>
          <w:tcPr>
            <w:tcW w:w="1359" w:type="dxa"/>
          </w:tcPr>
          <w:p w14:paraId="31745064">
            <w:pPr>
              <w:autoSpaceDE w:val="0"/>
              <w:autoSpaceDN w:val="0"/>
              <w:adjustRightInd w:val="0"/>
              <w:snapToGrid w:val="0"/>
              <w:jc w:val="left"/>
              <w:rPr>
                <w:rFonts w:ascii="宋体" w:hAnsi="宋体"/>
                <w:kern w:val="0"/>
                <w:sz w:val="24"/>
              </w:rPr>
            </w:pPr>
          </w:p>
        </w:tc>
        <w:tc>
          <w:tcPr>
            <w:tcW w:w="1855" w:type="dxa"/>
          </w:tcPr>
          <w:p w14:paraId="33D2F8FD">
            <w:pPr>
              <w:autoSpaceDE w:val="0"/>
              <w:autoSpaceDN w:val="0"/>
              <w:adjustRightInd w:val="0"/>
              <w:snapToGrid w:val="0"/>
              <w:jc w:val="left"/>
              <w:rPr>
                <w:rFonts w:ascii="宋体" w:hAnsi="宋体"/>
                <w:kern w:val="0"/>
                <w:sz w:val="24"/>
              </w:rPr>
            </w:pPr>
          </w:p>
        </w:tc>
        <w:tc>
          <w:tcPr>
            <w:tcW w:w="770" w:type="dxa"/>
          </w:tcPr>
          <w:p w14:paraId="264C55AD">
            <w:pPr>
              <w:autoSpaceDE w:val="0"/>
              <w:autoSpaceDN w:val="0"/>
              <w:adjustRightInd w:val="0"/>
              <w:snapToGrid w:val="0"/>
              <w:jc w:val="left"/>
              <w:rPr>
                <w:rFonts w:ascii="宋体" w:hAnsi="宋体"/>
                <w:kern w:val="0"/>
                <w:sz w:val="24"/>
              </w:rPr>
            </w:pPr>
          </w:p>
        </w:tc>
      </w:tr>
      <w:tr w14:paraId="784C915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51733E9">
            <w:pPr>
              <w:autoSpaceDE w:val="0"/>
              <w:autoSpaceDN w:val="0"/>
              <w:adjustRightInd w:val="0"/>
              <w:snapToGrid w:val="0"/>
              <w:jc w:val="left"/>
              <w:rPr>
                <w:rFonts w:ascii="宋体" w:hAnsi="宋体"/>
                <w:kern w:val="0"/>
                <w:sz w:val="24"/>
              </w:rPr>
            </w:pPr>
          </w:p>
        </w:tc>
        <w:tc>
          <w:tcPr>
            <w:tcW w:w="1219" w:type="dxa"/>
          </w:tcPr>
          <w:p w14:paraId="51CFFDB1">
            <w:pPr>
              <w:autoSpaceDE w:val="0"/>
              <w:autoSpaceDN w:val="0"/>
              <w:adjustRightInd w:val="0"/>
              <w:snapToGrid w:val="0"/>
              <w:jc w:val="left"/>
              <w:rPr>
                <w:rFonts w:ascii="宋体" w:hAnsi="宋体"/>
                <w:kern w:val="0"/>
                <w:sz w:val="24"/>
              </w:rPr>
            </w:pPr>
          </w:p>
        </w:tc>
        <w:tc>
          <w:tcPr>
            <w:tcW w:w="852" w:type="dxa"/>
          </w:tcPr>
          <w:p w14:paraId="67B54C37">
            <w:pPr>
              <w:autoSpaceDE w:val="0"/>
              <w:autoSpaceDN w:val="0"/>
              <w:adjustRightInd w:val="0"/>
              <w:snapToGrid w:val="0"/>
              <w:jc w:val="left"/>
              <w:rPr>
                <w:rFonts w:ascii="宋体" w:hAnsi="宋体"/>
                <w:kern w:val="0"/>
                <w:sz w:val="24"/>
              </w:rPr>
            </w:pPr>
          </w:p>
        </w:tc>
        <w:tc>
          <w:tcPr>
            <w:tcW w:w="1111" w:type="dxa"/>
          </w:tcPr>
          <w:p w14:paraId="0705A0A6">
            <w:pPr>
              <w:autoSpaceDE w:val="0"/>
              <w:autoSpaceDN w:val="0"/>
              <w:adjustRightInd w:val="0"/>
              <w:snapToGrid w:val="0"/>
              <w:jc w:val="left"/>
              <w:rPr>
                <w:rFonts w:ascii="宋体" w:hAnsi="宋体"/>
                <w:kern w:val="0"/>
                <w:sz w:val="24"/>
              </w:rPr>
            </w:pPr>
          </w:p>
        </w:tc>
        <w:tc>
          <w:tcPr>
            <w:tcW w:w="754" w:type="dxa"/>
          </w:tcPr>
          <w:p w14:paraId="0EEF724B">
            <w:pPr>
              <w:autoSpaceDE w:val="0"/>
              <w:autoSpaceDN w:val="0"/>
              <w:adjustRightInd w:val="0"/>
              <w:snapToGrid w:val="0"/>
              <w:jc w:val="left"/>
              <w:rPr>
                <w:rFonts w:ascii="宋体" w:hAnsi="宋体"/>
                <w:kern w:val="0"/>
                <w:sz w:val="24"/>
              </w:rPr>
            </w:pPr>
          </w:p>
        </w:tc>
        <w:tc>
          <w:tcPr>
            <w:tcW w:w="827" w:type="dxa"/>
          </w:tcPr>
          <w:p w14:paraId="2B873C4A">
            <w:pPr>
              <w:autoSpaceDE w:val="0"/>
              <w:autoSpaceDN w:val="0"/>
              <w:adjustRightInd w:val="0"/>
              <w:snapToGrid w:val="0"/>
              <w:jc w:val="left"/>
              <w:rPr>
                <w:rFonts w:ascii="宋体" w:hAnsi="宋体"/>
                <w:kern w:val="0"/>
                <w:sz w:val="24"/>
              </w:rPr>
            </w:pPr>
          </w:p>
        </w:tc>
        <w:tc>
          <w:tcPr>
            <w:tcW w:w="1359" w:type="dxa"/>
          </w:tcPr>
          <w:p w14:paraId="2725A142">
            <w:pPr>
              <w:autoSpaceDE w:val="0"/>
              <w:autoSpaceDN w:val="0"/>
              <w:adjustRightInd w:val="0"/>
              <w:snapToGrid w:val="0"/>
              <w:jc w:val="left"/>
              <w:rPr>
                <w:rFonts w:ascii="宋体" w:hAnsi="宋体"/>
                <w:kern w:val="0"/>
                <w:sz w:val="24"/>
              </w:rPr>
            </w:pPr>
          </w:p>
        </w:tc>
        <w:tc>
          <w:tcPr>
            <w:tcW w:w="1855" w:type="dxa"/>
          </w:tcPr>
          <w:p w14:paraId="7F941A63">
            <w:pPr>
              <w:autoSpaceDE w:val="0"/>
              <w:autoSpaceDN w:val="0"/>
              <w:adjustRightInd w:val="0"/>
              <w:snapToGrid w:val="0"/>
              <w:jc w:val="left"/>
              <w:rPr>
                <w:rFonts w:ascii="宋体" w:hAnsi="宋体"/>
                <w:kern w:val="0"/>
                <w:sz w:val="24"/>
              </w:rPr>
            </w:pPr>
          </w:p>
        </w:tc>
        <w:tc>
          <w:tcPr>
            <w:tcW w:w="770" w:type="dxa"/>
          </w:tcPr>
          <w:p w14:paraId="7D164B2D">
            <w:pPr>
              <w:autoSpaceDE w:val="0"/>
              <w:autoSpaceDN w:val="0"/>
              <w:adjustRightInd w:val="0"/>
              <w:snapToGrid w:val="0"/>
              <w:jc w:val="left"/>
              <w:rPr>
                <w:rFonts w:ascii="宋体" w:hAnsi="宋体"/>
                <w:kern w:val="0"/>
                <w:sz w:val="24"/>
              </w:rPr>
            </w:pPr>
          </w:p>
        </w:tc>
      </w:tr>
      <w:tr w14:paraId="7B4A87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6B289E5">
            <w:pPr>
              <w:autoSpaceDE w:val="0"/>
              <w:autoSpaceDN w:val="0"/>
              <w:adjustRightInd w:val="0"/>
              <w:snapToGrid w:val="0"/>
              <w:jc w:val="left"/>
              <w:rPr>
                <w:rFonts w:ascii="宋体" w:hAnsi="宋体"/>
                <w:kern w:val="0"/>
                <w:sz w:val="24"/>
              </w:rPr>
            </w:pPr>
          </w:p>
        </w:tc>
        <w:tc>
          <w:tcPr>
            <w:tcW w:w="1219" w:type="dxa"/>
          </w:tcPr>
          <w:p w14:paraId="28134A98">
            <w:pPr>
              <w:autoSpaceDE w:val="0"/>
              <w:autoSpaceDN w:val="0"/>
              <w:adjustRightInd w:val="0"/>
              <w:snapToGrid w:val="0"/>
              <w:jc w:val="left"/>
              <w:rPr>
                <w:rFonts w:ascii="宋体" w:hAnsi="宋体"/>
                <w:kern w:val="0"/>
                <w:sz w:val="24"/>
              </w:rPr>
            </w:pPr>
          </w:p>
        </w:tc>
        <w:tc>
          <w:tcPr>
            <w:tcW w:w="852" w:type="dxa"/>
          </w:tcPr>
          <w:p w14:paraId="4DE05394">
            <w:pPr>
              <w:autoSpaceDE w:val="0"/>
              <w:autoSpaceDN w:val="0"/>
              <w:adjustRightInd w:val="0"/>
              <w:snapToGrid w:val="0"/>
              <w:jc w:val="left"/>
              <w:rPr>
                <w:rFonts w:ascii="宋体" w:hAnsi="宋体"/>
                <w:kern w:val="0"/>
                <w:sz w:val="24"/>
              </w:rPr>
            </w:pPr>
          </w:p>
        </w:tc>
        <w:tc>
          <w:tcPr>
            <w:tcW w:w="1111" w:type="dxa"/>
          </w:tcPr>
          <w:p w14:paraId="0A3FB92D">
            <w:pPr>
              <w:autoSpaceDE w:val="0"/>
              <w:autoSpaceDN w:val="0"/>
              <w:adjustRightInd w:val="0"/>
              <w:snapToGrid w:val="0"/>
              <w:jc w:val="left"/>
              <w:rPr>
                <w:rFonts w:ascii="宋体" w:hAnsi="宋体"/>
                <w:kern w:val="0"/>
                <w:sz w:val="24"/>
              </w:rPr>
            </w:pPr>
          </w:p>
        </w:tc>
        <w:tc>
          <w:tcPr>
            <w:tcW w:w="754" w:type="dxa"/>
          </w:tcPr>
          <w:p w14:paraId="7C40E3DB">
            <w:pPr>
              <w:autoSpaceDE w:val="0"/>
              <w:autoSpaceDN w:val="0"/>
              <w:adjustRightInd w:val="0"/>
              <w:snapToGrid w:val="0"/>
              <w:jc w:val="left"/>
              <w:rPr>
                <w:rFonts w:ascii="宋体" w:hAnsi="宋体"/>
                <w:kern w:val="0"/>
                <w:sz w:val="24"/>
              </w:rPr>
            </w:pPr>
          </w:p>
        </w:tc>
        <w:tc>
          <w:tcPr>
            <w:tcW w:w="827" w:type="dxa"/>
          </w:tcPr>
          <w:p w14:paraId="6B48FC85">
            <w:pPr>
              <w:autoSpaceDE w:val="0"/>
              <w:autoSpaceDN w:val="0"/>
              <w:adjustRightInd w:val="0"/>
              <w:snapToGrid w:val="0"/>
              <w:jc w:val="left"/>
              <w:rPr>
                <w:rFonts w:ascii="宋体" w:hAnsi="宋体"/>
                <w:kern w:val="0"/>
                <w:sz w:val="24"/>
              </w:rPr>
            </w:pPr>
          </w:p>
        </w:tc>
        <w:tc>
          <w:tcPr>
            <w:tcW w:w="1359" w:type="dxa"/>
          </w:tcPr>
          <w:p w14:paraId="24823E6F">
            <w:pPr>
              <w:autoSpaceDE w:val="0"/>
              <w:autoSpaceDN w:val="0"/>
              <w:adjustRightInd w:val="0"/>
              <w:snapToGrid w:val="0"/>
              <w:jc w:val="left"/>
              <w:rPr>
                <w:rFonts w:ascii="宋体" w:hAnsi="宋体"/>
                <w:kern w:val="0"/>
                <w:sz w:val="24"/>
              </w:rPr>
            </w:pPr>
          </w:p>
        </w:tc>
        <w:tc>
          <w:tcPr>
            <w:tcW w:w="1855" w:type="dxa"/>
          </w:tcPr>
          <w:p w14:paraId="5BE4B669">
            <w:pPr>
              <w:autoSpaceDE w:val="0"/>
              <w:autoSpaceDN w:val="0"/>
              <w:adjustRightInd w:val="0"/>
              <w:snapToGrid w:val="0"/>
              <w:jc w:val="left"/>
              <w:rPr>
                <w:rFonts w:ascii="宋体" w:hAnsi="宋体"/>
                <w:kern w:val="0"/>
                <w:sz w:val="24"/>
              </w:rPr>
            </w:pPr>
          </w:p>
        </w:tc>
        <w:tc>
          <w:tcPr>
            <w:tcW w:w="770" w:type="dxa"/>
          </w:tcPr>
          <w:p w14:paraId="510C5C9F">
            <w:pPr>
              <w:autoSpaceDE w:val="0"/>
              <w:autoSpaceDN w:val="0"/>
              <w:adjustRightInd w:val="0"/>
              <w:snapToGrid w:val="0"/>
              <w:jc w:val="left"/>
              <w:rPr>
                <w:rFonts w:ascii="宋体" w:hAnsi="宋体"/>
                <w:kern w:val="0"/>
                <w:sz w:val="24"/>
              </w:rPr>
            </w:pPr>
          </w:p>
        </w:tc>
      </w:tr>
      <w:tr w14:paraId="4A4CB99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1492743">
            <w:pPr>
              <w:autoSpaceDE w:val="0"/>
              <w:autoSpaceDN w:val="0"/>
              <w:adjustRightInd w:val="0"/>
              <w:snapToGrid w:val="0"/>
              <w:jc w:val="left"/>
              <w:rPr>
                <w:rFonts w:ascii="宋体" w:hAnsi="宋体"/>
                <w:kern w:val="0"/>
                <w:sz w:val="24"/>
              </w:rPr>
            </w:pPr>
          </w:p>
        </w:tc>
        <w:tc>
          <w:tcPr>
            <w:tcW w:w="1219" w:type="dxa"/>
          </w:tcPr>
          <w:p w14:paraId="660E4A52">
            <w:pPr>
              <w:autoSpaceDE w:val="0"/>
              <w:autoSpaceDN w:val="0"/>
              <w:adjustRightInd w:val="0"/>
              <w:snapToGrid w:val="0"/>
              <w:jc w:val="left"/>
              <w:rPr>
                <w:rFonts w:ascii="宋体" w:hAnsi="宋体"/>
                <w:kern w:val="0"/>
                <w:sz w:val="24"/>
              </w:rPr>
            </w:pPr>
          </w:p>
        </w:tc>
        <w:tc>
          <w:tcPr>
            <w:tcW w:w="852" w:type="dxa"/>
          </w:tcPr>
          <w:p w14:paraId="3D6A3B5C">
            <w:pPr>
              <w:autoSpaceDE w:val="0"/>
              <w:autoSpaceDN w:val="0"/>
              <w:adjustRightInd w:val="0"/>
              <w:snapToGrid w:val="0"/>
              <w:jc w:val="left"/>
              <w:rPr>
                <w:rFonts w:ascii="宋体" w:hAnsi="宋体"/>
                <w:kern w:val="0"/>
                <w:sz w:val="24"/>
              </w:rPr>
            </w:pPr>
          </w:p>
        </w:tc>
        <w:tc>
          <w:tcPr>
            <w:tcW w:w="1111" w:type="dxa"/>
          </w:tcPr>
          <w:p w14:paraId="30B08728">
            <w:pPr>
              <w:autoSpaceDE w:val="0"/>
              <w:autoSpaceDN w:val="0"/>
              <w:adjustRightInd w:val="0"/>
              <w:snapToGrid w:val="0"/>
              <w:jc w:val="left"/>
              <w:rPr>
                <w:rFonts w:ascii="宋体" w:hAnsi="宋体"/>
                <w:kern w:val="0"/>
                <w:sz w:val="24"/>
              </w:rPr>
            </w:pPr>
          </w:p>
        </w:tc>
        <w:tc>
          <w:tcPr>
            <w:tcW w:w="754" w:type="dxa"/>
          </w:tcPr>
          <w:p w14:paraId="435C0733">
            <w:pPr>
              <w:autoSpaceDE w:val="0"/>
              <w:autoSpaceDN w:val="0"/>
              <w:adjustRightInd w:val="0"/>
              <w:snapToGrid w:val="0"/>
              <w:jc w:val="left"/>
              <w:rPr>
                <w:rFonts w:ascii="宋体" w:hAnsi="宋体"/>
                <w:kern w:val="0"/>
                <w:sz w:val="24"/>
              </w:rPr>
            </w:pPr>
          </w:p>
        </w:tc>
        <w:tc>
          <w:tcPr>
            <w:tcW w:w="827" w:type="dxa"/>
          </w:tcPr>
          <w:p w14:paraId="52ECE666">
            <w:pPr>
              <w:autoSpaceDE w:val="0"/>
              <w:autoSpaceDN w:val="0"/>
              <w:adjustRightInd w:val="0"/>
              <w:snapToGrid w:val="0"/>
              <w:jc w:val="left"/>
              <w:rPr>
                <w:rFonts w:ascii="宋体" w:hAnsi="宋体"/>
                <w:kern w:val="0"/>
                <w:sz w:val="24"/>
              </w:rPr>
            </w:pPr>
          </w:p>
        </w:tc>
        <w:tc>
          <w:tcPr>
            <w:tcW w:w="1359" w:type="dxa"/>
          </w:tcPr>
          <w:p w14:paraId="255603E8">
            <w:pPr>
              <w:autoSpaceDE w:val="0"/>
              <w:autoSpaceDN w:val="0"/>
              <w:adjustRightInd w:val="0"/>
              <w:snapToGrid w:val="0"/>
              <w:jc w:val="left"/>
              <w:rPr>
                <w:rFonts w:ascii="宋体" w:hAnsi="宋体"/>
                <w:kern w:val="0"/>
                <w:sz w:val="24"/>
              </w:rPr>
            </w:pPr>
          </w:p>
        </w:tc>
        <w:tc>
          <w:tcPr>
            <w:tcW w:w="1855" w:type="dxa"/>
          </w:tcPr>
          <w:p w14:paraId="588830B7">
            <w:pPr>
              <w:autoSpaceDE w:val="0"/>
              <w:autoSpaceDN w:val="0"/>
              <w:adjustRightInd w:val="0"/>
              <w:snapToGrid w:val="0"/>
              <w:jc w:val="left"/>
              <w:rPr>
                <w:rFonts w:ascii="宋体" w:hAnsi="宋体"/>
                <w:kern w:val="0"/>
                <w:sz w:val="24"/>
              </w:rPr>
            </w:pPr>
          </w:p>
        </w:tc>
        <w:tc>
          <w:tcPr>
            <w:tcW w:w="770" w:type="dxa"/>
          </w:tcPr>
          <w:p w14:paraId="5FD91675">
            <w:pPr>
              <w:autoSpaceDE w:val="0"/>
              <w:autoSpaceDN w:val="0"/>
              <w:adjustRightInd w:val="0"/>
              <w:snapToGrid w:val="0"/>
              <w:jc w:val="left"/>
              <w:rPr>
                <w:rFonts w:ascii="宋体" w:hAnsi="宋体"/>
                <w:kern w:val="0"/>
                <w:sz w:val="24"/>
              </w:rPr>
            </w:pPr>
          </w:p>
        </w:tc>
      </w:tr>
      <w:tr w14:paraId="74C192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58DC2CAE">
            <w:pPr>
              <w:autoSpaceDE w:val="0"/>
              <w:autoSpaceDN w:val="0"/>
              <w:adjustRightInd w:val="0"/>
              <w:snapToGrid w:val="0"/>
              <w:jc w:val="left"/>
              <w:rPr>
                <w:rFonts w:ascii="宋体" w:hAnsi="宋体"/>
                <w:kern w:val="0"/>
                <w:sz w:val="24"/>
              </w:rPr>
            </w:pPr>
          </w:p>
        </w:tc>
        <w:tc>
          <w:tcPr>
            <w:tcW w:w="1219" w:type="dxa"/>
          </w:tcPr>
          <w:p w14:paraId="1CC281CE">
            <w:pPr>
              <w:autoSpaceDE w:val="0"/>
              <w:autoSpaceDN w:val="0"/>
              <w:adjustRightInd w:val="0"/>
              <w:snapToGrid w:val="0"/>
              <w:jc w:val="left"/>
              <w:rPr>
                <w:rFonts w:ascii="宋体" w:hAnsi="宋体"/>
                <w:kern w:val="0"/>
                <w:sz w:val="24"/>
              </w:rPr>
            </w:pPr>
          </w:p>
        </w:tc>
        <w:tc>
          <w:tcPr>
            <w:tcW w:w="852" w:type="dxa"/>
          </w:tcPr>
          <w:p w14:paraId="2339CECE">
            <w:pPr>
              <w:autoSpaceDE w:val="0"/>
              <w:autoSpaceDN w:val="0"/>
              <w:adjustRightInd w:val="0"/>
              <w:snapToGrid w:val="0"/>
              <w:jc w:val="left"/>
              <w:rPr>
                <w:rFonts w:ascii="宋体" w:hAnsi="宋体"/>
                <w:kern w:val="0"/>
                <w:sz w:val="24"/>
              </w:rPr>
            </w:pPr>
          </w:p>
        </w:tc>
        <w:tc>
          <w:tcPr>
            <w:tcW w:w="1111" w:type="dxa"/>
          </w:tcPr>
          <w:p w14:paraId="57A12A28">
            <w:pPr>
              <w:autoSpaceDE w:val="0"/>
              <w:autoSpaceDN w:val="0"/>
              <w:adjustRightInd w:val="0"/>
              <w:snapToGrid w:val="0"/>
              <w:jc w:val="left"/>
              <w:rPr>
                <w:rFonts w:ascii="宋体" w:hAnsi="宋体"/>
                <w:kern w:val="0"/>
                <w:sz w:val="24"/>
              </w:rPr>
            </w:pPr>
          </w:p>
        </w:tc>
        <w:tc>
          <w:tcPr>
            <w:tcW w:w="754" w:type="dxa"/>
          </w:tcPr>
          <w:p w14:paraId="521DB952">
            <w:pPr>
              <w:autoSpaceDE w:val="0"/>
              <w:autoSpaceDN w:val="0"/>
              <w:adjustRightInd w:val="0"/>
              <w:snapToGrid w:val="0"/>
              <w:jc w:val="left"/>
              <w:rPr>
                <w:rFonts w:ascii="宋体" w:hAnsi="宋体"/>
                <w:kern w:val="0"/>
                <w:sz w:val="24"/>
              </w:rPr>
            </w:pPr>
          </w:p>
        </w:tc>
        <w:tc>
          <w:tcPr>
            <w:tcW w:w="827" w:type="dxa"/>
          </w:tcPr>
          <w:p w14:paraId="693384A8">
            <w:pPr>
              <w:autoSpaceDE w:val="0"/>
              <w:autoSpaceDN w:val="0"/>
              <w:adjustRightInd w:val="0"/>
              <w:snapToGrid w:val="0"/>
              <w:jc w:val="left"/>
              <w:rPr>
                <w:rFonts w:ascii="宋体" w:hAnsi="宋体"/>
                <w:kern w:val="0"/>
                <w:sz w:val="24"/>
              </w:rPr>
            </w:pPr>
          </w:p>
        </w:tc>
        <w:tc>
          <w:tcPr>
            <w:tcW w:w="1359" w:type="dxa"/>
          </w:tcPr>
          <w:p w14:paraId="748C065C">
            <w:pPr>
              <w:autoSpaceDE w:val="0"/>
              <w:autoSpaceDN w:val="0"/>
              <w:adjustRightInd w:val="0"/>
              <w:snapToGrid w:val="0"/>
              <w:jc w:val="left"/>
              <w:rPr>
                <w:rFonts w:ascii="宋体" w:hAnsi="宋体"/>
                <w:kern w:val="0"/>
                <w:sz w:val="24"/>
              </w:rPr>
            </w:pPr>
          </w:p>
        </w:tc>
        <w:tc>
          <w:tcPr>
            <w:tcW w:w="1855" w:type="dxa"/>
          </w:tcPr>
          <w:p w14:paraId="393E1A7D">
            <w:pPr>
              <w:autoSpaceDE w:val="0"/>
              <w:autoSpaceDN w:val="0"/>
              <w:adjustRightInd w:val="0"/>
              <w:snapToGrid w:val="0"/>
              <w:jc w:val="left"/>
              <w:rPr>
                <w:rFonts w:ascii="宋体" w:hAnsi="宋体"/>
                <w:kern w:val="0"/>
                <w:sz w:val="24"/>
              </w:rPr>
            </w:pPr>
          </w:p>
        </w:tc>
        <w:tc>
          <w:tcPr>
            <w:tcW w:w="770" w:type="dxa"/>
          </w:tcPr>
          <w:p w14:paraId="0AB6FB8A">
            <w:pPr>
              <w:autoSpaceDE w:val="0"/>
              <w:autoSpaceDN w:val="0"/>
              <w:adjustRightInd w:val="0"/>
              <w:snapToGrid w:val="0"/>
              <w:jc w:val="left"/>
              <w:rPr>
                <w:rFonts w:ascii="宋体" w:hAnsi="宋体"/>
                <w:kern w:val="0"/>
                <w:sz w:val="24"/>
              </w:rPr>
            </w:pPr>
          </w:p>
        </w:tc>
      </w:tr>
      <w:tr w14:paraId="6C6907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3CCB42A0">
            <w:pPr>
              <w:autoSpaceDE w:val="0"/>
              <w:autoSpaceDN w:val="0"/>
              <w:adjustRightInd w:val="0"/>
              <w:snapToGrid w:val="0"/>
              <w:jc w:val="left"/>
              <w:rPr>
                <w:rFonts w:ascii="宋体" w:hAnsi="宋体"/>
                <w:kern w:val="0"/>
                <w:sz w:val="24"/>
              </w:rPr>
            </w:pPr>
          </w:p>
        </w:tc>
        <w:tc>
          <w:tcPr>
            <w:tcW w:w="1219" w:type="dxa"/>
          </w:tcPr>
          <w:p w14:paraId="5047088A">
            <w:pPr>
              <w:autoSpaceDE w:val="0"/>
              <w:autoSpaceDN w:val="0"/>
              <w:adjustRightInd w:val="0"/>
              <w:snapToGrid w:val="0"/>
              <w:jc w:val="left"/>
              <w:rPr>
                <w:rFonts w:ascii="宋体" w:hAnsi="宋体"/>
                <w:kern w:val="0"/>
                <w:sz w:val="24"/>
              </w:rPr>
            </w:pPr>
          </w:p>
        </w:tc>
        <w:tc>
          <w:tcPr>
            <w:tcW w:w="852" w:type="dxa"/>
          </w:tcPr>
          <w:p w14:paraId="403AE54B">
            <w:pPr>
              <w:autoSpaceDE w:val="0"/>
              <w:autoSpaceDN w:val="0"/>
              <w:adjustRightInd w:val="0"/>
              <w:snapToGrid w:val="0"/>
              <w:jc w:val="left"/>
              <w:rPr>
                <w:rFonts w:ascii="宋体" w:hAnsi="宋体"/>
                <w:kern w:val="0"/>
                <w:sz w:val="24"/>
              </w:rPr>
            </w:pPr>
          </w:p>
        </w:tc>
        <w:tc>
          <w:tcPr>
            <w:tcW w:w="1111" w:type="dxa"/>
          </w:tcPr>
          <w:p w14:paraId="77A5A50C">
            <w:pPr>
              <w:autoSpaceDE w:val="0"/>
              <w:autoSpaceDN w:val="0"/>
              <w:adjustRightInd w:val="0"/>
              <w:snapToGrid w:val="0"/>
              <w:jc w:val="left"/>
              <w:rPr>
                <w:rFonts w:ascii="宋体" w:hAnsi="宋体"/>
                <w:kern w:val="0"/>
                <w:sz w:val="24"/>
              </w:rPr>
            </w:pPr>
          </w:p>
        </w:tc>
        <w:tc>
          <w:tcPr>
            <w:tcW w:w="754" w:type="dxa"/>
          </w:tcPr>
          <w:p w14:paraId="7909601D">
            <w:pPr>
              <w:autoSpaceDE w:val="0"/>
              <w:autoSpaceDN w:val="0"/>
              <w:adjustRightInd w:val="0"/>
              <w:snapToGrid w:val="0"/>
              <w:jc w:val="left"/>
              <w:rPr>
                <w:rFonts w:ascii="宋体" w:hAnsi="宋体"/>
                <w:kern w:val="0"/>
                <w:sz w:val="24"/>
              </w:rPr>
            </w:pPr>
          </w:p>
        </w:tc>
        <w:tc>
          <w:tcPr>
            <w:tcW w:w="827" w:type="dxa"/>
          </w:tcPr>
          <w:p w14:paraId="676C2208">
            <w:pPr>
              <w:autoSpaceDE w:val="0"/>
              <w:autoSpaceDN w:val="0"/>
              <w:adjustRightInd w:val="0"/>
              <w:snapToGrid w:val="0"/>
              <w:jc w:val="left"/>
              <w:rPr>
                <w:rFonts w:ascii="宋体" w:hAnsi="宋体"/>
                <w:kern w:val="0"/>
                <w:sz w:val="24"/>
              </w:rPr>
            </w:pPr>
          </w:p>
        </w:tc>
        <w:tc>
          <w:tcPr>
            <w:tcW w:w="1359" w:type="dxa"/>
          </w:tcPr>
          <w:p w14:paraId="481B8C08">
            <w:pPr>
              <w:autoSpaceDE w:val="0"/>
              <w:autoSpaceDN w:val="0"/>
              <w:adjustRightInd w:val="0"/>
              <w:snapToGrid w:val="0"/>
              <w:jc w:val="left"/>
              <w:rPr>
                <w:rFonts w:ascii="宋体" w:hAnsi="宋体"/>
                <w:kern w:val="0"/>
                <w:sz w:val="24"/>
              </w:rPr>
            </w:pPr>
          </w:p>
        </w:tc>
        <w:tc>
          <w:tcPr>
            <w:tcW w:w="1855" w:type="dxa"/>
          </w:tcPr>
          <w:p w14:paraId="7A73B1CD">
            <w:pPr>
              <w:autoSpaceDE w:val="0"/>
              <w:autoSpaceDN w:val="0"/>
              <w:adjustRightInd w:val="0"/>
              <w:snapToGrid w:val="0"/>
              <w:jc w:val="left"/>
              <w:rPr>
                <w:rFonts w:ascii="宋体" w:hAnsi="宋体"/>
                <w:kern w:val="0"/>
                <w:sz w:val="24"/>
              </w:rPr>
            </w:pPr>
          </w:p>
        </w:tc>
        <w:tc>
          <w:tcPr>
            <w:tcW w:w="770" w:type="dxa"/>
          </w:tcPr>
          <w:p w14:paraId="02E8C82A">
            <w:pPr>
              <w:autoSpaceDE w:val="0"/>
              <w:autoSpaceDN w:val="0"/>
              <w:adjustRightInd w:val="0"/>
              <w:snapToGrid w:val="0"/>
              <w:jc w:val="left"/>
              <w:rPr>
                <w:rFonts w:ascii="宋体" w:hAnsi="宋体"/>
                <w:kern w:val="0"/>
                <w:sz w:val="24"/>
              </w:rPr>
            </w:pPr>
          </w:p>
        </w:tc>
      </w:tr>
      <w:tr w14:paraId="48153F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06A078E9">
            <w:pPr>
              <w:autoSpaceDE w:val="0"/>
              <w:autoSpaceDN w:val="0"/>
              <w:adjustRightInd w:val="0"/>
              <w:snapToGrid w:val="0"/>
              <w:jc w:val="left"/>
              <w:rPr>
                <w:rFonts w:ascii="宋体" w:hAnsi="宋体"/>
                <w:kern w:val="0"/>
                <w:sz w:val="24"/>
              </w:rPr>
            </w:pPr>
          </w:p>
        </w:tc>
        <w:tc>
          <w:tcPr>
            <w:tcW w:w="1219" w:type="dxa"/>
          </w:tcPr>
          <w:p w14:paraId="2CB13D67">
            <w:pPr>
              <w:autoSpaceDE w:val="0"/>
              <w:autoSpaceDN w:val="0"/>
              <w:adjustRightInd w:val="0"/>
              <w:snapToGrid w:val="0"/>
              <w:jc w:val="left"/>
              <w:rPr>
                <w:rFonts w:ascii="宋体" w:hAnsi="宋体"/>
                <w:kern w:val="0"/>
                <w:sz w:val="24"/>
              </w:rPr>
            </w:pPr>
          </w:p>
        </w:tc>
        <w:tc>
          <w:tcPr>
            <w:tcW w:w="852" w:type="dxa"/>
          </w:tcPr>
          <w:p w14:paraId="6C8A2DA7">
            <w:pPr>
              <w:autoSpaceDE w:val="0"/>
              <w:autoSpaceDN w:val="0"/>
              <w:adjustRightInd w:val="0"/>
              <w:snapToGrid w:val="0"/>
              <w:jc w:val="left"/>
              <w:rPr>
                <w:rFonts w:ascii="宋体" w:hAnsi="宋体"/>
                <w:kern w:val="0"/>
                <w:sz w:val="24"/>
              </w:rPr>
            </w:pPr>
          </w:p>
        </w:tc>
        <w:tc>
          <w:tcPr>
            <w:tcW w:w="1111" w:type="dxa"/>
          </w:tcPr>
          <w:p w14:paraId="1D13053F">
            <w:pPr>
              <w:autoSpaceDE w:val="0"/>
              <w:autoSpaceDN w:val="0"/>
              <w:adjustRightInd w:val="0"/>
              <w:snapToGrid w:val="0"/>
              <w:jc w:val="left"/>
              <w:rPr>
                <w:rFonts w:ascii="宋体" w:hAnsi="宋体"/>
                <w:kern w:val="0"/>
                <w:sz w:val="24"/>
              </w:rPr>
            </w:pPr>
          </w:p>
        </w:tc>
        <w:tc>
          <w:tcPr>
            <w:tcW w:w="754" w:type="dxa"/>
          </w:tcPr>
          <w:p w14:paraId="1A4352E1">
            <w:pPr>
              <w:autoSpaceDE w:val="0"/>
              <w:autoSpaceDN w:val="0"/>
              <w:adjustRightInd w:val="0"/>
              <w:snapToGrid w:val="0"/>
              <w:jc w:val="left"/>
              <w:rPr>
                <w:rFonts w:ascii="宋体" w:hAnsi="宋体"/>
                <w:kern w:val="0"/>
                <w:sz w:val="24"/>
              </w:rPr>
            </w:pPr>
          </w:p>
        </w:tc>
        <w:tc>
          <w:tcPr>
            <w:tcW w:w="827" w:type="dxa"/>
          </w:tcPr>
          <w:p w14:paraId="383210C6">
            <w:pPr>
              <w:autoSpaceDE w:val="0"/>
              <w:autoSpaceDN w:val="0"/>
              <w:adjustRightInd w:val="0"/>
              <w:snapToGrid w:val="0"/>
              <w:jc w:val="left"/>
              <w:rPr>
                <w:rFonts w:ascii="宋体" w:hAnsi="宋体"/>
                <w:kern w:val="0"/>
                <w:sz w:val="24"/>
              </w:rPr>
            </w:pPr>
          </w:p>
        </w:tc>
        <w:tc>
          <w:tcPr>
            <w:tcW w:w="1359" w:type="dxa"/>
          </w:tcPr>
          <w:p w14:paraId="3E9B9DE9">
            <w:pPr>
              <w:autoSpaceDE w:val="0"/>
              <w:autoSpaceDN w:val="0"/>
              <w:adjustRightInd w:val="0"/>
              <w:snapToGrid w:val="0"/>
              <w:jc w:val="left"/>
              <w:rPr>
                <w:rFonts w:ascii="宋体" w:hAnsi="宋体"/>
                <w:kern w:val="0"/>
                <w:sz w:val="24"/>
              </w:rPr>
            </w:pPr>
          </w:p>
        </w:tc>
        <w:tc>
          <w:tcPr>
            <w:tcW w:w="1855" w:type="dxa"/>
          </w:tcPr>
          <w:p w14:paraId="10D28641">
            <w:pPr>
              <w:autoSpaceDE w:val="0"/>
              <w:autoSpaceDN w:val="0"/>
              <w:adjustRightInd w:val="0"/>
              <w:snapToGrid w:val="0"/>
              <w:jc w:val="left"/>
              <w:rPr>
                <w:rFonts w:ascii="宋体" w:hAnsi="宋体"/>
                <w:kern w:val="0"/>
                <w:sz w:val="24"/>
              </w:rPr>
            </w:pPr>
          </w:p>
        </w:tc>
        <w:tc>
          <w:tcPr>
            <w:tcW w:w="770" w:type="dxa"/>
          </w:tcPr>
          <w:p w14:paraId="6FC6E89E">
            <w:pPr>
              <w:autoSpaceDE w:val="0"/>
              <w:autoSpaceDN w:val="0"/>
              <w:adjustRightInd w:val="0"/>
              <w:snapToGrid w:val="0"/>
              <w:jc w:val="left"/>
              <w:rPr>
                <w:rFonts w:ascii="宋体" w:hAnsi="宋体"/>
                <w:kern w:val="0"/>
                <w:sz w:val="24"/>
              </w:rPr>
            </w:pPr>
          </w:p>
        </w:tc>
      </w:tr>
      <w:tr w14:paraId="14AB45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2FA9476B">
            <w:pPr>
              <w:autoSpaceDE w:val="0"/>
              <w:autoSpaceDN w:val="0"/>
              <w:adjustRightInd w:val="0"/>
              <w:snapToGrid w:val="0"/>
              <w:jc w:val="left"/>
              <w:rPr>
                <w:rFonts w:ascii="宋体" w:hAnsi="宋体"/>
                <w:kern w:val="0"/>
                <w:sz w:val="24"/>
              </w:rPr>
            </w:pPr>
          </w:p>
        </w:tc>
        <w:tc>
          <w:tcPr>
            <w:tcW w:w="1219" w:type="dxa"/>
          </w:tcPr>
          <w:p w14:paraId="53F5899C">
            <w:pPr>
              <w:autoSpaceDE w:val="0"/>
              <w:autoSpaceDN w:val="0"/>
              <w:adjustRightInd w:val="0"/>
              <w:snapToGrid w:val="0"/>
              <w:jc w:val="left"/>
              <w:rPr>
                <w:rFonts w:ascii="宋体" w:hAnsi="宋体"/>
                <w:kern w:val="0"/>
                <w:sz w:val="24"/>
              </w:rPr>
            </w:pPr>
          </w:p>
        </w:tc>
        <w:tc>
          <w:tcPr>
            <w:tcW w:w="852" w:type="dxa"/>
          </w:tcPr>
          <w:p w14:paraId="258B2C2A">
            <w:pPr>
              <w:autoSpaceDE w:val="0"/>
              <w:autoSpaceDN w:val="0"/>
              <w:adjustRightInd w:val="0"/>
              <w:snapToGrid w:val="0"/>
              <w:jc w:val="left"/>
              <w:rPr>
                <w:rFonts w:ascii="宋体" w:hAnsi="宋体"/>
                <w:kern w:val="0"/>
                <w:sz w:val="24"/>
              </w:rPr>
            </w:pPr>
          </w:p>
        </w:tc>
        <w:tc>
          <w:tcPr>
            <w:tcW w:w="1111" w:type="dxa"/>
          </w:tcPr>
          <w:p w14:paraId="38A74889">
            <w:pPr>
              <w:autoSpaceDE w:val="0"/>
              <w:autoSpaceDN w:val="0"/>
              <w:adjustRightInd w:val="0"/>
              <w:snapToGrid w:val="0"/>
              <w:jc w:val="left"/>
              <w:rPr>
                <w:rFonts w:ascii="宋体" w:hAnsi="宋体"/>
                <w:kern w:val="0"/>
                <w:sz w:val="24"/>
              </w:rPr>
            </w:pPr>
          </w:p>
        </w:tc>
        <w:tc>
          <w:tcPr>
            <w:tcW w:w="754" w:type="dxa"/>
          </w:tcPr>
          <w:p w14:paraId="41E36906">
            <w:pPr>
              <w:autoSpaceDE w:val="0"/>
              <w:autoSpaceDN w:val="0"/>
              <w:adjustRightInd w:val="0"/>
              <w:snapToGrid w:val="0"/>
              <w:jc w:val="left"/>
              <w:rPr>
                <w:rFonts w:ascii="宋体" w:hAnsi="宋体"/>
                <w:kern w:val="0"/>
                <w:sz w:val="24"/>
              </w:rPr>
            </w:pPr>
          </w:p>
        </w:tc>
        <w:tc>
          <w:tcPr>
            <w:tcW w:w="827" w:type="dxa"/>
          </w:tcPr>
          <w:p w14:paraId="16F63720">
            <w:pPr>
              <w:autoSpaceDE w:val="0"/>
              <w:autoSpaceDN w:val="0"/>
              <w:adjustRightInd w:val="0"/>
              <w:snapToGrid w:val="0"/>
              <w:jc w:val="left"/>
              <w:rPr>
                <w:rFonts w:ascii="宋体" w:hAnsi="宋体"/>
                <w:kern w:val="0"/>
                <w:sz w:val="24"/>
              </w:rPr>
            </w:pPr>
          </w:p>
        </w:tc>
        <w:tc>
          <w:tcPr>
            <w:tcW w:w="1359" w:type="dxa"/>
          </w:tcPr>
          <w:p w14:paraId="044A68A8">
            <w:pPr>
              <w:autoSpaceDE w:val="0"/>
              <w:autoSpaceDN w:val="0"/>
              <w:adjustRightInd w:val="0"/>
              <w:snapToGrid w:val="0"/>
              <w:jc w:val="left"/>
              <w:rPr>
                <w:rFonts w:ascii="宋体" w:hAnsi="宋体"/>
                <w:kern w:val="0"/>
                <w:sz w:val="24"/>
              </w:rPr>
            </w:pPr>
          </w:p>
        </w:tc>
        <w:tc>
          <w:tcPr>
            <w:tcW w:w="1855" w:type="dxa"/>
          </w:tcPr>
          <w:p w14:paraId="17EFD67D">
            <w:pPr>
              <w:autoSpaceDE w:val="0"/>
              <w:autoSpaceDN w:val="0"/>
              <w:adjustRightInd w:val="0"/>
              <w:snapToGrid w:val="0"/>
              <w:jc w:val="left"/>
              <w:rPr>
                <w:rFonts w:ascii="宋体" w:hAnsi="宋体"/>
                <w:kern w:val="0"/>
                <w:sz w:val="24"/>
              </w:rPr>
            </w:pPr>
          </w:p>
        </w:tc>
        <w:tc>
          <w:tcPr>
            <w:tcW w:w="770" w:type="dxa"/>
          </w:tcPr>
          <w:p w14:paraId="4AAAAFC3">
            <w:pPr>
              <w:autoSpaceDE w:val="0"/>
              <w:autoSpaceDN w:val="0"/>
              <w:adjustRightInd w:val="0"/>
              <w:snapToGrid w:val="0"/>
              <w:jc w:val="left"/>
              <w:rPr>
                <w:rFonts w:ascii="宋体" w:hAnsi="宋体"/>
                <w:kern w:val="0"/>
                <w:sz w:val="24"/>
              </w:rPr>
            </w:pPr>
          </w:p>
        </w:tc>
      </w:tr>
      <w:tr w14:paraId="032270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3" w:hRule="exact"/>
        </w:trPr>
        <w:tc>
          <w:tcPr>
            <w:tcW w:w="747" w:type="dxa"/>
          </w:tcPr>
          <w:p w14:paraId="6B4B6AED">
            <w:pPr>
              <w:autoSpaceDE w:val="0"/>
              <w:autoSpaceDN w:val="0"/>
              <w:adjustRightInd w:val="0"/>
              <w:snapToGrid w:val="0"/>
              <w:jc w:val="left"/>
              <w:rPr>
                <w:rFonts w:ascii="宋体" w:hAnsi="宋体"/>
                <w:kern w:val="0"/>
                <w:sz w:val="24"/>
              </w:rPr>
            </w:pPr>
          </w:p>
        </w:tc>
        <w:tc>
          <w:tcPr>
            <w:tcW w:w="1219" w:type="dxa"/>
          </w:tcPr>
          <w:p w14:paraId="04988A0C">
            <w:pPr>
              <w:autoSpaceDE w:val="0"/>
              <w:autoSpaceDN w:val="0"/>
              <w:adjustRightInd w:val="0"/>
              <w:snapToGrid w:val="0"/>
              <w:jc w:val="left"/>
              <w:rPr>
                <w:rFonts w:ascii="宋体" w:hAnsi="宋体"/>
                <w:kern w:val="0"/>
                <w:sz w:val="24"/>
              </w:rPr>
            </w:pPr>
          </w:p>
        </w:tc>
        <w:tc>
          <w:tcPr>
            <w:tcW w:w="852" w:type="dxa"/>
          </w:tcPr>
          <w:p w14:paraId="1FC237DF">
            <w:pPr>
              <w:autoSpaceDE w:val="0"/>
              <w:autoSpaceDN w:val="0"/>
              <w:adjustRightInd w:val="0"/>
              <w:snapToGrid w:val="0"/>
              <w:jc w:val="left"/>
              <w:rPr>
                <w:rFonts w:ascii="宋体" w:hAnsi="宋体"/>
                <w:kern w:val="0"/>
                <w:sz w:val="24"/>
              </w:rPr>
            </w:pPr>
          </w:p>
        </w:tc>
        <w:tc>
          <w:tcPr>
            <w:tcW w:w="1111" w:type="dxa"/>
          </w:tcPr>
          <w:p w14:paraId="6851D6E5">
            <w:pPr>
              <w:autoSpaceDE w:val="0"/>
              <w:autoSpaceDN w:val="0"/>
              <w:adjustRightInd w:val="0"/>
              <w:snapToGrid w:val="0"/>
              <w:jc w:val="left"/>
              <w:rPr>
                <w:rFonts w:ascii="宋体" w:hAnsi="宋体"/>
                <w:kern w:val="0"/>
                <w:sz w:val="24"/>
              </w:rPr>
            </w:pPr>
          </w:p>
        </w:tc>
        <w:tc>
          <w:tcPr>
            <w:tcW w:w="754" w:type="dxa"/>
          </w:tcPr>
          <w:p w14:paraId="4F877457">
            <w:pPr>
              <w:autoSpaceDE w:val="0"/>
              <w:autoSpaceDN w:val="0"/>
              <w:adjustRightInd w:val="0"/>
              <w:snapToGrid w:val="0"/>
              <w:jc w:val="left"/>
              <w:rPr>
                <w:rFonts w:ascii="宋体" w:hAnsi="宋体"/>
                <w:kern w:val="0"/>
                <w:sz w:val="24"/>
              </w:rPr>
            </w:pPr>
          </w:p>
        </w:tc>
        <w:tc>
          <w:tcPr>
            <w:tcW w:w="827" w:type="dxa"/>
          </w:tcPr>
          <w:p w14:paraId="3A4C5589">
            <w:pPr>
              <w:autoSpaceDE w:val="0"/>
              <w:autoSpaceDN w:val="0"/>
              <w:adjustRightInd w:val="0"/>
              <w:snapToGrid w:val="0"/>
              <w:jc w:val="left"/>
              <w:rPr>
                <w:rFonts w:ascii="宋体" w:hAnsi="宋体"/>
                <w:kern w:val="0"/>
                <w:sz w:val="24"/>
              </w:rPr>
            </w:pPr>
          </w:p>
        </w:tc>
        <w:tc>
          <w:tcPr>
            <w:tcW w:w="1359" w:type="dxa"/>
          </w:tcPr>
          <w:p w14:paraId="60F9F913">
            <w:pPr>
              <w:autoSpaceDE w:val="0"/>
              <w:autoSpaceDN w:val="0"/>
              <w:adjustRightInd w:val="0"/>
              <w:snapToGrid w:val="0"/>
              <w:jc w:val="left"/>
              <w:rPr>
                <w:rFonts w:ascii="宋体" w:hAnsi="宋体"/>
                <w:kern w:val="0"/>
                <w:sz w:val="24"/>
              </w:rPr>
            </w:pPr>
          </w:p>
        </w:tc>
        <w:tc>
          <w:tcPr>
            <w:tcW w:w="1855" w:type="dxa"/>
          </w:tcPr>
          <w:p w14:paraId="261F63D6">
            <w:pPr>
              <w:autoSpaceDE w:val="0"/>
              <w:autoSpaceDN w:val="0"/>
              <w:adjustRightInd w:val="0"/>
              <w:snapToGrid w:val="0"/>
              <w:jc w:val="left"/>
              <w:rPr>
                <w:rFonts w:ascii="宋体" w:hAnsi="宋体"/>
                <w:kern w:val="0"/>
                <w:sz w:val="24"/>
              </w:rPr>
            </w:pPr>
          </w:p>
        </w:tc>
        <w:tc>
          <w:tcPr>
            <w:tcW w:w="770" w:type="dxa"/>
          </w:tcPr>
          <w:p w14:paraId="0624A715">
            <w:pPr>
              <w:autoSpaceDE w:val="0"/>
              <w:autoSpaceDN w:val="0"/>
              <w:adjustRightInd w:val="0"/>
              <w:snapToGrid w:val="0"/>
              <w:jc w:val="left"/>
              <w:rPr>
                <w:rFonts w:ascii="宋体" w:hAnsi="宋体"/>
                <w:kern w:val="0"/>
                <w:sz w:val="24"/>
              </w:rPr>
            </w:pPr>
          </w:p>
        </w:tc>
      </w:tr>
    </w:tbl>
    <w:p w14:paraId="46ADCFA2">
      <w:pPr>
        <w:spacing w:line="20" w:lineRule="exact"/>
        <w:rPr>
          <w:rFonts w:ascii="宋体" w:hAnsi="宋体"/>
        </w:rPr>
      </w:pPr>
    </w:p>
    <w:p w14:paraId="53742ED9">
      <w:pPr>
        <w:jc w:val="center"/>
        <w:rPr>
          <w:rFonts w:ascii="宋体" w:hAnsi="宋体"/>
          <w:b/>
        </w:rPr>
      </w:pPr>
      <w:bookmarkStart w:id="2045" w:name="_Toc277082652"/>
      <w:bookmarkStart w:id="2046" w:name="_Toc430530541"/>
      <w:bookmarkStart w:id="2047" w:name="_Toc287607878"/>
      <w:bookmarkStart w:id="2048" w:name="_Toc224103506"/>
      <w:bookmarkStart w:id="2049" w:name="_Toc287620825"/>
      <w:r>
        <w:rPr>
          <w:rFonts w:ascii="宋体" w:hAnsi="宋体"/>
          <w:sz w:val="28"/>
        </w:rPr>
        <w:br w:type="page"/>
      </w:r>
      <w:bookmarkStart w:id="2050" w:name="_Toc534185836"/>
      <w:bookmarkStart w:id="2051" w:name="_Toc509218859"/>
      <w:r>
        <w:rPr>
          <w:sz w:val="32"/>
          <w:szCs w:val="32"/>
        </w:rPr>
        <w:t>附表三：劳动力计划表</w:t>
      </w:r>
      <w:bookmarkEnd w:id="2045"/>
      <w:bookmarkEnd w:id="2046"/>
      <w:bookmarkEnd w:id="2047"/>
      <w:bookmarkEnd w:id="2048"/>
      <w:bookmarkEnd w:id="2049"/>
      <w:bookmarkEnd w:id="2050"/>
      <w:bookmarkEnd w:id="2051"/>
    </w:p>
    <w:p w14:paraId="472B292B">
      <w:pPr>
        <w:autoSpaceDE w:val="0"/>
        <w:autoSpaceDN w:val="0"/>
        <w:adjustRightInd w:val="0"/>
        <w:snapToGrid w:val="0"/>
        <w:spacing w:line="360" w:lineRule="auto"/>
        <w:ind w:right="210"/>
        <w:jc w:val="right"/>
        <w:rPr>
          <w:rFonts w:ascii="宋体" w:hAnsi="宋体"/>
          <w:kern w:val="0"/>
          <w:szCs w:val="21"/>
        </w:rPr>
      </w:pPr>
      <w:r>
        <w:rPr>
          <w:rFonts w:ascii="宋体" w:hAnsi="宋体"/>
          <w:kern w:val="0"/>
          <w:szCs w:val="21"/>
        </w:rPr>
        <w:t>单位：人</w:t>
      </w:r>
    </w:p>
    <w:tbl>
      <w:tblPr>
        <w:tblStyle w:val="45"/>
        <w:tblW w:w="9498"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924"/>
        <w:gridCol w:w="1453"/>
        <w:gridCol w:w="1186"/>
        <w:gridCol w:w="1188"/>
        <w:gridCol w:w="1186"/>
        <w:gridCol w:w="1188"/>
        <w:gridCol w:w="1186"/>
        <w:gridCol w:w="1187"/>
      </w:tblGrid>
      <w:tr w14:paraId="01413A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restart"/>
            <w:vAlign w:val="center"/>
          </w:tcPr>
          <w:p w14:paraId="5704CB41">
            <w:pPr>
              <w:autoSpaceDE w:val="0"/>
              <w:autoSpaceDN w:val="0"/>
              <w:adjustRightInd w:val="0"/>
              <w:snapToGrid w:val="0"/>
              <w:jc w:val="center"/>
              <w:rPr>
                <w:rFonts w:ascii="宋体" w:hAnsi="宋体"/>
                <w:kern w:val="0"/>
                <w:sz w:val="24"/>
              </w:rPr>
            </w:pPr>
            <w:r>
              <w:rPr>
                <w:rFonts w:ascii="宋体" w:hAnsi="宋体"/>
                <w:kern w:val="0"/>
                <w:szCs w:val="21"/>
              </w:rPr>
              <w:t>工种</w:t>
            </w:r>
          </w:p>
        </w:tc>
        <w:tc>
          <w:tcPr>
            <w:tcW w:w="8574" w:type="dxa"/>
            <w:gridSpan w:val="7"/>
            <w:vAlign w:val="center"/>
          </w:tcPr>
          <w:p w14:paraId="1291FB3E">
            <w:pPr>
              <w:autoSpaceDE w:val="0"/>
              <w:autoSpaceDN w:val="0"/>
              <w:adjustRightInd w:val="0"/>
              <w:snapToGrid w:val="0"/>
              <w:jc w:val="center"/>
              <w:rPr>
                <w:rFonts w:ascii="宋体" w:hAnsi="宋体"/>
                <w:kern w:val="0"/>
                <w:sz w:val="24"/>
              </w:rPr>
            </w:pPr>
            <w:r>
              <w:rPr>
                <w:rFonts w:ascii="宋体" w:hAnsi="宋体"/>
                <w:kern w:val="0"/>
                <w:szCs w:val="21"/>
              </w:rPr>
              <w:t>按工程施工阶段投入劳动力情况</w:t>
            </w:r>
          </w:p>
        </w:tc>
      </w:tr>
      <w:tr w14:paraId="60B68FA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vMerge w:val="continue"/>
          </w:tcPr>
          <w:p w14:paraId="3BB9FB4A">
            <w:pPr>
              <w:autoSpaceDE w:val="0"/>
              <w:autoSpaceDN w:val="0"/>
              <w:adjustRightInd w:val="0"/>
              <w:snapToGrid w:val="0"/>
              <w:jc w:val="left"/>
              <w:rPr>
                <w:rFonts w:ascii="宋体" w:hAnsi="宋体"/>
                <w:kern w:val="0"/>
                <w:sz w:val="24"/>
              </w:rPr>
            </w:pPr>
          </w:p>
        </w:tc>
        <w:tc>
          <w:tcPr>
            <w:tcW w:w="1453" w:type="dxa"/>
          </w:tcPr>
          <w:p w14:paraId="08BB56DC">
            <w:pPr>
              <w:autoSpaceDE w:val="0"/>
              <w:autoSpaceDN w:val="0"/>
              <w:adjustRightInd w:val="0"/>
              <w:snapToGrid w:val="0"/>
              <w:jc w:val="left"/>
              <w:rPr>
                <w:rFonts w:ascii="宋体" w:hAnsi="宋体"/>
                <w:kern w:val="0"/>
                <w:sz w:val="24"/>
              </w:rPr>
            </w:pPr>
          </w:p>
        </w:tc>
        <w:tc>
          <w:tcPr>
            <w:tcW w:w="1186" w:type="dxa"/>
          </w:tcPr>
          <w:p w14:paraId="4E7D0051">
            <w:pPr>
              <w:autoSpaceDE w:val="0"/>
              <w:autoSpaceDN w:val="0"/>
              <w:adjustRightInd w:val="0"/>
              <w:snapToGrid w:val="0"/>
              <w:jc w:val="left"/>
              <w:rPr>
                <w:rFonts w:ascii="宋体" w:hAnsi="宋体"/>
                <w:kern w:val="0"/>
                <w:sz w:val="24"/>
              </w:rPr>
            </w:pPr>
          </w:p>
        </w:tc>
        <w:tc>
          <w:tcPr>
            <w:tcW w:w="1188" w:type="dxa"/>
          </w:tcPr>
          <w:p w14:paraId="0DE9F865">
            <w:pPr>
              <w:autoSpaceDE w:val="0"/>
              <w:autoSpaceDN w:val="0"/>
              <w:adjustRightInd w:val="0"/>
              <w:snapToGrid w:val="0"/>
              <w:jc w:val="left"/>
              <w:rPr>
                <w:rFonts w:ascii="宋体" w:hAnsi="宋体"/>
                <w:kern w:val="0"/>
                <w:sz w:val="24"/>
              </w:rPr>
            </w:pPr>
          </w:p>
        </w:tc>
        <w:tc>
          <w:tcPr>
            <w:tcW w:w="1186" w:type="dxa"/>
          </w:tcPr>
          <w:p w14:paraId="69E7C629">
            <w:pPr>
              <w:autoSpaceDE w:val="0"/>
              <w:autoSpaceDN w:val="0"/>
              <w:adjustRightInd w:val="0"/>
              <w:snapToGrid w:val="0"/>
              <w:jc w:val="left"/>
              <w:rPr>
                <w:rFonts w:ascii="宋体" w:hAnsi="宋体"/>
                <w:kern w:val="0"/>
                <w:sz w:val="24"/>
              </w:rPr>
            </w:pPr>
          </w:p>
        </w:tc>
        <w:tc>
          <w:tcPr>
            <w:tcW w:w="1188" w:type="dxa"/>
          </w:tcPr>
          <w:p w14:paraId="1D804E3C">
            <w:pPr>
              <w:autoSpaceDE w:val="0"/>
              <w:autoSpaceDN w:val="0"/>
              <w:adjustRightInd w:val="0"/>
              <w:snapToGrid w:val="0"/>
              <w:jc w:val="left"/>
              <w:rPr>
                <w:rFonts w:ascii="宋体" w:hAnsi="宋体"/>
                <w:kern w:val="0"/>
                <w:sz w:val="24"/>
              </w:rPr>
            </w:pPr>
          </w:p>
        </w:tc>
        <w:tc>
          <w:tcPr>
            <w:tcW w:w="1186" w:type="dxa"/>
          </w:tcPr>
          <w:p w14:paraId="01E819A5">
            <w:pPr>
              <w:autoSpaceDE w:val="0"/>
              <w:autoSpaceDN w:val="0"/>
              <w:adjustRightInd w:val="0"/>
              <w:snapToGrid w:val="0"/>
              <w:jc w:val="left"/>
              <w:rPr>
                <w:rFonts w:ascii="宋体" w:hAnsi="宋体"/>
                <w:kern w:val="0"/>
                <w:sz w:val="24"/>
              </w:rPr>
            </w:pPr>
          </w:p>
        </w:tc>
        <w:tc>
          <w:tcPr>
            <w:tcW w:w="1187" w:type="dxa"/>
          </w:tcPr>
          <w:p w14:paraId="3AE8BBDA">
            <w:pPr>
              <w:autoSpaceDE w:val="0"/>
              <w:autoSpaceDN w:val="0"/>
              <w:adjustRightInd w:val="0"/>
              <w:snapToGrid w:val="0"/>
              <w:jc w:val="left"/>
              <w:rPr>
                <w:rFonts w:ascii="宋体" w:hAnsi="宋体"/>
                <w:kern w:val="0"/>
                <w:sz w:val="24"/>
              </w:rPr>
            </w:pPr>
          </w:p>
        </w:tc>
      </w:tr>
      <w:tr w14:paraId="302A8A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2624CE0">
            <w:pPr>
              <w:autoSpaceDE w:val="0"/>
              <w:autoSpaceDN w:val="0"/>
              <w:adjustRightInd w:val="0"/>
              <w:snapToGrid w:val="0"/>
              <w:jc w:val="left"/>
              <w:rPr>
                <w:rFonts w:ascii="宋体" w:hAnsi="宋体"/>
                <w:kern w:val="0"/>
                <w:sz w:val="24"/>
              </w:rPr>
            </w:pPr>
          </w:p>
        </w:tc>
        <w:tc>
          <w:tcPr>
            <w:tcW w:w="1453" w:type="dxa"/>
          </w:tcPr>
          <w:p w14:paraId="1C11A177">
            <w:pPr>
              <w:autoSpaceDE w:val="0"/>
              <w:autoSpaceDN w:val="0"/>
              <w:adjustRightInd w:val="0"/>
              <w:snapToGrid w:val="0"/>
              <w:jc w:val="left"/>
              <w:rPr>
                <w:rFonts w:ascii="宋体" w:hAnsi="宋体"/>
                <w:kern w:val="0"/>
                <w:sz w:val="24"/>
              </w:rPr>
            </w:pPr>
          </w:p>
        </w:tc>
        <w:tc>
          <w:tcPr>
            <w:tcW w:w="1186" w:type="dxa"/>
          </w:tcPr>
          <w:p w14:paraId="374A90A7">
            <w:pPr>
              <w:autoSpaceDE w:val="0"/>
              <w:autoSpaceDN w:val="0"/>
              <w:adjustRightInd w:val="0"/>
              <w:snapToGrid w:val="0"/>
              <w:jc w:val="left"/>
              <w:rPr>
                <w:rFonts w:ascii="宋体" w:hAnsi="宋体"/>
                <w:kern w:val="0"/>
                <w:sz w:val="24"/>
              </w:rPr>
            </w:pPr>
          </w:p>
        </w:tc>
        <w:tc>
          <w:tcPr>
            <w:tcW w:w="1188" w:type="dxa"/>
          </w:tcPr>
          <w:p w14:paraId="44AACD5A">
            <w:pPr>
              <w:autoSpaceDE w:val="0"/>
              <w:autoSpaceDN w:val="0"/>
              <w:adjustRightInd w:val="0"/>
              <w:snapToGrid w:val="0"/>
              <w:jc w:val="left"/>
              <w:rPr>
                <w:rFonts w:ascii="宋体" w:hAnsi="宋体"/>
                <w:kern w:val="0"/>
                <w:sz w:val="24"/>
              </w:rPr>
            </w:pPr>
          </w:p>
        </w:tc>
        <w:tc>
          <w:tcPr>
            <w:tcW w:w="1186" w:type="dxa"/>
          </w:tcPr>
          <w:p w14:paraId="677B4EDC">
            <w:pPr>
              <w:autoSpaceDE w:val="0"/>
              <w:autoSpaceDN w:val="0"/>
              <w:adjustRightInd w:val="0"/>
              <w:snapToGrid w:val="0"/>
              <w:jc w:val="left"/>
              <w:rPr>
                <w:rFonts w:ascii="宋体" w:hAnsi="宋体"/>
                <w:kern w:val="0"/>
                <w:sz w:val="24"/>
              </w:rPr>
            </w:pPr>
          </w:p>
        </w:tc>
        <w:tc>
          <w:tcPr>
            <w:tcW w:w="1188" w:type="dxa"/>
          </w:tcPr>
          <w:p w14:paraId="79C6CEDB">
            <w:pPr>
              <w:autoSpaceDE w:val="0"/>
              <w:autoSpaceDN w:val="0"/>
              <w:adjustRightInd w:val="0"/>
              <w:snapToGrid w:val="0"/>
              <w:jc w:val="left"/>
              <w:rPr>
                <w:rFonts w:ascii="宋体" w:hAnsi="宋体"/>
                <w:kern w:val="0"/>
                <w:sz w:val="24"/>
              </w:rPr>
            </w:pPr>
          </w:p>
        </w:tc>
        <w:tc>
          <w:tcPr>
            <w:tcW w:w="1186" w:type="dxa"/>
          </w:tcPr>
          <w:p w14:paraId="472179E2">
            <w:pPr>
              <w:autoSpaceDE w:val="0"/>
              <w:autoSpaceDN w:val="0"/>
              <w:adjustRightInd w:val="0"/>
              <w:snapToGrid w:val="0"/>
              <w:jc w:val="left"/>
              <w:rPr>
                <w:rFonts w:ascii="宋体" w:hAnsi="宋体"/>
                <w:kern w:val="0"/>
                <w:sz w:val="24"/>
              </w:rPr>
            </w:pPr>
          </w:p>
        </w:tc>
        <w:tc>
          <w:tcPr>
            <w:tcW w:w="1187" w:type="dxa"/>
          </w:tcPr>
          <w:p w14:paraId="357F5215">
            <w:pPr>
              <w:autoSpaceDE w:val="0"/>
              <w:autoSpaceDN w:val="0"/>
              <w:adjustRightInd w:val="0"/>
              <w:snapToGrid w:val="0"/>
              <w:jc w:val="left"/>
              <w:rPr>
                <w:rFonts w:ascii="宋体" w:hAnsi="宋体"/>
                <w:kern w:val="0"/>
                <w:sz w:val="24"/>
              </w:rPr>
            </w:pPr>
          </w:p>
        </w:tc>
      </w:tr>
      <w:tr w14:paraId="1FC60E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C64A105">
            <w:pPr>
              <w:autoSpaceDE w:val="0"/>
              <w:autoSpaceDN w:val="0"/>
              <w:adjustRightInd w:val="0"/>
              <w:snapToGrid w:val="0"/>
              <w:jc w:val="left"/>
              <w:rPr>
                <w:rFonts w:ascii="宋体" w:hAnsi="宋体"/>
                <w:kern w:val="0"/>
                <w:sz w:val="24"/>
              </w:rPr>
            </w:pPr>
          </w:p>
        </w:tc>
        <w:tc>
          <w:tcPr>
            <w:tcW w:w="1453" w:type="dxa"/>
          </w:tcPr>
          <w:p w14:paraId="1B05BFA4">
            <w:pPr>
              <w:autoSpaceDE w:val="0"/>
              <w:autoSpaceDN w:val="0"/>
              <w:adjustRightInd w:val="0"/>
              <w:snapToGrid w:val="0"/>
              <w:jc w:val="left"/>
              <w:rPr>
                <w:rFonts w:ascii="宋体" w:hAnsi="宋体"/>
                <w:kern w:val="0"/>
                <w:sz w:val="24"/>
              </w:rPr>
            </w:pPr>
          </w:p>
        </w:tc>
        <w:tc>
          <w:tcPr>
            <w:tcW w:w="1186" w:type="dxa"/>
          </w:tcPr>
          <w:p w14:paraId="17E1440D">
            <w:pPr>
              <w:autoSpaceDE w:val="0"/>
              <w:autoSpaceDN w:val="0"/>
              <w:adjustRightInd w:val="0"/>
              <w:snapToGrid w:val="0"/>
              <w:jc w:val="left"/>
              <w:rPr>
                <w:rFonts w:ascii="宋体" w:hAnsi="宋体"/>
                <w:kern w:val="0"/>
                <w:sz w:val="24"/>
              </w:rPr>
            </w:pPr>
          </w:p>
        </w:tc>
        <w:tc>
          <w:tcPr>
            <w:tcW w:w="1188" w:type="dxa"/>
          </w:tcPr>
          <w:p w14:paraId="29F7D504">
            <w:pPr>
              <w:autoSpaceDE w:val="0"/>
              <w:autoSpaceDN w:val="0"/>
              <w:adjustRightInd w:val="0"/>
              <w:snapToGrid w:val="0"/>
              <w:jc w:val="left"/>
              <w:rPr>
                <w:rFonts w:ascii="宋体" w:hAnsi="宋体"/>
                <w:kern w:val="0"/>
                <w:sz w:val="24"/>
              </w:rPr>
            </w:pPr>
          </w:p>
        </w:tc>
        <w:tc>
          <w:tcPr>
            <w:tcW w:w="1186" w:type="dxa"/>
          </w:tcPr>
          <w:p w14:paraId="5D6300AD">
            <w:pPr>
              <w:autoSpaceDE w:val="0"/>
              <w:autoSpaceDN w:val="0"/>
              <w:adjustRightInd w:val="0"/>
              <w:snapToGrid w:val="0"/>
              <w:jc w:val="left"/>
              <w:rPr>
                <w:rFonts w:ascii="宋体" w:hAnsi="宋体"/>
                <w:kern w:val="0"/>
                <w:sz w:val="24"/>
              </w:rPr>
            </w:pPr>
          </w:p>
        </w:tc>
        <w:tc>
          <w:tcPr>
            <w:tcW w:w="1188" w:type="dxa"/>
          </w:tcPr>
          <w:p w14:paraId="009CA3FE">
            <w:pPr>
              <w:autoSpaceDE w:val="0"/>
              <w:autoSpaceDN w:val="0"/>
              <w:adjustRightInd w:val="0"/>
              <w:snapToGrid w:val="0"/>
              <w:jc w:val="left"/>
              <w:rPr>
                <w:rFonts w:ascii="宋体" w:hAnsi="宋体"/>
                <w:kern w:val="0"/>
                <w:sz w:val="24"/>
              </w:rPr>
            </w:pPr>
          </w:p>
        </w:tc>
        <w:tc>
          <w:tcPr>
            <w:tcW w:w="1186" w:type="dxa"/>
          </w:tcPr>
          <w:p w14:paraId="40CC4904">
            <w:pPr>
              <w:autoSpaceDE w:val="0"/>
              <w:autoSpaceDN w:val="0"/>
              <w:adjustRightInd w:val="0"/>
              <w:snapToGrid w:val="0"/>
              <w:jc w:val="left"/>
              <w:rPr>
                <w:rFonts w:ascii="宋体" w:hAnsi="宋体"/>
                <w:kern w:val="0"/>
                <w:sz w:val="24"/>
              </w:rPr>
            </w:pPr>
          </w:p>
        </w:tc>
        <w:tc>
          <w:tcPr>
            <w:tcW w:w="1187" w:type="dxa"/>
          </w:tcPr>
          <w:p w14:paraId="1D9C80B1">
            <w:pPr>
              <w:autoSpaceDE w:val="0"/>
              <w:autoSpaceDN w:val="0"/>
              <w:adjustRightInd w:val="0"/>
              <w:snapToGrid w:val="0"/>
              <w:jc w:val="left"/>
              <w:rPr>
                <w:rFonts w:ascii="宋体" w:hAnsi="宋体"/>
                <w:kern w:val="0"/>
                <w:sz w:val="24"/>
              </w:rPr>
            </w:pPr>
          </w:p>
        </w:tc>
      </w:tr>
      <w:tr w14:paraId="305F1EC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0DC6128">
            <w:pPr>
              <w:autoSpaceDE w:val="0"/>
              <w:autoSpaceDN w:val="0"/>
              <w:adjustRightInd w:val="0"/>
              <w:snapToGrid w:val="0"/>
              <w:jc w:val="left"/>
              <w:rPr>
                <w:rFonts w:ascii="宋体" w:hAnsi="宋体"/>
                <w:kern w:val="0"/>
                <w:sz w:val="24"/>
              </w:rPr>
            </w:pPr>
          </w:p>
        </w:tc>
        <w:tc>
          <w:tcPr>
            <w:tcW w:w="1453" w:type="dxa"/>
          </w:tcPr>
          <w:p w14:paraId="28AB365E">
            <w:pPr>
              <w:autoSpaceDE w:val="0"/>
              <w:autoSpaceDN w:val="0"/>
              <w:adjustRightInd w:val="0"/>
              <w:snapToGrid w:val="0"/>
              <w:jc w:val="left"/>
              <w:rPr>
                <w:rFonts w:ascii="宋体" w:hAnsi="宋体"/>
                <w:kern w:val="0"/>
                <w:sz w:val="24"/>
              </w:rPr>
            </w:pPr>
          </w:p>
        </w:tc>
        <w:tc>
          <w:tcPr>
            <w:tcW w:w="1186" w:type="dxa"/>
          </w:tcPr>
          <w:p w14:paraId="0D54C59D">
            <w:pPr>
              <w:autoSpaceDE w:val="0"/>
              <w:autoSpaceDN w:val="0"/>
              <w:adjustRightInd w:val="0"/>
              <w:snapToGrid w:val="0"/>
              <w:jc w:val="left"/>
              <w:rPr>
                <w:rFonts w:ascii="宋体" w:hAnsi="宋体"/>
                <w:kern w:val="0"/>
                <w:sz w:val="24"/>
              </w:rPr>
            </w:pPr>
          </w:p>
        </w:tc>
        <w:tc>
          <w:tcPr>
            <w:tcW w:w="1188" w:type="dxa"/>
          </w:tcPr>
          <w:p w14:paraId="2896D8A2">
            <w:pPr>
              <w:autoSpaceDE w:val="0"/>
              <w:autoSpaceDN w:val="0"/>
              <w:adjustRightInd w:val="0"/>
              <w:snapToGrid w:val="0"/>
              <w:jc w:val="left"/>
              <w:rPr>
                <w:rFonts w:ascii="宋体" w:hAnsi="宋体"/>
                <w:kern w:val="0"/>
                <w:sz w:val="24"/>
              </w:rPr>
            </w:pPr>
          </w:p>
        </w:tc>
        <w:tc>
          <w:tcPr>
            <w:tcW w:w="1186" w:type="dxa"/>
          </w:tcPr>
          <w:p w14:paraId="4EFB0F80">
            <w:pPr>
              <w:autoSpaceDE w:val="0"/>
              <w:autoSpaceDN w:val="0"/>
              <w:adjustRightInd w:val="0"/>
              <w:snapToGrid w:val="0"/>
              <w:jc w:val="left"/>
              <w:rPr>
                <w:rFonts w:ascii="宋体" w:hAnsi="宋体"/>
                <w:kern w:val="0"/>
                <w:sz w:val="24"/>
              </w:rPr>
            </w:pPr>
          </w:p>
        </w:tc>
        <w:tc>
          <w:tcPr>
            <w:tcW w:w="1188" w:type="dxa"/>
          </w:tcPr>
          <w:p w14:paraId="3DD9739B">
            <w:pPr>
              <w:autoSpaceDE w:val="0"/>
              <w:autoSpaceDN w:val="0"/>
              <w:adjustRightInd w:val="0"/>
              <w:snapToGrid w:val="0"/>
              <w:jc w:val="left"/>
              <w:rPr>
                <w:rFonts w:ascii="宋体" w:hAnsi="宋体"/>
                <w:kern w:val="0"/>
                <w:sz w:val="24"/>
              </w:rPr>
            </w:pPr>
          </w:p>
        </w:tc>
        <w:tc>
          <w:tcPr>
            <w:tcW w:w="1186" w:type="dxa"/>
          </w:tcPr>
          <w:p w14:paraId="40391155">
            <w:pPr>
              <w:autoSpaceDE w:val="0"/>
              <w:autoSpaceDN w:val="0"/>
              <w:adjustRightInd w:val="0"/>
              <w:snapToGrid w:val="0"/>
              <w:jc w:val="left"/>
              <w:rPr>
                <w:rFonts w:ascii="宋体" w:hAnsi="宋体"/>
                <w:kern w:val="0"/>
                <w:sz w:val="24"/>
              </w:rPr>
            </w:pPr>
          </w:p>
        </w:tc>
        <w:tc>
          <w:tcPr>
            <w:tcW w:w="1187" w:type="dxa"/>
          </w:tcPr>
          <w:p w14:paraId="6F2C3D59">
            <w:pPr>
              <w:autoSpaceDE w:val="0"/>
              <w:autoSpaceDN w:val="0"/>
              <w:adjustRightInd w:val="0"/>
              <w:snapToGrid w:val="0"/>
              <w:jc w:val="left"/>
              <w:rPr>
                <w:rFonts w:ascii="宋体" w:hAnsi="宋体"/>
                <w:kern w:val="0"/>
                <w:sz w:val="24"/>
              </w:rPr>
            </w:pPr>
          </w:p>
        </w:tc>
      </w:tr>
      <w:tr w14:paraId="53F160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3EF3E2C">
            <w:pPr>
              <w:autoSpaceDE w:val="0"/>
              <w:autoSpaceDN w:val="0"/>
              <w:adjustRightInd w:val="0"/>
              <w:snapToGrid w:val="0"/>
              <w:jc w:val="left"/>
              <w:rPr>
                <w:rFonts w:ascii="宋体" w:hAnsi="宋体"/>
                <w:kern w:val="0"/>
                <w:sz w:val="24"/>
              </w:rPr>
            </w:pPr>
          </w:p>
        </w:tc>
        <w:tc>
          <w:tcPr>
            <w:tcW w:w="1453" w:type="dxa"/>
          </w:tcPr>
          <w:p w14:paraId="282B263E">
            <w:pPr>
              <w:autoSpaceDE w:val="0"/>
              <w:autoSpaceDN w:val="0"/>
              <w:adjustRightInd w:val="0"/>
              <w:snapToGrid w:val="0"/>
              <w:jc w:val="left"/>
              <w:rPr>
                <w:rFonts w:ascii="宋体" w:hAnsi="宋体"/>
                <w:kern w:val="0"/>
                <w:sz w:val="24"/>
              </w:rPr>
            </w:pPr>
          </w:p>
        </w:tc>
        <w:tc>
          <w:tcPr>
            <w:tcW w:w="1186" w:type="dxa"/>
          </w:tcPr>
          <w:p w14:paraId="7B1D689C">
            <w:pPr>
              <w:autoSpaceDE w:val="0"/>
              <w:autoSpaceDN w:val="0"/>
              <w:adjustRightInd w:val="0"/>
              <w:snapToGrid w:val="0"/>
              <w:jc w:val="left"/>
              <w:rPr>
                <w:rFonts w:ascii="宋体" w:hAnsi="宋体"/>
                <w:kern w:val="0"/>
                <w:sz w:val="24"/>
              </w:rPr>
            </w:pPr>
          </w:p>
        </w:tc>
        <w:tc>
          <w:tcPr>
            <w:tcW w:w="1188" w:type="dxa"/>
          </w:tcPr>
          <w:p w14:paraId="6EE6B970">
            <w:pPr>
              <w:autoSpaceDE w:val="0"/>
              <w:autoSpaceDN w:val="0"/>
              <w:adjustRightInd w:val="0"/>
              <w:snapToGrid w:val="0"/>
              <w:jc w:val="left"/>
              <w:rPr>
                <w:rFonts w:ascii="宋体" w:hAnsi="宋体"/>
                <w:kern w:val="0"/>
                <w:sz w:val="24"/>
              </w:rPr>
            </w:pPr>
          </w:p>
        </w:tc>
        <w:tc>
          <w:tcPr>
            <w:tcW w:w="1186" w:type="dxa"/>
          </w:tcPr>
          <w:p w14:paraId="4D8913B0">
            <w:pPr>
              <w:autoSpaceDE w:val="0"/>
              <w:autoSpaceDN w:val="0"/>
              <w:adjustRightInd w:val="0"/>
              <w:snapToGrid w:val="0"/>
              <w:jc w:val="left"/>
              <w:rPr>
                <w:rFonts w:ascii="宋体" w:hAnsi="宋体"/>
                <w:kern w:val="0"/>
                <w:sz w:val="24"/>
              </w:rPr>
            </w:pPr>
          </w:p>
        </w:tc>
        <w:tc>
          <w:tcPr>
            <w:tcW w:w="1188" w:type="dxa"/>
          </w:tcPr>
          <w:p w14:paraId="40020932">
            <w:pPr>
              <w:autoSpaceDE w:val="0"/>
              <w:autoSpaceDN w:val="0"/>
              <w:adjustRightInd w:val="0"/>
              <w:snapToGrid w:val="0"/>
              <w:jc w:val="left"/>
              <w:rPr>
                <w:rFonts w:ascii="宋体" w:hAnsi="宋体"/>
                <w:kern w:val="0"/>
                <w:sz w:val="24"/>
              </w:rPr>
            </w:pPr>
          </w:p>
        </w:tc>
        <w:tc>
          <w:tcPr>
            <w:tcW w:w="1186" w:type="dxa"/>
          </w:tcPr>
          <w:p w14:paraId="7EA9179F">
            <w:pPr>
              <w:autoSpaceDE w:val="0"/>
              <w:autoSpaceDN w:val="0"/>
              <w:adjustRightInd w:val="0"/>
              <w:snapToGrid w:val="0"/>
              <w:jc w:val="left"/>
              <w:rPr>
                <w:rFonts w:ascii="宋体" w:hAnsi="宋体"/>
                <w:kern w:val="0"/>
                <w:sz w:val="24"/>
              </w:rPr>
            </w:pPr>
          </w:p>
        </w:tc>
        <w:tc>
          <w:tcPr>
            <w:tcW w:w="1187" w:type="dxa"/>
          </w:tcPr>
          <w:p w14:paraId="130D5CD2">
            <w:pPr>
              <w:autoSpaceDE w:val="0"/>
              <w:autoSpaceDN w:val="0"/>
              <w:adjustRightInd w:val="0"/>
              <w:snapToGrid w:val="0"/>
              <w:jc w:val="left"/>
              <w:rPr>
                <w:rFonts w:ascii="宋体" w:hAnsi="宋体"/>
                <w:kern w:val="0"/>
                <w:sz w:val="24"/>
              </w:rPr>
            </w:pPr>
          </w:p>
        </w:tc>
      </w:tr>
      <w:tr w14:paraId="3ADA1A8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B27A348">
            <w:pPr>
              <w:autoSpaceDE w:val="0"/>
              <w:autoSpaceDN w:val="0"/>
              <w:adjustRightInd w:val="0"/>
              <w:snapToGrid w:val="0"/>
              <w:jc w:val="left"/>
              <w:rPr>
                <w:rFonts w:ascii="宋体" w:hAnsi="宋体"/>
                <w:kern w:val="0"/>
                <w:sz w:val="24"/>
              </w:rPr>
            </w:pPr>
          </w:p>
        </w:tc>
        <w:tc>
          <w:tcPr>
            <w:tcW w:w="1453" w:type="dxa"/>
          </w:tcPr>
          <w:p w14:paraId="40267BC9">
            <w:pPr>
              <w:autoSpaceDE w:val="0"/>
              <w:autoSpaceDN w:val="0"/>
              <w:adjustRightInd w:val="0"/>
              <w:snapToGrid w:val="0"/>
              <w:jc w:val="left"/>
              <w:rPr>
                <w:rFonts w:ascii="宋体" w:hAnsi="宋体"/>
                <w:kern w:val="0"/>
                <w:sz w:val="24"/>
              </w:rPr>
            </w:pPr>
          </w:p>
        </w:tc>
        <w:tc>
          <w:tcPr>
            <w:tcW w:w="1186" w:type="dxa"/>
          </w:tcPr>
          <w:p w14:paraId="0937A771">
            <w:pPr>
              <w:autoSpaceDE w:val="0"/>
              <w:autoSpaceDN w:val="0"/>
              <w:adjustRightInd w:val="0"/>
              <w:snapToGrid w:val="0"/>
              <w:jc w:val="left"/>
              <w:rPr>
                <w:rFonts w:ascii="宋体" w:hAnsi="宋体"/>
                <w:kern w:val="0"/>
                <w:sz w:val="24"/>
              </w:rPr>
            </w:pPr>
          </w:p>
        </w:tc>
        <w:tc>
          <w:tcPr>
            <w:tcW w:w="1188" w:type="dxa"/>
          </w:tcPr>
          <w:p w14:paraId="69A6EE7D">
            <w:pPr>
              <w:autoSpaceDE w:val="0"/>
              <w:autoSpaceDN w:val="0"/>
              <w:adjustRightInd w:val="0"/>
              <w:snapToGrid w:val="0"/>
              <w:jc w:val="left"/>
              <w:rPr>
                <w:rFonts w:ascii="宋体" w:hAnsi="宋体"/>
                <w:kern w:val="0"/>
                <w:sz w:val="24"/>
              </w:rPr>
            </w:pPr>
          </w:p>
        </w:tc>
        <w:tc>
          <w:tcPr>
            <w:tcW w:w="1186" w:type="dxa"/>
          </w:tcPr>
          <w:p w14:paraId="5ED4E208">
            <w:pPr>
              <w:autoSpaceDE w:val="0"/>
              <w:autoSpaceDN w:val="0"/>
              <w:adjustRightInd w:val="0"/>
              <w:snapToGrid w:val="0"/>
              <w:jc w:val="left"/>
              <w:rPr>
                <w:rFonts w:ascii="宋体" w:hAnsi="宋体"/>
                <w:kern w:val="0"/>
                <w:sz w:val="24"/>
              </w:rPr>
            </w:pPr>
          </w:p>
        </w:tc>
        <w:tc>
          <w:tcPr>
            <w:tcW w:w="1188" w:type="dxa"/>
          </w:tcPr>
          <w:p w14:paraId="184C7C65">
            <w:pPr>
              <w:autoSpaceDE w:val="0"/>
              <w:autoSpaceDN w:val="0"/>
              <w:adjustRightInd w:val="0"/>
              <w:snapToGrid w:val="0"/>
              <w:jc w:val="left"/>
              <w:rPr>
                <w:rFonts w:ascii="宋体" w:hAnsi="宋体"/>
                <w:kern w:val="0"/>
                <w:sz w:val="24"/>
              </w:rPr>
            </w:pPr>
          </w:p>
        </w:tc>
        <w:tc>
          <w:tcPr>
            <w:tcW w:w="1186" w:type="dxa"/>
          </w:tcPr>
          <w:p w14:paraId="686A2452">
            <w:pPr>
              <w:autoSpaceDE w:val="0"/>
              <w:autoSpaceDN w:val="0"/>
              <w:adjustRightInd w:val="0"/>
              <w:snapToGrid w:val="0"/>
              <w:jc w:val="left"/>
              <w:rPr>
                <w:rFonts w:ascii="宋体" w:hAnsi="宋体"/>
                <w:kern w:val="0"/>
                <w:sz w:val="24"/>
              </w:rPr>
            </w:pPr>
          </w:p>
        </w:tc>
        <w:tc>
          <w:tcPr>
            <w:tcW w:w="1187" w:type="dxa"/>
          </w:tcPr>
          <w:p w14:paraId="039A6AA8">
            <w:pPr>
              <w:autoSpaceDE w:val="0"/>
              <w:autoSpaceDN w:val="0"/>
              <w:adjustRightInd w:val="0"/>
              <w:snapToGrid w:val="0"/>
              <w:jc w:val="left"/>
              <w:rPr>
                <w:rFonts w:ascii="宋体" w:hAnsi="宋体"/>
                <w:kern w:val="0"/>
                <w:sz w:val="24"/>
              </w:rPr>
            </w:pPr>
          </w:p>
        </w:tc>
      </w:tr>
      <w:tr w14:paraId="14AC7EE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ED29D36">
            <w:pPr>
              <w:autoSpaceDE w:val="0"/>
              <w:autoSpaceDN w:val="0"/>
              <w:adjustRightInd w:val="0"/>
              <w:snapToGrid w:val="0"/>
              <w:jc w:val="left"/>
              <w:rPr>
                <w:rFonts w:ascii="宋体" w:hAnsi="宋体"/>
                <w:kern w:val="0"/>
                <w:sz w:val="24"/>
              </w:rPr>
            </w:pPr>
          </w:p>
        </w:tc>
        <w:tc>
          <w:tcPr>
            <w:tcW w:w="1453" w:type="dxa"/>
          </w:tcPr>
          <w:p w14:paraId="4EC7FF49">
            <w:pPr>
              <w:autoSpaceDE w:val="0"/>
              <w:autoSpaceDN w:val="0"/>
              <w:adjustRightInd w:val="0"/>
              <w:snapToGrid w:val="0"/>
              <w:jc w:val="left"/>
              <w:rPr>
                <w:rFonts w:ascii="宋体" w:hAnsi="宋体"/>
                <w:kern w:val="0"/>
                <w:sz w:val="24"/>
              </w:rPr>
            </w:pPr>
          </w:p>
        </w:tc>
        <w:tc>
          <w:tcPr>
            <w:tcW w:w="1186" w:type="dxa"/>
          </w:tcPr>
          <w:p w14:paraId="2B4BD0A5">
            <w:pPr>
              <w:autoSpaceDE w:val="0"/>
              <w:autoSpaceDN w:val="0"/>
              <w:adjustRightInd w:val="0"/>
              <w:snapToGrid w:val="0"/>
              <w:jc w:val="left"/>
              <w:rPr>
                <w:rFonts w:ascii="宋体" w:hAnsi="宋体"/>
                <w:kern w:val="0"/>
                <w:sz w:val="24"/>
              </w:rPr>
            </w:pPr>
          </w:p>
        </w:tc>
        <w:tc>
          <w:tcPr>
            <w:tcW w:w="1188" w:type="dxa"/>
          </w:tcPr>
          <w:p w14:paraId="1481E0AB">
            <w:pPr>
              <w:autoSpaceDE w:val="0"/>
              <w:autoSpaceDN w:val="0"/>
              <w:adjustRightInd w:val="0"/>
              <w:snapToGrid w:val="0"/>
              <w:jc w:val="left"/>
              <w:rPr>
                <w:rFonts w:ascii="宋体" w:hAnsi="宋体"/>
                <w:kern w:val="0"/>
                <w:sz w:val="24"/>
              </w:rPr>
            </w:pPr>
          </w:p>
        </w:tc>
        <w:tc>
          <w:tcPr>
            <w:tcW w:w="1186" w:type="dxa"/>
          </w:tcPr>
          <w:p w14:paraId="51CF53E7">
            <w:pPr>
              <w:autoSpaceDE w:val="0"/>
              <w:autoSpaceDN w:val="0"/>
              <w:adjustRightInd w:val="0"/>
              <w:snapToGrid w:val="0"/>
              <w:jc w:val="left"/>
              <w:rPr>
                <w:rFonts w:ascii="宋体" w:hAnsi="宋体"/>
                <w:kern w:val="0"/>
                <w:sz w:val="24"/>
              </w:rPr>
            </w:pPr>
          </w:p>
        </w:tc>
        <w:tc>
          <w:tcPr>
            <w:tcW w:w="1188" w:type="dxa"/>
          </w:tcPr>
          <w:p w14:paraId="7955FEA7">
            <w:pPr>
              <w:autoSpaceDE w:val="0"/>
              <w:autoSpaceDN w:val="0"/>
              <w:adjustRightInd w:val="0"/>
              <w:snapToGrid w:val="0"/>
              <w:jc w:val="left"/>
              <w:rPr>
                <w:rFonts w:ascii="宋体" w:hAnsi="宋体"/>
                <w:kern w:val="0"/>
                <w:sz w:val="24"/>
              </w:rPr>
            </w:pPr>
          </w:p>
        </w:tc>
        <w:tc>
          <w:tcPr>
            <w:tcW w:w="1186" w:type="dxa"/>
          </w:tcPr>
          <w:p w14:paraId="686EEDDA">
            <w:pPr>
              <w:autoSpaceDE w:val="0"/>
              <w:autoSpaceDN w:val="0"/>
              <w:adjustRightInd w:val="0"/>
              <w:snapToGrid w:val="0"/>
              <w:jc w:val="left"/>
              <w:rPr>
                <w:rFonts w:ascii="宋体" w:hAnsi="宋体"/>
                <w:kern w:val="0"/>
                <w:sz w:val="24"/>
              </w:rPr>
            </w:pPr>
          </w:p>
        </w:tc>
        <w:tc>
          <w:tcPr>
            <w:tcW w:w="1187" w:type="dxa"/>
          </w:tcPr>
          <w:p w14:paraId="579D55F1">
            <w:pPr>
              <w:autoSpaceDE w:val="0"/>
              <w:autoSpaceDN w:val="0"/>
              <w:adjustRightInd w:val="0"/>
              <w:snapToGrid w:val="0"/>
              <w:jc w:val="left"/>
              <w:rPr>
                <w:rFonts w:ascii="宋体" w:hAnsi="宋体"/>
                <w:kern w:val="0"/>
                <w:sz w:val="24"/>
              </w:rPr>
            </w:pPr>
          </w:p>
        </w:tc>
      </w:tr>
      <w:tr w14:paraId="0F6C77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4F6AE1E">
            <w:pPr>
              <w:autoSpaceDE w:val="0"/>
              <w:autoSpaceDN w:val="0"/>
              <w:adjustRightInd w:val="0"/>
              <w:snapToGrid w:val="0"/>
              <w:jc w:val="left"/>
              <w:rPr>
                <w:rFonts w:ascii="宋体" w:hAnsi="宋体"/>
                <w:kern w:val="0"/>
                <w:sz w:val="24"/>
              </w:rPr>
            </w:pPr>
          </w:p>
        </w:tc>
        <w:tc>
          <w:tcPr>
            <w:tcW w:w="1453" w:type="dxa"/>
          </w:tcPr>
          <w:p w14:paraId="0319365D">
            <w:pPr>
              <w:autoSpaceDE w:val="0"/>
              <w:autoSpaceDN w:val="0"/>
              <w:adjustRightInd w:val="0"/>
              <w:snapToGrid w:val="0"/>
              <w:jc w:val="left"/>
              <w:rPr>
                <w:rFonts w:ascii="宋体" w:hAnsi="宋体"/>
                <w:kern w:val="0"/>
                <w:sz w:val="24"/>
              </w:rPr>
            </w:pPr>
          </w:p>
        </w:tc>
        <w:tc>
          <w:tcPr>
            <w:tcW w:w="1186" w:type="dxa"/>
          </w:tcPr>
          <w:p w14:paraId="6288416E">
            <w:pPr>
              <w:autoSpaceDE w:val="0"/>
              <w:autoSpaceDN w:val="0"/>
              <w:adjustRightInd w:val="0"/>
              <w:snapToGrid w:val="0"/>
              <w:jc w:val="left"/>
              <w:rPr>
                <w:rFonts w:ascii="宋体" w:hAnsi="宋体"/>
                <w:kern w:val="0"/>
                <w:sz w:val="24"/>
              </w:rPr>
            </w:pPr>
          </w:p>
        </w:tc>
        <w:tc>
          <w:tcPr>
            <w:tcW w:w="1188" w:type="dxa"/>
          </w:tcPr>
          <w:p w14:paraId="2853762F">
            <w:pPr>
              <w:autoSpaceDE w:val="0"/>
              <w:autoSpaceDN w:val="0"/>
              <w:adjustRightInd w:val="0"/>
              <w:snapToGrid w:val="0"/>
              <w:jc w:val="left"/>
              <w:rPr>
                <w:rFonts w:ascii="宋体" w:hAnsi="宋体"/>
                <w:kern w:val="0"/>
                <w:sz w:val="24"/>
              </w:rPr>
            </w:pPr>
          </w:p>
        </w:tc>
        <w:tc>
          <w:tcPr>
            <w:tcW w:w="1186" w:type="dxa"/>
          </w:tcPr>
          <w:p w14:paraId="56C1B7D7">
            <w:pPr>
              <w:autoSpaceDE w:val="0"/>
              <w:autoSpaceDN w:val="0"/>
              <w:adjustRightInd w:val="0"/>
              <w:snapToGrid w:val="0"/>
              <w:jc w:val="left"/>
              <w:rPr>
                <w:rFonts w:ascii="宋体" w:hAnsi="宋体"/>
                <w:kern w:val="0"/>
                <w:sz w:val="24"/>
              </w:rPr>
            </w:pPr>
          </w:p>
        </w:tc>
        <w:tc>
          <w:tcPr>
            <w:tcW w:w="1188" w:type="dxa"/>
          </w:tcPr>
          <w:p w14:paraId="5E282906">
            <w:pPr>
              <w:autoSpaceDE w:val="0"/>
              <w:autoSpaceDN w:val="0"/>
              <w:adjustRightInd w:val="0"/>
              <w:snapToGrid w:val="0"/>
              <w:jc w:val="left"/>
              <w:rPr>
                <w:rFonts w:ascii="宋体" w:hAnsi="宋体"/>
                <w:kern w:val="0"/>
                <w:sz w:val="24"/>
              </w:rPr>
            </w:pPr>
          </w:p>
        </w:tc>
        <w:tc>
          <w:tcPr>
            <w:tcW w:w="1186" w:type="dxa"/>
          </w:tcPr>
          <w:p w14:paraId="28BDF645">
            <w:pPr>
              <w:autoSpaceDE w:val="0"/>
              <w:autoSpaceDN w:val="0"/>
              <w:adjustRightInd w:val="0"/>
              <w:snapToGrid w:val="0"/>
              <w:jc w:val="left"/>
              <w:rPr>
                <w:rFonts w:ascii="宋体" w:hAnsi="宋体"/>
                <w:kern w:val="0"/>
                <w:sz w:val="24"/>
              </w:rPr>
            </w:pPr>
          </w:p>
        </w:tc>
        <w:tc>
          <w:tcPr>
            <w:tcW w:w="1187" w:type="dxa"/>
          </w:tcPr>
          <w:p w14:paraId="5E163B79">
            <w:pPr>
              <w:autoSpaceDE w:val="0"/>
              <w:autoSpaceDN w:val="0"/>
              <w:adjustRightInd w:val="0"/>
              <w:snapToGrid w:val="0"/>
              <w:jc w:val="left"/>
              <w:rPr>
                <w:rFonts w:ascii="宋体" w:hAnsi="宋体"/>
                <w:kern w:val="0"/>
                <w:sz w:val="24"/>
              </w:rPr>
            </w:pPr>
          </w:p>
        </w:tc>
      </w:tr>
      <w:tr w14:paraId="433937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18EA310F">
            <w:pPr>
              <w:autoSpaceDE w:val="0"/>
              <w:autoSpaceDN w:val="0"/>
              <w:adjustRightInd w:val="0"/>
              <w:snapToGrid w:val="0"/>
              <w:jc w:val="left"/>
              <w:rPr>
                <w:rFonts w:ascii="宋体" w:hAnsi="宋体"/>
                <w:kern w:val="0"/>
                <w:sz w:val="24"/>
              </w:rPr>
            </w:pPr>
          </w:p>
        </w:tc>
        <w:tc>
          <w:tcPr>
            <w:tcW w:w="1453" w:type="dxa"/>
          </w:tcPr>
          <w:p w14:paraId="6B80C0C0">
            <w:pPr>
              <w:autoSpaceDE w:val="0"/>
              <w:autoSpaceDN w:val="0"/>
              <w:adjustRightInd w:val="0"/>
              <w:snapToGrid w:val="0"/>
              <w:jc w:val="left"/>
              <w:rPr>
                <w:rFonts w:ascii="宋体" w:hAnsi="宋体"/>
                <w:kern w:val="0"/>
                <w:sz w:val="24"/>
              </w:rPr>
            </w:pPr>
          </w:p>
        </w:tc>
        <w:tc>
          <w:tcPr>
            <w:tcW w:w="1186" w:type="dxa"/>
          </w:tcPr>
          <w:p w14:paraId="016BA173">
            <w:pPr>
              <w:autoSpaceDE w:val="0"/>
              <w:autoSpaceDN w:val="0"/>
              <w:adjustRightInd w:val="0"/>
              <w:snapToGrid w:val="0"/>
              <w:jc w:val="left"/>
              <w:rPr>
                <w:rFonts w:ascii="宋体" w:hAnsi="宋体"/>
                <w:kern w:val="0"/>
                <w:sz w:val="24"/>
              </w:rPr>
            </w:pPr>
          </w:p>
        </w:tc>
        <w:tc>
          <w:tcPr>
            <w:tcW w:w="1188" w:type="dxa"/>
          </w:tcPr>
          <w:p w14:paraId="119E1338">
            <w:pPr>
              <w:autoSpaceDE w:val="0"/>
              <w:autoSpaceDN w:val="0"/>
              <w:adjustRightInd w:val="0"/>
              <w:snapToGrid w:val="0"/>
              <w:jc w:val="left"/>
              <w:rPr>
                <w:rFonts w:ascii="宋体" w:hAnsi="宋体"/>
                <w:kern w:val="0"/>
                <w:sz w:val="24"/>
              </w:rPr>
            </w:pPr>
          </w:p>
        </w:tc>
        <w:tc>
          <w:tcPr>
            <w:tcW w:w="1186" w:type="dxa"/>
          </w:tcPr>
          <w:p w14:paraId="2DC24A56">
            <w:pPr>
              <w:autoSpaceDE w:val="0"/>
              <w:autoSpaceDN w:val="0"/>
              <w:adjustRightInd w:val="0"/>
              <w:snapToGrid w:val="0"/>
              <w:jc w:val="left"/>
              <w:rPr>
                <w:rFonts w:ascii="宋体" w:hAnsi="宋体"/>
                <w:kern w:val="0"/>
                <w:sz w:val="24"/>
              </w:rPr>
            </w:pPr>
          </w:p>
        </w:tc>
        <w:tc>
          <w:tcPr>
            <w:tcW w:w="1188" w:type="dxa"/>
          </w:tcPr>
          <w:p w14:paraId="3476EA52">
            <w:pPr>
              <w:autoSpaceDE w:val="0"/>
              <w:autoSpaceDN w:val="0"/>
              <w:adjustRightInd w:val="0"/>
              <w:snapToGrid w:val="0"/>
              <w:jc w:val="left"/>
              <w:rPr>
                <w:rFonts w:ascii="宋体" w:hAnsi="宋体"/>
                <w:kern w:val="0"/>
                <w:sz w:val="24"/>
              </w:rPr>
            </w:pPr>
          </w:p>
        </w:tc>
        <w:tc>
          <w:tcPr>
            <w:tcW w:w="1186" w:type="dxa"/>
          </w:tcPr>
          <w:p w14:paraId="499B9046">
            <w:pPr>
              <w:autoSpaceDE w:val="0"/>
              <w:autoSpaceDN w:val="0"/>
              <w:adjustRightInd w:val="0"/>
              <w:snapToGrid w:val="0"/>
              <w:jc w:val="left"/>
              <w:rPr>
                <w:rFonts w:ascii="宋体" w:hAnsi="宋体"/>
                <w:kern w:val="0"/>
                <w:sz w:val="24"/>
              </w:rPr>
            </w:pPr>
          </w:p>
        </w:tc>
        <w:tc>
          <w:tcPr>
            <w:tcW w:w="1187" w:type="dxa"/>
          </w:tcPr>
          <w:p w14:paraId="0BA4DB8F">
            <w:pPr>
              <w:autoSpaceDE w:val="0"/>
              <w:autoSpaceDN w:val="0"/>
              <w:adjustRightInd w:val="0"/>
              <w:snapToGrid w:val="0"/>
              <w:jc w:val="left"/>
              <w:rPr>
                <w:rFonts w:ascii="宋体" w:hAnsi="宋体"/>
                <w:kern w:val="0"/>
                <w:sz w:val="24"/>
              </w:rPr>
            </w:pPr>
          </w:p>
        </w:tc>
      </w:tr>
      <w:tr w14:paraId="72AD9E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5F6FF7">
            <w:pPr>
              <w:autoSpaceDE w:val="0"/>
              <w:autoSpaceDN w:val="0"/>
              <w:adjustRightInd w:val="0"/>
              <w:snapToGrid w:val="0"/>
              <w:jc w:val="left"/>
              <w:rPr>
                <w:rFonts w:ascii="宋体" w:hAnsi="宋体"/>
                <w:kern w:val="0"/>
                <w:sz w:val="24"/>
              </w:rPr>
            </w:pPr>
          </w:p>
        </w:tc>
        <w:tc>
          <w:tcPr>
            <w:tcW w:w="1453" w:type="dxa"/>
          </w:tcPr>
          <w:p w14:paraId="06F7D802">
            <w:pPr>
              <w:autoSpaceDE w:val="0"/>
              <w:autoSpaceDN w:val="0"/>
              <w:adjustRightInd w:val="0"/>
              <w:snapToGrid w:val="0"/>
              <w:jc w:val="left"/>
              <w:rPr>
                <w:rFonts w:ascii="宋体" w:hAnsi="宋体"/>
                <w:kern w:val="0"/>
                <w:sz w:val="24"/>
              </w:rPr>
            </w:pPr>
          </w:p>
        </w:tc>
        <w:tc>
          <w:tcPr>
            <w:tcW w:w="1186" w:type="dxa"/>
          </w:tcPr>
          <w:p w14:paraId="3EC76F8E">
            <w:pPr>
              <w:autoSpaceDE w:val="0"/>
              <w:autoSpaceDN w:val="0"/>
              <w:adjustRightInd w:val="0"/>
              <w:snapToGrid w:val="0"/>
              <w:jc w:val="left"/>
              <w:rPr>
                <w:rFonts w:ascii="宋体" w:hAnsi="宋体"/>
                <w:kern w:val="0"/>
                <w:sz w:val="24"/>
              </w:rPr>
            </w:pPr>
          </w:p>
        </w:tc>
        <w:tc>
          <w:tcPr>
            <w:tcW w:w="1188" w:type="dxa"/>
          </w:tcPr>
          <w:p w14:paraId="6766DF84">
            <w:pPr>
              <w:autoSpaceDE w:val="0"/>
              <w:autoSpaceDN w:val="0"/>
              <w:adjustRightInd w:val="0"/>
              <w:snapToGrid w:val="0"/>
              <w:jc w:val="left"/>
              <w:rPr>
                <w:rFonts w:ascii="宋体" w:hAnsi="宋体"/>
                <w:kern w:val="0"/>
                <w:sz w:val="24"/>
              </w:rPr>
            </w:pPr>
          </w:p>
        </w:tc>
        <w:tc>
          <w:tcPr>
            <w:tcW w:w="1186" w:type="dxa"/>
          </w:tcPr>
          <w:p w14:paraId="1CE51FB1">
            <w:pPr>
              <w:autoSpaceDE w:val="0"/>
              <w:autoSpaceDN w:val="0"/>
              <w:adjustRightInd w:val="0"/>
              <w:snapToGrid w:val="0"/>
              <w:jc w:val="left"/>
              <w:rPr>
                <w:rFonts w:ascii="宋体" w:hAnsi="宋体"/>
                <w:kern w:val="0"/>
                <w:sz w:val="24"/>
              </w:rPr>
            </w:pPr>
          </w:p>
        </w:tc>
        <w:tc>
          <w:tcPr>
            <w:tcW w:w="1188" w:type="dxa"/>
          </w:tcPr>
          <w:p w14:paraId="598D2239">
            <w:pPr>
              <w:autoSpaceDE w:val="0"/>
              <w:autoSpaceDN w:val="0"/>
              <w:adjustRightInd w:val="0"/>
              <w:snapToGrid w:val="0"/>
              <w:jc w:val="left"/>
              <w:rPr>
                <w:rFonts w:ascii="宋体" w:hAnsi="宋体"/>
                <w:kern w:val="0"/>
                <w:sz w:val="24"/>
              </w:rPr>
            </w:pPr>
          </w:p>
        </w:tc>
        <w:tc>
          <w:tcPr>
            <w:tcW w:w="1186" w:type="dxa"/>
          </w:tcPr>
          <w:p w14:paraId="779693DA">
            <w:pPr>
              <w:autoSpaceDE w:val="0"/>
              <w:autoSpaceDN w:val="0"/>
              <w:adjustRightInd w:val="0"/>
              <w:snapToGrid w:val="0"/>
              <w:jc w:val="left"/>
              <w:rPr>
                <w:rFonts w:ascii="宋体" w:hAnsi="宋体"/>
                <w:kern w:val="0"/>
                <w:sz w:val="24"/>
              </w:rPr>
            </w:pPr>
          </w:p>
        </w:tc>
        <w:tc>
          <w:tcPr>
            <w:tcW w:w="1187" w:type="dxa"/>
          </w:tcPr>
          <w:p w14:paraId="655DBA15">
            <w:pPr>
              <w:autoSpaceDE w:val="0"/>
              <w:autoSpaceDN w:val="0"/>
              <w:adjustRightInd w:val="0"/>
              <w:snapToGrid w:val="0"/>
              <w:jc w:val="left"/>
              <w:rPr>
                <w:rFonts w:ascii="宋体" w:hAnsi="宋体"/>
                <w:kern w:val="0"/>
                <w:sz w:val="24"/>
              </w:rPr>
            </w:pPr>
          </w:p>
        </w:tc>
      </w:tr>
      <w:tr w14:paraId="28DC698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3E1BCD3C">
            <w:pPr>
              <w:autoSpaceDE w:val="0"/>
              <w:autoSpaceDN w:val="0"/>
              <w:adjustRightInd w:val="0"/>
              <w:snapToGrid w:val="0"/>
              <w:jc w:val="left"/>
              <w:rPr>
                <w:rFonts w:ascii="宋体" w:hAnsi="宋体"/>
                <w:kern w:val="0"/>
                <w:sz w:val="24"/>
              </w:rPr>
            </w:pPr>
          </w:p>
        </w:tc>
        <w:tc>
          <w:tcPr>
            <w:tcW w:w="1453" w:type="dxa"/>
          </w:tcPr>
          <w:p w14:paraId="4CD2D11E">
            <w:pPr>
              <w:autoSpaceDE w:val="0"/>
              <w:autoSpaceDN w:val="0"/>
              <w:adjustRightInd w:val="0"/>
              <w:snapToGrid w:val="0"/>
              <w:jc w:val="left"/>
              <w:rPr>
                <w:rFonts w:ascii="宋体" w:hAnsi="宋体"/>
                <w:kern w:val="0"/>
                <w:sz w:val="24"/>
              </w:rPr>
            </w:pPr>
          </w:p>
        </w:tc>
        <w:tc>
          <w:tcPr>
            <w:tcW w:w="1186" w:type="dxa"/>
          </w:tcPr>
          <w:p w14:paraId="7148FE55">
            <w:pPr>
              <w:autoSpaceDE w:val="0"/>
              <w:autoSpaceDN w:val="0"/>
              <w:adjustRightInd w:val="0"/>
              <w:snapToGrid w:val="0"/>
              <w:jc w:val="left"/>
              <w:rPr>
                <w:rFonts w:ascii="宋体" w:hAnsi="宋体"/>
                <w:kern w:val="0"/>
                <w:sz w:val="24"/>
              </w:rPr>
            </w:pPr>
          </w:p>
        </w:tc>
        <w:tc>
          <w:tcPr>
            <w:tcW w:w="1188" w:type="dxa"/>
          </w:tcPr>
          <w:p w14:paraId="078E3728">
            <w:pPr>
              <w:autoSpaceDE w:val="0"/>
              <w:autoSpaceDN w:val="0"/>
              <w:adjustRightInd w:val="0"/>
              <w:snapToGrid w:val="0"/>
              <w:jc w:val="left"/>
              <w:rPr>
                <w:rFonts w:ascii="宋体" w:hAnsi="宋体"/>
                <w:kern w:val="0"/>
                <w:sz w:val="24"/>
              </w:rPr>
            </w:pPr>
          </w:p>
        </w:tc>
        <w:tc>
          <w:tcPr>
            <w:tcW w:w="1186" w:type="dxa"/>
          </w:tcPr>
          <w:p w14:paraId="3545D7F5">
            <w:pPr>
              <w:autoSpaceDE w:val="0"/>
              <w:autoSpaceDN w:val="0"/>
              <w:adjustRightInd w:val="0"/>
              <w:snapToGrid w:val="0"/>
              <w:jc w:val="left"/>
              <w:rPr>
                <w:rFonts w:ascii="宋体" w:hAnsi="宋体"/>
                <w:kern w:val="0"/>
                <w:sz w:val="24"/>
              </w:rPr>
            </w:pPr>
          </w:p>
        </w:tc>
        <w:tc>
          <w:tcPr>
            <w:tcW w:w="1188" w:type="dxa"/>
          </w:tcPr>
          <w:p w14:paraId="0BC900C0">
            <w:pPr>
              <w:autoSpaceDE w:val="0"/>
              <w:autoSpaceDN w:val="0"/>
              <w:adjustRightInd w:val="0"/>
              <w:snapToGrid w:val="0"/>
              <w:jc w:val="left"/>
              <w:rPr>
                <w:rFonts w:ascii="宋体" w:hAnsi="宋体"/>
                <w:kern w:val="0"/>
                <w:sz w:val="24"/>
              </w:rPr>
            </w:pPr>
          </w:p>
        </w:tc>
        <w:tc>
          <w:tcPr>
            <w:tcW w:w="1186" w:type="dxa"/>
          </w:tcPr>
          <w:p w14:paraId="0FA9D0DB">
            <w:pPr>
              <w:autoSpaceDE w:val="0"/>
              <w:autoSpaceDN w:val="0"/>
              <w:adjustRightInd w:val="0"/>
              <w:snapToGrid w:val="0"/>
              <w:jc w:val="left"/>
              <w:rPr>
                <w:rFonts w:ascii="宋体" w:hAnsi="宋体"/>
                <w:kern w:val="0"/>
                <w:sz w:val="24"/>
              </w:rPr>
            </w:pPr>
          </w:p>
        </w:tc>
        <w:tc>
          <w:tcPr>
            <w:tcW w:w="1187" w:type="dxa"/>
          </w:tcPr>
          <w:p w14:paraId="1FCE6E48">
            <w:pPr>
              <w:autoSpaceDE w:val="0"/>
              <w:autoSpaceDN w:val="0"/>
              <w:adjustRightInd w:val="0"/>
              <w:snapToGrid w:val="0"/>
              <w:jc w:val="left"/>
              <w:rPr>
                <w:rFonts w:ascii="宋体" w:hAnsi="宋体"/>
                <w:kern w:val="0"/>
                <w:sz w:val="24"/>
              </w:rPr>
            </w:pPr>
          </w:p>
        </w:tc>
      </w:tr>
      <w:tr w14:paraId="1331DC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6433E956">
            <w:pPr>
              <w:autoSpaceDE w:val="0"/>
              <w:autoSpaceDN w:val="0"/>
              <w:adjustRightInd w:val="0"/>
              <w:snapToGrid w:val="0"/>
              <w:jc w:val="left"/>
              <w:rPr>
                <w:rFonts w:ascii="宋体" w:hAnsi="宋体"/>
                <w:kern w:val="0"/>
                <w:sz w:val="24"/>
              </w:rPr>
            </w:pPr>
          </w:p>
        </w:tc>
        <w:tc>
          <w:tcPr>
            <w:tcW w:w="1453" w:type="dxa"/>
          </w:tcPr>
          <w:p w14:paraId="1239836B">
            <w:pPr>
              <w:autoSpaceDE w:val="0"/>
              <w:autoSpaceDN w:val="0"/>
              <w:adjustRightInd w:val="0"/>
              <w:snapToGrid w:val="0"/>
              <w:jc w:val="left"/>
              <w:rPr>
                <w:rFonts w:ascii="宋体" w:hAnsi="宋体"/>
                <w:kern w:val="0"/>
                <w:sz w:val="24"/>
              </w:rPr>
            </w:pPr>
          </w:p>
        </w:tc>
        <w:tc>
          <w:tcPr>
            <w:tcW w:w="1186" w:type="dxa"/>
          </w:tcPr>
          <w:p w14:paraId="05962AAC">
            <w:pPr>
              <w:autoSpaceDE w:val="0"/>
              <w:autoSpaceDN w:val="0"/>
              <w:adjustRightInd w:val="0"/>
              <w:snapToGrid w:val="0"/>
              <w:jc w:val="left"/>
              <w:rPr>
                <w:rFonts w:ascii="宋体" w:hAnsi="宋体"/>
                <w:kern w:val="0"/>
                <w:sz w:val="24"/>
              </w:rPr>
            </w:pPr>
          </w:p>
        </w:tc>
        <w:tc>
          <w:tcPr>
            <w:tcW w:w="1188" w:type="dxa"/>
          </w:tcPr>
          <w:p w14:paraId="310E60ED">
            <w:pPr>
              <w:autoSpaceDE w:val="0"/>
              <w:autoSpaceDN w:val="0"/>
              <w:adjustRightInd w:val="0"/>
              <w:snapToGrid w:val="0"/>
              <w:jc w:val="left"/>
              <w:rPr>
                <w:rFonts w:ascii="宋体" w:hAnsi="宋体"/>
                <w:kern w:val="0"/>
                <w:sz w:val="24"/>
              </w:rPr>
            </w:pPr>
          </w:p>
        </w:tc>
        <w:tc>
          <w:tcPr>
            <w:tcW w:w="1186" w:type="dxa"/>
          </w:tcPr>
          <w:p w14:paraId="37B7609B">
            <w:pPr>
              <w:autoSpaceDE w:val="0"/>
              <w:autoSpaceDN w:val="0"/>
              <w:adjustRightInd w:val="0"/>
              <w:snapToGrid w:val="0"/>
              <w:jc w:val="left"/>
              <w:rPr>
                <w:rFonts w:ascii="宋体" w:hAnsi="宋体"/>
                <w:kern w:val="0"/>
                <w:sz w:val="24"/>
              </w:rPr>
            </w:pPr>
          </w:p>
        </w:tc>
        <w:tc>
          <w:tcPr>
            <w:tcW w:w="1188" w:type="dxa"/>
          </w:tcPr>
          <w:p w14:paraId="3B75AE18">
            <w:pPr>
              <w:autoSpaceDE w:val="0"/>
              <w:autoSpaceDN w:val="0"/>
              <w:adjustRightInd w:val="0"/>
              <w:snapToGrid w:val="0"/>
              <w:jc w:val="left"/>
              <w:rPr>
                <w:rFonts w:ascii="宋体" w:hAnsi="宋体"/>
                <w:kern w:val="0"/>
                <w:sz w:val="24"/>
              </w:rPr>
            </w:pPr>
          </w:p>
        </w:tc>
        <w:tc>
          <w:tcPr>
            <w:tcW w:w="1186" w:type="dxa"/>
          </w:tcPr>
          <w:p w14:paraId="15723E4C">
            <w:pPr>
              <w:autoSpaceDE w:val="0"/>
              <w:autoSpaceDN w:val="0"/>
              <w:adjustRightInd w:val="0"/>
              <w:snapToGrid w:val="0"/>
              <w:jc w:val="left"/>
              <w:rPr>
                <w:rFonts w:ascii="宋体" w:hAnsi="宋体"/>
                <w:kern w:val="0"/>
                <w:sz w:val="24"/>
              </w:rPr>
            </w:pPr>
          </w:p>
        </w:tc>
        <w:tc>
          <w:tcPr>
            <w:tcW w:w="1187" w:type="dxa"/>
          </w:tcPr>
          <w:p w14:paraId="7CD8B6DA">
            <w:pPr>
              <w:autoSpaceDE w:val="0"/>
              <w:autoSpaceDN w:val="0"/>
              <w:adjustRightInd w:val="0"/>
              <w:snapToGrid w:val="0"/>
              <w:jc w:val="left"/>
              <w:rPr>
                <w:rFonts w:ascii="宋体" w:hAnsi="宋体"/>
                <w:kern w:val="0"/>
                <w:sz w:val="24"/>
              </w:rPr>
            </w:pPr>
          </w:p>
        </w:tc>
      </w:tr>
      <w:tr w14:paraId="3B08FB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0F6BCD6">
            <w:pPr>
              <w:autoSpaceDE w:val="0"/>
              <w:autoSpaceDN w:val="0"/>
              <w:adjustRightInd w:val="0"/>
              <w:snapToGrid w:val="0"/>
              <w:jc w:val="left"/>
              <w:rPr>
                <w:rFonts w:ascii="宋体" w:hAnsi="宋体"/>
                <w:kern w:val="0"/>
                <w:sz w:val="24"/>
              </w:rPr>
            </w:pPr>
          </w:p>
        </w:tc>
        <w:tc>
          <w:tcPr>
            <w:tcW w:w="1453" w:type="dxa"/>
          </w:tcPr>
          <w:p w14:paraId="05604C14">
            <w:pPr>
              <w:autoSpaceDE w:val="0"/>
              <w:autoSpaceDN w:val="0"/>
              <w:adjustRightInd w:val="0"/>
              <w:snapToGrid w:val="0"/>
              <w:jc w:val="left"/>
              <w:rPr>
                <w:rFonts w:ascii="宋体" w:hAnsi="宋体"/>
                <w:kern w:val="0"/>
                <w:sz w:val="24"/>
              </w:rPr>
            </w:pPr>
          </w:p>
        </w:tc>
        <w:tc>
          <w:tcPr>
            <w:tcW w:w="1186" w:type="dxa"/>
          </w:tcPr>
          <w:p w14:paraId="77CECB63">
            <w:pPr>
              <w:autoSpaceDE w:val="0"/>
              <w:autoSpaceDN w:val="0"/>
              <w:adjustRightInd w:val="0"/>
              <w:snapToGrid w:val="0"/>
              <w:jc w:val="left"/>
              <w:rPr>
                <w:rFonts w:ascii="宋体" w:hAnsi="宋体"/>
                <w:kern w:val="0"/>
                <w:sz w:val="24"/>
              </w:rPr>
            </w:pPr>
          </w:p>
        </w:tc>
        <w:tc>
          <w:tcPr>
            <w:tcW w:w="1188" w:type="dxa"/>
          </w:tcPr>
          <w:p w14:paraId="506FA2E3">
            <w:pPr>
              <w:autoSpaceDE w:val="0"/>
              <w:autoSpaceDN w:val="0"/>
              <w:adjustRightInd w:val="0"/>
              <w:snapToGrid w:val="0"/>
              <w:jc w:val="left"/>
              <w:rPr>
                <w:rFonts w:ascii="宋体" w:hAnsi="宋体"/>
                <w:kern w:val="0"/>
                <w:sz w:val="24"/>
              </w:rPr>
            </w:pPr>
          </w:p>
        </w:tc>
        <w:tc>
          <w:tcPr>
            <w:tcW w:w="1186" w:type="dxa"/>
          </w:tcPr>
          <w:p w14:paraId="172B0192">
            <w:pPr>
              <w:autoSpaceDE w:val="0"/>
              <w:autoSpaceDN w:val="0"/>
              <w:adjustRightInd w:val="0"/>
              <w:snapToGrid w:val="0"/>
              <w:jc w:val="left"/>
              <w:rPr>
                <w:rFonts w:ascii="宋体" w:hAnsi="宋体"/>
                <w:kern w:val="0"/>
                <w:sz w:val="24"/>
              </w:rPr>
            </w:pPr>
          </w:p>
        </w:tc>
        <w:tc>
          <w:tcPr>
            <w:tcW w:w="1188" w:type="dxa"/>
          </w:tcPr>
          <w:p w14:paraId="5D08DDF5">
            <w:pPr>
              <w:autoSpaceDE w:val="0"/>
              <w:autoSpaceDN w:val="0"/>
              <w:adjustRightInd w:val="0"/>
              <w:snapToGrid w:val="0"/>
              <w:jc w:val="left"/>
              <w:rPr>
                <w:rFonts w:ascii="宋体" w:hAnsi="宋体"/>
                <w:kern w:val="0"/>
                <w:sz w:val="24"/>
              </w:rPr>
            </w:pPr>
          </w:p>
        </w:tc>
        <w:tc>
          <w:tcPr>
            <w:tcW w:w="1186" w:type="dxa"/>
          </w:tcPr>
          <w:p w14:paraId="450D4164">
            <w:pPr>
              <w:autoSpaceDE w:val="0"/>
              <w:autoSpaceDN w:val="0"/>
              <w:adjustRightInd w:val="0"/>
              <w:snapToGrid w:val="0"/>
              <w:jc w:val="left"/>
              <w:rPr>
                <w:rFonts w:ascii="宋体" w:hAnsi="宋体"/>
                <w:kern w:val="0"/>
                <w:sz w:val="24"/>
              </w:rPr>
            </w:pPr>
          </w:p>
        </w:tc>
        <w:tc>
          <w:tcPr>
            <w:tcW w:w="1187" w:type="dxa"/>
          </w:tcPr>
          <w:p w14:paraId="5A85E4C5">
            <w:pPr>
              <w:autoSpaceDE w:val="0"/>
              <w:autoSpaceDN w:val="0"/>
              <w:adjustRightInd w:val="0"/>
              <w:snapToGrid w:val="0"/>
              <w:jc w:val="left"/>
              <w:rPr>
                <w:rFonts w:ascii="宋体" w:hAnsi="宋体"/>
                <w:kern w:val="0"/>
                <w:sz w:val="24"/>
              </w:rPr>
            </w:pPr>
          </w:p>
        </w:tc>
      </w:tr>
      <w:tr w14:paraId="36238A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74F56E92">
            <w:pPr>
              <w:autoSpaceDE w:val="0"/>
              <w:autoSpaceDN w:val="0"/>
              <w:adjustRightInd w:val="0"/>
              <w:snapToGrid w:val="0"/>
              <w:jc w:val="left"/>
              <w:rPr>
                <w:rFonts w:ascii="宋体" w:hAnsi="宋体"/>
                <w:kern w:val="0"/>
                <w:sz w:val="24"/>
              </w:rPr>
            </w:pPr>
          </w:p>
        </w:tc>
        <w:tc>
          <w:tcPr>
            <w:tcW w:w="1453" w:type="dxa"/>
          </w:tcPr>
          <w:p w14:paraId="3418F58E">
            <w:pPr>
              <w:autoSpaceDE w:val="0"/>
              <w:autoSpaceDN w:val="0"/>
              <w:adjustRightInd w:val="0"/>
              <w:snapToGrid w:val="0"/>
              <w:jc w:val="left"/>
              <w:rPr>
                <w:rFonts w:ascii="宋体" w:hAnsi="宋体"/>
                <w:kern w:val="0"/>
                <w:sz w:val="24"/>
              </w:rPr>
            </w:pPr>
          </w:p>
        </w:tc>
        <w:tc>
          <w:tcPr>
            <w:tcW w:w="1186" w:type="dxa"/>
          </w:tcPr>
          <w:p w14:paraId="4312F0B6">
            <w:pPr>
              <w:autoSpaceDE w:val="0"/>
              <w:autoSpaceDN w:val="0"/>
              <w:adjustRightInd w:val="0"/>
              <w:snapToGrid w:val="0"/>
              <w:jc w:val="left"/>
              <w:rPr>
                <w:rFonts w:ascii="宋体" w:hAnsi="宋体"/>
                <w:kern w:val="0"/>
                <w:sz w:val="24"/>
              </w:rPr>
            </w:pPr>
          </w:p>
        </w:tc>
        <w:tc>
          <w:tcPr>
            <w:tcW w:w="1188" w:type="dxa"/>
          </w:tcPr>
          <w:p w14:paraId="71C67273">
            <w:pPr>
              <w:autoSpaceDE w:val="0"/>
              <w:autoSpaceDN w:val="0"/>
              <w:adjustRightInd w:val="0"/>
              <w:snapToGrid w:val="0"/>
              <w:jc w:val="left"/>
              <w:rPr>
                <w:rFonts w:ascii="宋体" w:hAnsi="宋体"/>
                <w:kern w:val="0"/>
                <w:sz w:val="24"/>
              </w:rPr>
            </w:pPr>
          </w:p>
        </w:tc>
        <w:tc>
          <w:tcPr>
            <w:tcW w:w="1186" w:type="dxa"/>
          </w:tcPr>
          <w:p w14:paraId="75054B7F">
            <w:pPr>
              <w:autoSpaceDE w:val="0"/>
              <w:autoSpaceDN w:val="0"/>
              <w:adjustRightInd w:val="0"/>
              <w:snapToGrid w:val="0"/>
              <w:jc w:val="left"/>
              <w:rPr>
                <w:rFonts w:ascii="宋体" w:hAnsi="宋体"/>
                <w:kern w:val="0"/>
                <w:sz w:val="24"/>
              </w:rPr>
            </w:pPr>
          </w:p>
        </w:tc>
        <w:tc>
          <w:tcPr>
            <w:tcW w:w="1188" w:type="dxa"/>
          </w:tcPr>
          <w:p w14:paraId="5FEBC876">
            <w:pPr>
              <w:autoSpaceDE w:val="0"/>
              <w:autoSpaceDN w:val="0"/>
              <w:adjustRightInd w:val="0"/>
              <w:snapToGrid w:val="0"/>
              <w:jc w:val="left"/>
              <w:rPr>
                <w:rFonts w:ascii="宋体" w:hAnsi="宋体"/>
                <w:kern w:val="0"/>
                <w:sz w:val="24"/>
              </w:rPr>
            </w:pPr>
          </w:p>
        </w:tc>
        <w:tc>
          <w:tcPr>
            <w:tcW w:w="1186" w:type="dxa"/>
          </w:tcPr>
          <w:p w14:paraId="578622A2">
            <w:pPr>
              <w:autoSpaceDE w:val="0"/>
              <w:autoSpaceDN w:val="0"/>
              <w:adjustRightInd w:val="0"/>
              <w:snapToGrid w:val="0"/>
              <w:jc w:val="left"/>
              <w:rPr>
                <w:rFonts w:ascii="宋体" w:hAnsi="宋体"/>
                <w:kern w:val="0"/>
                <w:sz w:val="24"/>
              </w:rPr>
            </w:pPr>
          </w:p>
        </w:tc>
        <w:tc>
          <w:tcPr>
            <w:tcW w:w="1187" w:type="dxa"/>
          </w:tcPr>
          <w:p w14:paraId="488D40F8">
            <w:pPr>
              <w:autoSpaceDE w:val="0"/>
              <w:autoSpaceDN w:val="0"/>
              <w:adjustRightInd w:val="0"/>
              <w:snapToGrid w:val="0"/>
              <w:jc w:val="left"/>
              <w:rPr>
                <w:rFonts w:ascii="宋体" w:hAnsi="宋体"/>
                <w:kern w:val="0"/>
                <w:sz w:val="24"/>
              </w:rPr>
            </w:pPr>
          </w:p>
        </w:tc>
      </w:tr>
      <w:tr w14:paraId="391110F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E46BA1F">
            <w:pPr>
              <w:autoSpaceDE w:val="0"/>
              <w:autoSpaceDN w:val="0"/>
              <w:adjustRightInd w:val="0"/>
              <w:snapToGrid w:val="0"/>
              <w:jc w:val="left"/>
              <w:rPr>
                <w:rFonts w:ascii="宋体" w:hAnsi="宋体"/>
                <w:kern w:val="0"/>
                <w:sz w:val="24"/>
              </w:rPr>
            </w:pPr>
          </w:p>
        </w:tc>
        <w:tc>
          <w:tcPr>
            <w:tcW w:w="1453" w:type="dxa"/>
          </w:tcPr>
          <w:p w14:paraId="6B66B749">
            <w:pPr>
              <w:autoSpaceDE w:val="0"/>
              <w:autoSpaceDN w:val="0"/>
              <w:adjustRightInd w:val="0"/>
              <w:snapToGrid w:val="0"/>
              <w:jc w:val="left"/>
              <w:rPr>
                <w:rFonts w:ascii="宋体" w:hAnsi="宋体"/>
                <w:kern w:val="0"/>
                <w:sz w:val="24"/>
              </w:rPr>
            </w:pPr>
          </w:p>
        </w:tc>
        <w:tc>
          <w:tcPr>
            <w:tcW w:w="1186" w:type="dxa"/>
          </w:tcPr>
          <w:p w14:paraId="4E976085">
            <w:pPr>
              <w:autoSpaceDE w:val="0"/>
              <w:autoSpaceDN w:val="0"/>
              <w:adjustRightInd w:val="0"/>
              <w:snapToGrid w:val="0"/>
              <w:jc w:val="left"/>
              <w:rPr>
                <w:rFonts w:ascii="宋体" w:hAnsi="宋体"/>
                <w:kern w:val="0"/>
                <w:sz w:val="24"/>
              </w:rPr>
            </w:pPr>
          </w:p>
        </w:tc>
        <w:tc>
          <w:tcPr>
            <w:tcW w:w="1188" w:type="dxa"/>
          </w:tcPr>
          <w:p w14:paraId="2814D61C">
            <w:pPr>
              <w:autoSpaceDE w:val="0"/>
              <w:autoSpaceDN w:val="0"/>
              <w:adjustRightInd w:val="0"/>
              <w:snapToGrid w:val="0"/>
              <w:jc w:val="left"/>
              <w:rPr>
                <w:rFonts w:ascii="宋体" w:hAnsi="宋体"/>
                <w:kern w:val="0"/>
                <w:sz w:val="24"/>
              </w:rPr>
            </w:pPr>
          </w:p>
        </w:tc>
        <w:tc>
          <w:tcPr>
            <w:tcW w:w="1186" w:type="dxa"/>
          </w:tcPr>
          <w:p w14:paraId="49281518">
            <w:pPr>
              <w:autoSpaceDE w:val="0"/>
              <w:autoSpaceDN w:val="0"/>
              <w:adjustRightInd w:val="0"/>
              <w:snapToGrid w:val="0"/>
              <w:jc w:val="left"/>
              <w:rPr>
                <w:rFonts w:ascii="宋体" w:hAnsi="宋体"/>
                <w:kern w:val="0"/>
                <w:sz w:val="24"/>
              </w:rPr>
            </w:pPr>
          </w:p>
        </w:tc>
        <w:tc>
          <w:tcPr>
            <w:tcW w:w="1188" w:type="dxa"/>
          </w:tcPr>
          <w:p w14:paraId="104895DD">
            <w:pPr>
              <w:autoSpaceDE w:val="0"/>
              <w:autoSpaceDN w:val="0"/>
              <w:adjustRightInd w:val="0"/>
              <w:snapToGrid w:val="0"/>
              <w:jc w:val="left"/>
              <w:rPr>
                <w:rFonts w:ascii="宋体" w:hAnsi="宋体"/>
                <w:kern w:val="0"/>
                <w:sz w:val="24"/>
              </w:rPr>
            </w:pPr>
          </w:p>
        </w:tc>
        <w:tc>
          <w:tcPr>
            <w:tcW w:w="1186" w:type="dxa"/>
          </w:tcPr>
          <w:p w14:paraId="053EB56D">
            <w:pPr>
              <w:autoSpaceDE w:val="0"/>
              <w:autoSpaceDN w:val="0"/>
              <w:adjustRightInd w:val="0"/>
              <w:snapToGrid w:val="0"/>
              <w:jc w:val="left"/>
              <w:rPr>
                <w:rFonts w:ascii="宋体" w:hAnsi="宋体"/>
                <w:kern w:val="0"/>
                <w:sz w:val="24"/>
              </w:rPr>
            </w:pPr>
          </w:p>
        </w:tc>
        <w:tc>
          <w:tcPr>
            <w:tcW w:w="1187" w:type="dxa"/>
          </w:tcPr>
          <w:p w14:paraId="7496ABAF">
            <w:pPr>
              <w:autoSpaceDE w:val="0"/>
              <w:autoSpaceDN w:val="0"/>
              <w:adjustRightInd w:val="0"/>
              <w:snapToGrid w:val="0"/>
              <w:jc w:val="left"/>
              <w:rPr>
                <w:rFonts w:ascii="宋体" w:hAnsi="宋体"/>
                <w:kern w:val="0"/>
                <w:sz w:val="24"/>
              </w:rPr>
            </w:pPr>
          </w:p>
        </w:tc>
      </w:tr>
      <w:tr w14:paraId="37B4FB9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DA7F37">
            <w:pPr>
              <w:autoSpaceDE w:val="0"/>
              <w:autoSpaceDN w:val="0"/>
              <w:adjustRightInd w:val="0"/>
              <w:snapToGrid w:val="0"/>
              <w:jc w:val="left"/>
              <w:rPr>
                <w:rFonts w:ascii="宋体" w:hAnsi="宋体"/>
                <w:kern w:val="0"/>
                <w:sz w:val="24"/>
              </w:rPr>
            </w:pPr>
          </w:p>
        </w:tc>
        <w:tc>
          <w:tcPr>
            <w:tcW w:w="1453" w:type="dxa"/>
          </w:tcPr>
          <w:p w14:paraId="3300B751">
            <w:pPr>
              <w:autoSpaceDE w:val="0"/>
              <w:autoSpaceDN w:val="0"/>
              <w:adjustRightInd w:val="0"/>
              <w:snapToGrid w:val="0"/>
              <w:jc w:val="left"/>
              <w:rPr>
                <w:rFonts w:ascii="宋体" w:hAnsi="宋体"/>
                <w:kern w:val="0"/>
                <w:sz w:val="24"/>
              </w:rPr>
            </w:pPr>
          </w:p>
        </w:tc>
        <w:tc>
          <w:tcPr>
            <w:tcW w:w="1186" w:type="dxa"/>
          </w:tcPr>
          <w:p w14:paraId="6F23A039">
            <w:pPr>
              <w:autoSpaceDE w:val="0"/>
              <w:autoSpaceDN w:val="0"/>
              <w:adjustRightInd w:val="0"/>
              <w:snapToGrid w:val="0"/>
              <w:jc w:val="left"/>
              <w:rPr>
                <w:rFonts w:ascii="宋体" w:hAnsi="宋体"/>
                <w:kern w:val="0"/>
                <w:sz w:val="24"/>
              </w:rPr>
            </w:pPr>
          </w:p>
        </w:tc>
        <w:tc>
          <w:tcPr>
            <w:tcW w:w="1188" w:type="dxa"/>
          </w:tcPr>
          <w:p w14:paraId="1619D64E">
            <w:pPr>
              <w:autoSpaceDE w:val="0"/>
              <w:autoSpaceDN w:val="0"/>
              <w:adjustRightInd w:val="0"/>
              <w:snapToGrid w:val="0"/>
              <w:jc w:val="left"/>
              <w:rPr>
                <w:rFonts w:ascii="宋体" w:hAnsi="宋体"/>
                <w:kern w:val="0"/>
                <w:sz w:val="24"/>
              </w:rPr>
            </w:pPr>
          </w:p>
        </w:tc>
        <w:tc>
          <w:tcPr>
            <w:tcW w:w="1186" w:type="dxa"/>
          </w:tcPr>
          <w:p w14:paraId="6BA49564">
            <w:pPr>
              <w:autoSpaceDE w:val="0"/>
              <w:autoSpaceDN w:val="0"/>
              <w:adjustRightInd w:val="0"/>
              <w:snapToGrid w:val="0"/>
              <w:jc w:val="left"/>
              <w:rPr>
                <w:rFonts w:ascii="宋体" w:hAnsi="宋体"/>
                <w:kern w:val="0"/>
                <w:sz w:val="24"/>
              </w:rPr>
            </w:pPr>
          </w:p>
        </w:tc>
        <w:tc>
          <w:tcPr>
            <w:tcW w:w="1188" w:type="dxa"/>
          </w:tcPr>
          <w:p w14:paraId="2994CE97">
            <w:pPr>
              <w:autoSpaceDE w:val="0"/>
              <w:autoSpaceDN w:val="0"/>
              <w:adjustRightInd w:val="0"/>
              <w:snapToGrid w:val="0"/>
              <w:jc w:val="left"/>
              <w:rPr>
                <w:rFonts w:ascii="宋体" w:hAnsi="宋体"/>
                <w:kern w:val="0"/>
                <w:sz w:val="24"/>
              </w:rPr>
            </w:pPr>
          </w:p>
        </w:tc>
        <w:tc>
          <w:tcPr>
            <w:tcW w:w="1186" w:type="dxa"/>
          </w:tcPr>
          <w:p w14:paraId="489EE540">
            <w:pPr>
              <w:autoSpaceDE w:val="0"/>
              <w:autoSpaceDN w:val="0"/>
              <w:adjustRightInd w:val="0"/>
              <w:snapToGrid w:val="0"/>
              <w:jc w:val="left"/>
              <w:rPr>
                <w:rFonts w:ascii="宋体" w:hAnsi="宋体"/>
                <w:kern w:val="0"/>
                <w:sz w:val="24"/>
              </w:rPr>
            </w:pPr>
          </w:p>
        </w:tc>
        <w:tc>
          <w:tcPr>
            <w:tcW w:w="1187" w:type="dxa"/>
          </w:tcPr>
          <w:p w14:paraId="0EF137E2">
            <w:pPr>
              <w:autoSpaceDE w:val="0"/>
              <w:autoSpaceDN w:val="0"/>
              <w:adjustRightInd w:val="0"/>
              <w:snapToGrid w:val="0"/>
              <w:jc w:val="left"/>
              <w:rPr>
                <w:rFonts w:ascii="宋体" w:hAnsi="宋体"/>
                <w:kern w:val="0"/>
                <w:sz w:val="24"/>
              </w:rPr>
            </w:pPr>
          </w:p>
        </w:tc>
      </w:tr>
      <w:tr w14:paraId="2A30BD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E6239CC">
            <w:pPr>
              <w:autoSpaceDE w:val="0"/>
              <w:autoSpaceDN w:val="0"/>
              <w:adjustRightInd w:val="0"/>
              <w:snapToGrid w:val="0"/>
              <w:jc w:val="left"/>
              <w:rPr>
                <w:rFonts w:ascii="宋体" w:hAnsi="宋体"/>
                <w:kern w:val="0"/>
                <w:sz w:val="24"/>
              </w:rPr>
            </w:pPr>
          </w:p>
        </w:tc>
        <w:tc>
          <w:tcPr>
            <w:tcW w:w="1453" w:type="dxa"/>
          </w:tcPr>
          <w:p w14:paraId="2A28F61A">
            <w:pPr>
              <w:autoSpaceDE w:val="0"/>
              <w:autoSpaceDN w:val="0"/>
              <w:adjustRightInd w:val="0"/>
              <w:snapToGrid w:val="0"/>
              <w:jc w:val="left"/>
              <w:rPr>
                <w:rFonts w:ascii="宋体" w:hAnsi="宋体"/>
                <w:kern w:val="0"/>
                <w:sz w:val="24"/>
              </w:rPr>
            </w:pPr>
          </w:p>
        </w:tc>
        <w:tc>
          <w:tcPr>
            <w:tcW w:w="1186" w:type="dxa"/>
          </w:tcPr>
          <w:p w14:paraId="6F45AF1D">
            <w:pPr>
              <w:autoSpaceDE w:val="0"/>
              <w:autoSpaceDN w:val="0"/>
              <w:adjustRightInd w:val="0"/>
              <w:snapToGrid w:val="0"/>
              <w:jc w:val="left"/>
              <w:rPr>
                <w:rFonts w:ascii="宋体" w:hAnsi="宋体"/>
                <w:kern w:val="0"/>
                <w:sz w:val="24"/>
              </w:rPr>
            </w:pPr>
          </w:p>
        </w:tc>
        <w:tc>
          <w:tcPr>
            <w:tcW w:w="1188" w:type="dxa"/>
          </w:tcPr>
          <w:p w14:paraId="67145C26">
            <w:pPr>
              <w:autoSpaceDE w:val="0"/>
              <w:autoSpaceDN w:val="0"/>
              <w:adjustRightInd w:val="0"/>
              <w:snapToGrid w:val="0"/>
              <w:jc w:val="left"/>
              <w:rPr>
                <w:rFonts w:ascii="宋体" w:hAnsi="宋体"/>
                <w:kern w:val="0"/>
                <w:sz w:val="24"/>
              </w:rPr>
            </w:pPr>
          </w:p>
        </w:tc>
        <w:tc>
          <w:tcPr>
            <w:tcW w:w="1186" w:type="dxa"/>
          </w:tcPr>
          <w:p w14:paraId="74D98A93">
            <w:pPr>
              <w:autoSpaceDE w:val="0"/>
              <w:autoSpaceDN w:val="0"/>
              <w:adjustRightInd w:val="0"/>
              <w:snapToGrid w:val="0"/>
              <w:jc w:val="left"/>
              <w:rPr>
                <w:rFonts w:ascii="宋体" w:hAnsi="宋体"/>
                <w:kern w:val="0"/>
                <w:sz w:val="24"/>
              </w:rPr>
            </w:pPr>
          </w:p>
        </w:tc>
        <w:tc>
          <w:tcPr>
            <w:tcW w:w="1188" w:type="dxa"/>
          </w:tcPr>
          <w:p w14:paraId="5E2E4F30">
            <w:pPr>
              <w:autoSpaceDE w:val="0"/>
              <w:autoSpaceDN w:val="0"/>
              <w:adjustRightInd w:val="0"/>
              <w:snapToGrid w:val="0"/>
              <w:jc w:val="left"/>
              <w:rPr>
                <w:rFonts w:ascii="宋体" w:hAnsi="宋体"/>
                <w:kern w:val="0"/>
                <w:sz w:val="24"/>
              </w:rPr>
            </w:pPr>
          </w:p>
        </w:tc>
        <w:tc>
          <w:tcPr>
            <w:tcW w:w="1186" w:type="dxa"/>
          </w:tcPr>
          <w:p w14:paraId="5583D61C">
            <w:pPr>
              <w:autoSpaceDE w:val="0"/>
              <w:autoSpaceDN w:val="0"/>
              <w:adjustRightInd w:val="0"/>
              <w:snapToGrid w:val="0"/>
              <w:jc w:val="left"/>
              <w:rPr>
                <w:rFonts w:ascii="宋体" w:hAnsi="宋体"/>
                <w:kern w:val="0"/>
                <w:sz w:val="24"/>
              </w:rPr>
            </w:pPr>
          </w:p>
        </w:tc>
        <w:tc>
          <w:tcPr>
            <w:tcW w:w="1187" w:type="dxa"/>
          </w:tcPr>
          <w:p w14:paraId="6DC1F4FD">
            <w:pPr>
              <w:autoSpaceDE w:val="0"/>
              <w:autoSpaceDN w:val="0"/>
              <w:adjustRightInd w:val="0"/>
              <w:snapToGrid w:val="0"/>
              <w:jc w:val="left"/>
              <w:rPr>
                <w:rFonts w:ascii="宋体" w:hAnsi="宋体"/>
                <w:kern w:val="0"/>
                <w:sz w:val="24"/>
              </w:rPr>
            </w:pPr>
          </w:p>
        </w:tc>
      </w:tr>
      <w:tr w14:paraId="35DCBC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41F5BAD">
            <w:pPr>
              <w:autoSpaceDE w:val="0"/>
              <w:autoSpaceDN w:val="0"/>
              <w:adjustRightInd w:val="0"/>
              <w:snapToGrid w:val="0"/>
              <w:jc w:val="left"/>
              <w:rPr>
                <w:rFonts w:ascii="宋体" w:hAnsi="宋体"/>
                <w:kern w:val="0"/>
                <w:sz w:val="24"/>
              </w:rPr>
            </w:pPr>
          </w:p>
        </w:tc>
        <w:tc>
          <w:tcPr>
            <w:tcW w:w="1453" w:type="dxa"/>
          </w:tcPr>
          <w:p w14:paraId="3EDF1A5C">
            <w:pPr>
              <w:autoSpaceDE w:val="0"/>
              <w:autoSpaceDN w:val="0"/>
              <w:adjustRightInd w:val="0"/>
              <w:snapToGrid w:val="0"/>
              <w:jc w:val="left"/>
              <w:rPr>
                <w:rFonts w:ascii="宋体" w:hAnsi="宋体"/>
                <w:kern w:val="0"/>
                <w:sz w:val="24"/>
              </w:rPr>
            </w:pPr>
          </w:p>
        </w:tc>
        <w:tc>
          <w:tcPr>
            <w:tcW w:w="1186" w:type="dxa"/>
          </w:tcPr>
          <w:p w14:paraId="72F6760D">
            <w:pPr>
              <w:autoSpaceDE w:val="0"/>
              <w:autoSpaceDN w:val="0"/>
              <w:adjustRightInd w:val="0"/>
              <w:snapToGrid w:val="0"/>
              <w:jc w:val="left"/>
              <w:rPr>
                <w:rFonts w:ascii="宋体" w:hAnsi="宋体"/>
                <w:kern w:val="0"/>
                <w:sz w:val="24"/>
              </w:rPr>
            </w:pPr>
          </w:p>
        </w:tc>
        <w:tc>
          <w:tcPr>
            <w:tcW w:w="1188" w:type="dxa"/>
          </w:tcPr>
          <w:p w14:paraId="4B4C07B5">
            <w:pPr>
              <w:autoSpaceDE w:val="0"/>
              <w:autoSpaceDN w:val="0"/>
              <w:adjustRightInd w:val="0"/>
              <w:snapToGrid w:val="0"/>
              <w:jc w:val="left"/>
              <w:rPr>
                <w:rFonts w:ascii="宋体" w:hAnsi="宋体"/>
                <w:kern w:val="0"/>
                <w:sz w:val="24"/>
              </w:rPr>
            </w:pPr>
          </w:p>
        </w:tc>
        <w:tc>
          <w:tcPr>
            <w:tcW w:w="1186" w:type="dxa"/>
          </w:tcPr>
          <w:p w14:paraId="34FCFBDA">
            <w:pPr>
              <w:autoSpaceDE w:val="0"/>
              <w:autoSpaceDN w:val="0"/>
              <w:adjustRightInd w:val="0"/>
              <w:snapToGrid w:val="0"/>
              <w:jc w:val="left"/>
              <w:rPr>
                <w:rFonts w:ascii="宋体" w:hAnsi="宋体"/>
                <w:kern w:val="0"/>
                <w:sz w:val="24"/>
              </w:rPr>
            </w:pPr>
          </w:p>
        </w:tc>
        <w:tc>
          <w:tcPr>
            <w:tcW w:w="1188" w:type="dxa"/>
          </w:tcPr>
          <w:p w14:paraId="358A9CF4">
            <w:pPr>
              <w:autoSpaceDE w:val="0"/>
              <w:autoSpaceDN w:val="0"/>
              <w:adjustRightInd w:val="0"/>
              <w:snapToGrid w:val="0"/>
              <w:jc w:val="left"/>
              <w:rPr>
                <w:rFonts w:ascii="宋体" w:hAnsi="宋体"/>
                <w:kern w:val="0"/>
                <w:sz w:val="24"/>
              </w:rPr>
            </w:pPr>
          </w:p>
        </w:tc>
        <w:tc>
          <w:tcPr>
            <w:tcW w:w="1186" w:type="dxa"/>
          </w:tcPr>
          <w:p w14:paraId="2D7F843E">
            <w:pPr>
              <w:autoSpaceDE w:val="0"/>
              <w:autoSpaceDN w:val="0"/>
              <w:adjustRightInd w:val="0"/>
              <w:snapToGrid w:val="0"/>
              <w:jc w:val="left"/>
              <w:rPr>
                <w:rFonts w:ascii="宋体" w:hAnsi="宋体"/>
                <w:kern w:val="0"/>
                <w:sz w:val="24"/>
              </w:rPr>
            </w:pPr>
          </w:p>
        </w:tc>
        <w:tc>
          <w:tcPr>
            <w:tcW w:w="1187" w:type="dxa"/>
          </w:tcPr>
          <w:p w14:paraId="5EA7D611">
            <w:pPr>
              <w:autoSpaceDE w:val="0"/>
              <w:autoSpaceDN w:val="0"/>
              <w:adjustRightInd w:val="0"/>
              <w:snapToGrid w:val="0"/>
              <w:jc w:val="left"/>
              <w:rPr>
                <w:rFonts w:ascii="宋体" w:hAnsi="宋体"/>
                <w:kern w:val="0"/>
                <w:sz w:val="24"/>
              </w:rPr>
            </w:pPr>
          </w:p>
        </w:tc>
      </w:tr>
      <w:tr w14:paraId="272A26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F6E358E">
            <w:pPr>
              <w:autoSpaceDE w:val="0"/>
              <w:autoSpaceDN w:val="0"/>
              <w:adjustRightInd w:val="0"/>
              <w:snapToGrid w:val="0"/>
              <w:jc w:val="left"/>
              <w:rPr>
                <w:rFonts w:ascii="宋体" w:hAnsi="宋体"/>
                <w:kern w:val="0"/>
                <w:sz w:val="24"/>
              </w:rPr>
            </w:pPr>
          </w:p>
        </w:tc>
        <w:tc>
          <w:tcPr>
            <w:tcW w:w="1453" w:type="dxa"/>
          </w:tcPr>
          <w:p w14:paraId="2D8AE004">
            <w:pPr>
              <w:autoSpaceDE w:val="0"/>
              <w:autoSpaceDN w:val="0"/>
              <w:adjustRightInd w:val="0"/>
              <w:snapToGrid w:val="0"/>
              <w:jc w:val="left"/>
              <w:rPr>
                <w:rFonts w:ascii="宋体" w:hAnsi="宋体"/>
                <w:kern w:val="0"/>
                <w:sz w:val="24"/>
              </w:rPr>
            </w:pPr>
          </w:p>
        </w:tc>
        <w:tc>
          <w:tcPr>
            <w:tcW w:w="1186" w:type="dxa"/>
          </w:tcPr>
          <w:p w14:paraId="25038824">
            <w:pPr>
              <w:autoSpaceDE w:val="0"/>
              <w:autoSpaceDN w:val="0"/>
              <w:adjustRightInd w:val="0"/>
              <w:snapToGrid w:val="0"/>
              <w:jc w:val="left"/>
              <w:rPr>
                <w:rFonts w:ascii="宋体" w:hAnsi="宋体"/>
                <w:kern w:val="0"/>
                <w:sz w:val="24"/>
              </w:rPr>
            </w:pPr>
          </w:p>
        </w:tc>
        <w:tc>
          <w:tcPr>
            <w:tcW w:w="1188" w:type="dxa"/>
          </w:tcPr>
          <w:p w14:paraId="387D97A6">
            <w:pPr>
              <w:autoSpaceDE w:val="0"/>
              <w:autoSpaceDN w:val="0"/>
              <w:adjustRightInd w:val="0"/>
              <w:snapToGrid w:val="0"/>
              <w:jc w:val="left"/>
              <w:rPr>
                <w:rFonts w:ascii="宋体" w:hAnsi="宋体"/>
                <w:kern w:val="0"/>
                <w:sz w:val="24"/>
              </w:rPr>
            </w:pPr>
          </w:p>
        </w:tc>
        <w:tc>
          <w:tcPr>
            <w:tcW w:w="1186" w:type="dxa"/>
          </w:tcPr>
          <w:p w14:paraId="7AF8C326">
            <w:pPr>
              <w:autoSpaceDE w:val="0"/>
              <w:autoSpaceDN w:val="0"/>
              <w:adjustRightInd w:val="0"/>
              <w:snapToGrid w:val="0"/>
              <w:jc w:val="left"/>
              <w:rPr>
                <w:rFonts w:ascii="宋体" w:hAnsi="宋体"/>
                <w:kern w:val="0"/>
                <w:sz w:val="24"/>
              </w:rPr>
            </w:pPr>
          </w:p>
        </w:tc>
        <w:tc>
          <w:tcPr>
            <w:tcW w:w="1188" w:type="dxa"/>
          </w:tcPr>
          <w:p w14:paraId="0B99D2BC">
            <w:pPr>
              <w:autoSpaceDE w:val="0"/>
              <w:autoSpaceDN w:val="0"/>
              <w:adjustRightInd w:val="0"/>
              <w:snapToGrid w:val="0"/>
              <w:jc w:val="left"/>
              <w:rPr>
                <w:rFonts w:ascii="宋体" w:hAnsi="宋体"/>
                <w:kern w:val="0"/>
                <w:sz w:val="24"/>
              </w:rPr>
            </w:pPr>
          </w:p>
        </w:tc>
        <w:tc>
          <w:tcPr>
            <w:tcW w:w="1186" w:type="dxa"/>
          </w:tcPr>
          <w:p w14:paraId="0073C55C">
            <w:pPr>
              <w:autoSpaceDE w:val="0"/>
              <w:autoSpaceDN w:val="0"/>
              <w:adjustRightInd w:val="0"/>
              <w:snapToGrid w:val="0"/>
              <w:jc w:val="left"/>
              <w:rPr>
                <w:rFonts w:ascii="宋体" w:hAnsi="宋体"/>
                <w:kern w:val="0"/>
                <w:sz w:val="24"/>
              </w:rPr>
            </w:pPr>
          </w:p>
        </w:tc>
        <w:tc>
          <w:tcPr>
            <w:tcW w:w="1187" w:type="dxa"/>
          </w:tcPr>
          <w:p w14:paraId="1BF08C59">
            <w:pPr>
              <w:autoSpaceDE w:val="0"/>
              <w:autoSpaceDN w:val="0"/>
              <w:adjustRightInd w:val="0"/>
              <w:snapToGrid w:val="0"/>
              <w:jc w:val="left"/>
              <w:rPr>
                <w:rFonts w:ascii="宋体" w:hAnsi="宋体"/>
                <w:kern w:val="0"/>
                <w:sz w:val="24"/>
              </w:rPr>
            </w:pPr>
          </w:p>
        </w:tc>
      </w:tr>
      <w:tr w14:paraId="0F6541A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0B0D654">
            <w:pPr>
              <w:autoSpaceDE w:val="0"/>
              <w:autoSpaceDN w:val="0"/>
              <w:adjustRightInd w:val="0"/>
              <w:snapToGrid w:val="0"/>
              <w:jc w:val="left"/>
              <w:rPr>
                <w:rFonts w:ascii="宋体" w:hAnsi="宋体"/>
                <w:kern w:val="0"/>
                <w:sz w:val="24"/>
              </w:rPr>
            </w:pPr>
          </w:p>
        </w:tc>
        <w:tc>
          <w:tcPr>
            <w:tcW w:w="1453" w:type="dxa"/>
          </w:tcPr>
          <w:p w14:paraId="7B302CCE">
            <w:pPr>
              <w:autoSpaceDE w:val="0"/>
              <w:autoSpaceDN w:val="0"/>
              <w:adjustRightInd w:val="0"/>
              <w:snapToGrid w:val="0"/>
              <w:jc w:val="left"/>
              <w:rPr>
                <w:rFonts w:ascii="宋体" w:hAnsi="宋体"/>
                <w:kern w:val="0"/>
                <w:sz w:val="24"/>
              </w:rPr>
            </w:pPr>
          </w:p>
        </w:tc>
        <w:tc>
          <w:tcPr>
            <w:tcW w:w="1186" w:type="dxa"/>
          </w:tcPr>
          <w:p w14:paraId="2F6C6757">
            <w:pPr>
              <w:autoSpaceDE w:val="0"/>
              <w:autoSpaceDN w:val="0"/>
              <w:adjustRightInd w:val="0"/>
              <w:snapToGrid w:val="0"/>
              <w:jc w:val="left"/>
              <w:rPr>
                <w:rFonts w:ascii="宋体" w:hAnsi="宋体"/>
                <w:kern w:val="0"/>
                <w:sz w:val="24"/>
              </w:rPr>
            </w:pPr>
          </w:p>
        </w:tc>
        <w:tc>
          <w:tcPr>
            <w:tcW w:w="1188" w:type="dxa"/>
          </w:tcPr>
          <w:p w14:paraId="0FDAA0F5">
            <w:pPr>
              <w:autoSpaceDE w:val="0"/>
              <w:autoSpaceDN w:val="0"/>
              <w:adjustRightInd w:val="0"/>
              <w:snapToGrid w:val="0"/>
              <w:jc w:val="left"/>
              <w:rPr>
                <w:rFonts w:ascii="宋体" w:hAnsi="宋体"/>
                <w:kern w:val="0"/>
                <w:sz w:val="24"/>
              </w:rPr>
            </w:pPr>
          </w:p>
        </w:tc>
        <w:tc>
          <w:tcPr>
            <w:tcW w:w="1186" w:type="dxa"/>
          </w:tcPr>
          <w:p w14:paraId="7A3B0803">
            <w:pPr>
              <w:autoSpaceDE w:val="0"/>
              <w:autoSpaceDN w:val="0"/>
              <w:adjustRightInd w:val="0"/>
              <w:snapToGrid w:val="0"/>
              <w:jc w:val="left"/>
              <w:rPr>
                <w:rFonts w:ascii="宋体" w:hAnsi="宋体"/>
                <w:kern w:val="0"/>
                <w:sz w:val="24"/>
              </w:rPr>
            </w:pPr>
          </w:p>
        </w:tc>
        <w:tc>
          <w:tcPr>
            <w:tcW w:w="1188" w:type="dxa"/>
          </w:tcPr>
          <w:p w14:paraId="043A79B2">
            <w:pPr>
              <w:autoSpaceDE w:val="0"/>
              <w:autoSpaceDN w:val="0"/>
              <w:adjustRightInd w:val="0"/>
              <w:snapToGrid w:val="0"/>
              <w:jc w:val="left"/>
              <w:rPr>
                <w:rFonts w:ascii="宋体" w:hAnsi="宋体"/>
                <w:kern w:val="0"/>
                <w:sz w:val="24"/>
              </w:rPr>
            </w:pPr>
          </w:p>
        </w:tc>
        <w:tc>
          <w:tcPr>
            <w:tcW w:w="1186" w:type="dxa"/>
          </w:tcPr>
          <w:p w14:paraId="60AC0476">
            <w:pPr>
              <w:autoSpaceDE w:val="0"/>
              <w:autoSpaceDN w:val="0"/>
              <w:adjustRightInd w:val="0"/>
              <w:snapToGrid w:val="0"/>
              <w:jc w:val="left"/>
              <w:rPr>
                <w:rFonts w:ascii="宋体" w:hAnsi="宋体"/>
                <w:kern w:val="0"/>
                <w:sz w:val="24"/>
              </w:rPr>
            </w:pPr>
          </w:p>
        </w:tc>
        <w:tc>
          <w:tcPr>
            <w:tcW w:w="1187" w:type="dxa"/>
          </w:tcPr>
          <w:p w14:paraId="6A6FAF50">
            <w:pPr>
              <w:autoSpaceDE w:val="0"/>
              <w:autoSpaceDN w:val="0"/>
              <w:adjustRightInd w:val="0"/>
              <w:snapToGrid w:val="0"/>
              <w:jc w:val="left"/>
              <w:rPr>
                <w:rFonts w:ascii="宋体" w:hAnsi="宋体"/>
                <w:kern w:val="0"/>
                <w:sz w:val="24"/>
              </w:rPr>
            </w:pPr>
          </w:p>
        </w:tc>
      </w:tr>
      <w:tr w14:paraId="0EA79B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5AF68872">
            <w:pPr>
              <w:autoSpaceDE w:val="0"/>
              <w:autoSpaceDN w:val="0"/>
              <w:adjustRightInd w:val="0"/>
              <w:snapToGrid w:val="0"/>
              <w:jc w:val="left"/>
              <w:rPr>
                <w:rFonts w:ascii="宋体" w:hAnsi="宋体"/>
                <w:kern w:val="0"/>
                <w:sz w:val="24"/>
              </w:rPr>
            </w:pPr>
          </w:p>
        </w:tc>
        <w:tc>
          <w:tcPr>
            <w:tcW w:w="1453" w:type="dxa"/>
          </w:tcPr>
          <w:p w14:paraId="64583BF1">
            <w:pPr>
              <w:autoSpaceDE w:val="0"/>
              <w:autoSpaceDN w:val="0"/>
              <w:adjustRightInd w:val="0"/>
              <w:snapToGrid w:val="0"/>
              <w:jc w:val="left"/>
              <w:rPr>
                <w:rFonts w:ascii="宋体" w:hAnsi="宋体"/>
                <w:kern w:val="0"/>
                <w:sz w:val="24"/>
              </w:rPr>
            </w:pPr>
          </w:p>
        </w:tc>
        <w:tc>
          <w:tcPr>
            <w:tcW w:w="1186" w:type="dxa"/>
          </w:tcPr>
          <w:p w14:paraId="36450039">
            <w:pPr>
              <w:autoSpaceDE w:val="0"/>
              <w:autoSpaceDN w:val="0"/>
              <w:adjustRightInd w:val="0"/>
              <w:snapToGrid w:val="0"/>
              <w:jc w:val="left"/>
              <w:rPr>
                <w:rFonts w:ascii="宋体" w:hAnsi="宋体"/>
                <w:kern w:val="0"/>
                <w:sz w:val="24"/>
              </w:rPr>
            </w:pPr>
          </w:p>
        </w:tc>
        <w:tc>
          <w:tcPr>
            <w:tcW w:w="1188" w:type="dxa"/>
          </w:tcPr>
          <w:p w14:paraId="65EF5B25">
            <w:pPr>
              <w:autoSpaceDE w:val="0"/>
              <w:autoSpaceDN w:val="0"/>
              <w:adjustRightInd w:val="0"/>
              <w:snapToGrid w:val="0"/>
              <w:jc w:val="left"/>
              <w:rPr>
                <w:rFonts w:ascii="宋体" w:hAnsi="宋体"/>
                <w:kern w:val="0"/>
                <w:sz w:val="24"/>
              </w:rPr>
            </w:pPr>
          </w:p>
        </w:tc>
        <w:tc>
          <w:tcPr>
            <w:tcW w:w="1186" w:type="dxa"/>
          </w:tcPr>
          <w:p w14:paraId="34BBA279">
            <w:pPr>
              <w:autoSpaceDE w:val="0"/>
              <w:autoSpaceDN w:val="0"/>
              <w:adjustRightInd w:val="0"/>
              <w:snapToGrid w:val="0"/>
              <w:jc w:val="left"/>
              <w:rPr>
                <w:rFonts w:ascii="宋体" w:hAnsi="宋体"/>
                <w:kern w:val="0"/>
                <w:sz w:val="24"/>
              </w:rPr>
            </w:pPr>
          </w:p>
        </w:tc>
        <w:tc>
          <w:tcPr>
            <w:tcW w:w="1188" w:type="dxa"/>
          </w:tcPr>
          <w:p w14:paraId="377D8D4A">
            <w:pPr>
              <w:autoSpaceDE w:val="0"/>
              <w:autoSpaceDN w:val="0"/>
              <w:adjustRightInd w:val="0"/>
              <w:snapToGrid w:val="0"/>
              <w:jc w:val="left"/>
              <w:rPr>
                <w:rFonts w:ascii="宋体" w:hAnsi="宋体"/>
                <w:kern w:val="0"/>
                <w:sz w:val="24"/>
              </w:rPr>
            </w:pPr>
          </w:p>
        </w:tc>
        <w:tc>
          <w:tcPr>
            <w:tcW w:w="1186" w:type="dxa"/>
          </w:tcPr>
          <w:p w14:paraId="09141208">
            <w:pPr>
              <w:autoSpaceDE w:val="0"/>
              <w:autoSpaceDN w:val="0"/>
              <w:adjustRightInd w:val="0"/>
              <w:snapToGrid w:val="0"/>
              <w:jc w:val="left"/>
              <w:rPr>
                <w:rFonts w:ascii="宋体" w:hAnsi="宋体"/>
                <w:kern w:val="0"/>
                <w:sz w:val="24"/>
              </w:rPr>
            </w:pPr>
          </w:p>
        </w:tc>
        <w:tc>
          <w:tcPr>
            <w:tcW w:w="1187" w:type="dxa"/>
          </w:tcPr>
          <w:p w14:paraId="4606C4A9">
            <w:pPr>
              <w:autoSpaceDE w:val="0"/>
              <w:autoSpaceDN w:val="0"/>
              <w:adjustRightInd w:val="0"/>
              <w:snapToGrid w:val="0"/>
              <w:jc w:val="left"/>
              <w:rPr>
                <w:rFonts w:ascii="宋体" w:hAnsi="宋体"/>
                <w:kern w:val="0"/>
                <w:sz w:val="24"/>
              </w:rPr>
            </w:pPr>
          </w:p>
        </w:tc>
      </w:tr>
      <w:tr w14:paraId="522A23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0B34B651">
            <w:pPr>
              <w:autoSpaceDE w:val="0"/>
              <w:autoSpaceDN w:val="0"/>
              <w:adjustRightInd w:val="0"/>
              <w:snapToGrid w:val="0"/>
              <w:jc w:val="left"/>
              <w:rPr>
                <w:rFonts w:ascii="宋体" w:hAnsi="宋体"/>
                <w:kern w:val="0"/>
                <w:sz w:val="24"/>
              </w:rPr>
            </w:pPr>
          </w:p>
        </w:tc>
        <w:tc>
          <w:tcPr>
            <w:tcW w:w="1453" w:type="dxa"/>
          </w:tcPr>
          <w:p w14:paraId="1993E888">
            <w:pPr>
              <w:autoSpaceDE w:val="0"/>
              <w:autoSpaceDN w:val="0"/>
              <w:adjustRightInd w:val="0"/>
              <w:snapToGrid w:val="0"/>
              <w:jc w:val="left"/>
              <w:rPr>
                <w:rFonts w:ascii="宋体" w:hAnsi="宋体"/>
                <w:kern w:val="0"/>
                <w:sz w:val="24"/>
              </w:rPr>
            </w:pPr>
          </w:p>
        </w:tc>
        <w:tc>
          <w:tcPr>
            <w:tcW w:w="1186" w:type="dxa"/>
          </w:tcPr>
          <w:p w14:paraId="3BA7F31C">
            <w:pPr>
              <w:autoSpaceDE w:val="0"/>
              <w:autoSpaceDN w:val="0"/>
              <w:adjustRightInd w:val="0"/>
              <w:snapToGrid w:val="0"/>
              <w:jc w:val="left"/>
              <w:rPr>
                <w:rFonts w:ascii="宋体" w:hAnsi="宋体"/>
                <w:kern w:val="0"/>
                <w:sz w:val="24"/>
              </w:rPr>
            </w:pPr>
          </w:p>
        </w:tc>
        <w:tc>
          <w:tcPr>
            <w:tcW w:w="1188" w:type="dxa"/>
          </w:tcPr>
          <w:p w14:paraId="5E6821F0">
            <w:pPr>
              <w:autoSpaceDE w:val="0"/>
              <w:autoSpaceDN w:val="0"/>
              <w:adjustRightInd w:val="0"/>
              <w:snapToGrid w:val="0"/>
              <w:jc w:val="left"/>
              <w:rPr>
                <w:rFonts w:ascii="宋体" w:hAnsi="宋体"/>
                <w:kern w:val="0"/>
                <w:sz w:val="24"/>
              </w:rPr>
            </w:pPr>
          </w:p>
        </w:tc>
        <w:tc>
          <w:tcPr>
            <w:tcW w:w="1186" w:type="dxa"/>
          </w:tcPr>
          <w:p w14:paraId="4AB9067B">
            <w:pPr>
              <w:autoSpaceDE w:val="0"/>
              <w:autoSpaceDN w:val="0"/>
              <w:adjustRightInd w:val="0"/>
              <w:snapToGrid w:val="0"/>
              <w:jc w:val="left"/>
              <w:rPr>
                <w:rFonts w:ascii="宋体" w:hAnsi="宋体"/>
                <w:kern w:val="0"/>
                <w:sz w:val="24"/>
              </w:rPr>
            </w:pPr>
          </w:p>
        </w:tc>
        <w:tc>
          <w:tcPr>
            <w:tcW w:w="1188" w:type="dxa"/>
          </w:tcPr>
          <w:p w14:paraId="65751063">
            <w:pPr>
              <w:autoSpaceDE w:val="0"/>
              <w:autoSpaceDN w:val="0"/>
              <w:adjustRightInd w:val="0"/>
              <w:snapToGrid w:val="0"/>
              <w:jc w:val="left"/>
              <w:rPr>
                <w:rFonts w:ascii="宋体" w:hAnsi="宋体"/>
                <w:kern w:val="0"/>
                <w:sz w:val="24"/>
              </w:rPr>
            </w:pPr>
          </w:p>
        </w:tc>
        <w:tc>
          <w:tcPr>
            <w:tcW w:w="1186" w:type="dxa"/>
          </w:tcPr>
          <w:p w14:paraId="4CFF2649">
            <w:pPr>
              <w:autoSpaceDE w:val="0"/>
              <w:autoSpaceDN w:val="0"/>
              <w:adjustRightInd w:val="0"/>
              <w:snapToGrid w:val="0"/>
              <w:jc w:val="left"/>
              <w:rPr>
                <w:rFonts w:ascii="宋体" w:hAnsi="宋体"/>
                <w:kern w:val="0"/>
                <w:sz w:val="24"/>
              </w:rPr>
            </w:pPr>
          </w:p>
        </w:tc>
        <w:tc>
          <w:tcPr>
            <w:tcW w:w="1187" w:type="dxa"/>
          </w:tcPr>
          <w:p w14:paraId="0A7DFB24">
            <w:pPr>
              <w:autoSpaceDE w:val="0"/>
              <w:autoSpaceDN w:val="0"/>
              <w:adjustRightInd w:val="0"/>
              <w:snapToGrid w:val="0"/>
              <w:jc w:val="left"/>
              <w:rPr>
                <w:rFonts w:ascii="宋体" w:hAnsi="宋体"/>
                <w:kern w:val="0"/>
                <w:sz w:val="24"/>
              </w:rPr>
            </w:pPr>
          </w:p>
        </w:tc>
      </w:tr>
      <w:tr w14:paraId="2A723E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425548AA">
            <w:pPr>
              <w:autoSpaceDE w:val="0"/>
              <w:autoSpaceDN w:val="0"/>
              <w:adjustRightInd w:val="0"/>
              <w:snapToGrid w:val="0"/>
              <w:jc w:val="left"/>
              <w:rPr>
                <w:rFonts w:ascii="宋体" w:hAnsi="宋体"/>
                <w:kern w:val="0"/>
                <w:sz w:val="24"/>
              </w:rPr>
            </w:pPr>
          </w:p>
        </w:tc>
        <w:tc>
          <w:tcPr>
            <w:tcW w:w="1453" w:type="dxa"/>
          </w:tcPr>
          <w:p w14:paraId="2DCB6C17">
            <w:pPr>
              <w:autoSpaceDE w:val="0"/>
              <w:autoSpaceDN w:val="0"/>
              <w:adjustRightInd w:val="0"/>
              <w:snapToGrid w:val="0"/>
              <w:jc w:val="left"/>
              <w:rPr>
                <w:rFonts w:ascii="宋体" w:hAnsi="宋体"/>
                <w:kern w:val="0"/>
                <w:sz w:val="24"/>
              </w:rPr>
            </w:pPr>
          </w:p>
        </w:tc>
        <w:tc>
          <w:tcPr>
            <w:tcW w:w="1186" w:type="dxa"/>
          </w:tcPr>
          <w:p w14:paraId="058130B5">
            <w:pPr>
              <w:autoSpaceDE w:val="0"/>
              <w:autoSpaceDN w:val="0"/>
              <w:adjustRightInd w:val="0"/>
              <w:snapToGrid w:val="0"/>
              <w:jc w:val="left"/>
              <w:rPr>
                <w:rFonts w:ascii="宋体" w:hAnsi="宋体"/>
                <w:kern w:val="0"/>
                <w:sz w:val="24"/>
              </w:rPr>
            </w:pPr>
          </w:p>
        </w:tc>
        <w:tc>
          <w:tcPr>
            <w:tcW w:w="1188" w:type="dxa"/>
          </w:tcPr>
          <w:p w14:paraId="315C9DFC">
            <w:pPr>
              <w:autoSpaceDE w:val="0"/>
              <w:autoSpaceDN w:val="0"/>
              <w:adjustRightInd w:val="0"/>
              <w:snapToGrid w:val="0"/>
              <w:jc w:val="left"/>
              <w:rPr>
                <w:rFonts w:ascii="宋体" w:hAnsi="宋体"/>
                <w:kern w:val="0"/>
                <w:sz w:val="24"/>
              </w:rPr>
            </w:pPr>
          </w:p>
        </w:tc>
        <w:tc>
          <w:tcPr>
            <w:tcW w:w="1186" w:type="dxa"/>
          </w:tcPr>
          <w:p w14:paraId="24EFE7D0">
            <w:pPr>
              <w:autoSpaceDE w:val="0"/>
              <w:autoSpaceDN w:val="0"/>
              <w:adjustRightInd w:val="0"/>
              <w:snapToGrid w:val="0"/>
              <w:jc w:val="left"/>
              <w:rPr>
                <w:rFonts w:ascii="宋体" w:hAnsi="宋体"/>
                <w:kern w:val="0"/>
                <w:sz w:val="24"/>
              </w:rPr>
            </w:pPr>
          </w:p>
        </w:tc>
        <w:tc>
          <w:tcPr>
            <w:tcW w:w="1188" w:type="dxa"/>
          </w:tcPr>
          <w:p w14:paraId="23FA7093">
            <w:pPr>
              <w:autoSpaceDE w:val="0"/>
              <w:autoSpaceDN w:val="0"/>
              <w:adjustRightInd w:val="0"/>
              <w:snapToGrid w:val="0"/>
              <w:jc w:val="left"/>
              <w:rPr>
                <w:rFonts w:ascii="宋体" w:hAnsi="宋体"/>
                <w:kern w:val="0"/>
                <w:sz w:val="24"/>
              </w:rPr>
            </w:pPr>
          </w:p>
        </w:tc>
        <w:tc>
          <w:tcPr>
            <w:tcW w:w="1186" w:type="dxa"/>
          </w:tcPr>
          <w:p w14:paraId="696C9646">
            <w:pPr>
              <w:autoSpaceDE w:val="0"/>
              <w:autoSpaceDN w:val="0"/>
              <w:adjustRightInd w:val="0"/>
              <w:snapToGrid w:val="0"/>
              <w:jc w:val="left"/>
              <w:rPr>
                <w:rFonts w:ascii="宋体" w:hAnsi="宋体"/>
                <w:kern w:val="0"/>
                <w:sz w:val="24"/>
              </w:rPr>
            </w:pPr>
          </w:p>
        </w:tc>
        <w:tc>
          <w:tcPr>
            <w:tcW w:w="1187" w:type="dxa"/>
          </w:tcPr>
          <w:p w14:paraId="7512A4EC">
            <w:pPr>
              <w:autoSpaceDE w:val="0"/>
              <w:autoSpaceDN w:val="0"/>
              <w:adjustRightInd w:val="0"/>
              <w:snapToGrid w:val="0"/>
              <w:jc w:val="left"/>
              <w:rPr>
                <w:rFonts w:ascii="宋体" w:hAnsi="宋体"/>
                <w:kern w:val="0"/>
                <w:sz w:val="24"/>
              </w:rPr>
            </w:pPr>
          </w:p>
        </w:tc>
      </w:tr>
      <w:tr w14:paraId="22C2BB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5D23530">
            <w:pPr>
              <w:autoSpaceDE w:val="0"/>
              <w:autoSpaceDN w:val="0"/>
              <w:adjustRightInd w:val="0"/>
              <w:snapToGrid w:val="0"/>
              <w:jc w:val="left"/>
              <w:rPr>
                <w:rFonts w:ascii="宋体" w:hAnsi="宋体"/>
                <w:kern w:val="0"/>
                <w:sz w:val="24"/>
              </w:rPr>
            </w:pPr>
          </w:p>
        </w:tc>
        <w:tc>
          <w:tcPr>
            <w:tcW w:w="1453" w:type="dxa"/>
          </w:tcPr>
          <w:p w14:paraId="4B108BFC">
            <w:pPr>
              <w:autoSpaceDE w:val="0"/>
              <w:autoSpaceDN w:val="0"/>
              <w:adjustRightInd w:val="0"/>
              <w:snapToGrid w:val="0"/>
              <w:jc w:val="left"/>
              <w:rPr>
                <w:rFonts w:ascii="宋体" w:hAnsi="宋体"/>
                <w:kern w:val="0"/>
                <w:sz w:val="24"/>
              </w:rPr>
            </w:pPr>
          </w:p>
        </w:tc>
        <w:tc>
          <w:tcPr>
            <w:tcW w:w="1186" w:type="dxa"/>
          </w:tcPr>
          <w:p w14:paraId="3D7BB978">
            <w:pPr>
              <w:autoSpaceDE w:val="0"/>
              <w:autoSpaceDN w:val="0"/>
              <w:adjustRightInd w:val="0"/>
              <w:snapToGrid w:val="0"/>
              <w:jc w:val="left"/>
              <w:rPr>
                <w:rFonts w:ascii="宋体" w:hAnsi="宋体"/>
                <w:kern w:val="0"/>
                <w:sz w:val="24"/>
              </w:rPr>
            </w:pPr>
          </w:p>
        </w:tc>
        <w:tc>
          <w:tcPr>
            <w:tcW w:w="1188" w:type="dxa"/>
          </w:tcPr>
          <w:p w14:paraId="00548592">
            <w:pPr>
              <w:autoSpaceDE w:val="0"/>
              <w:autoSpaceDN w:val="0"/>
              <w:adjustRightInd w:val="0"/>
              <w:snapToGrid w:val="0"/>
              <w:jc w:val="left"/>
              <w:rPr>
                <w:rFonts w:ascii="宋体" w:hAnsi="宋体"/>
                <w:kern w:val="0"/>
                <w:sz w:val="24"/>
              </w:rPr>
            </w:pPr>
          </w:p>
        </w:tc>
        <w:tc>
          <w:tcPr>
            <w:tcW w:w="1186" w:type="dxa"/>
          </w:tcPr>
          <w:p w14:paraId="35725258">
            <w:pPr>
              <w:autoSpaceDE w:val="0"/>
              <w:autoSpaceDN w:val="0"/>
              <w:adjustRightInd w:val="0"/>
              <w:snapToGrid w:val="0"/>
              <w:jc w:val="left"/>
              <w:rPr>
                <w:rFonts w:ascii="宋体" w:hAnsi="宋体"/>
                <w:kern w:val="0"/>
                <w:sz w:val="24"/>
              </w:rPr>
            </w:pPr>
          </w:p>
        </w:tc>
        <w:tc>
          <w:tcPr>
            <w:tcW w:w="1188" w:type="dxa"/>
          </w:tcPr>
          <w:p w14:paraId="30F60E74">
            <w:pPr>
              <w:autoSpaceDE w:val="0"/>
              <w:autoSpaceDN w:val="0"/>
              <w:adjustRightInd w:val="0"/>
              <w:snapToGrid w:val="0"/>
              <w:jc w:val="left"/>
              <w:rPr>
                <w:rFonts w:ascii="宋体" w:hAnsi="宋体"/>
                <w:kern w:val="0"/>
                <w:sz w:val="24"/>
              </w:rPr>
            </w:pPr>
          </w:p>
        </w:tc>
        <w:tc>
          <w:tcPr>
            <w:tcW w:w="1186" w:type="dxa"/>
          </w:tcPr>
          <w:p w14:paraId="06F68177">
            <w:pPr>
              <w:autoSpaceDE w:val="0"/>
              <w:autoSpaceDN w:val="0"/>
              <w:adjustRightInd w:val="0"/>
              <w:snapToGrid w:val="0"/>
              <w:jc w:val="left"/>
              <w:rPr>
                <w:rFonts w:ascii="宋体" w:hAnsi="宋体"/>
                <w:kern w:val="0"/>
                <w:sz w:val="24"/>
              </w:rPr>
            </w:pPr>
          </w:p>
        </w:tc>
        <w:tc>
          <w:tcPr>
            <w:tcW w:w="1187" w:type="dxa"/>
          </w:tcPr>
          <w:p w14:paraId="13E4663B">
            <w:pPr>
              <w:autoSpaceDE w:val="0"/>
              <w:autoSpaceDN w:val="0"/>
              <w:adjustRightInd w:val="0"/>
              <w:snapToGrid w:val="0"/>
              <w:jc w:val="left"/>
              <w:rPr>
                <w:rFonts w:ascii="宋体" w:hAnsi="宋体"/>
                <w:kern w:val="0"/>
                <w:sz w:val="24"/>
              </w:rPr>
            </w:pPr>
          </w:p>
        </w:tc>
      </w:tr>
      <w:tr w14:paraId="09B477E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82" w:hRule="exact"/>
        </w:trPr>
        <w:tc>
          <w:tcPr>
            <w:tcW w:w="924" w:type="dxa"/>
          </w:tcPr>
          <w:p w14:paraId="272951B8">
            <w:pPr>
              <w:autoSpaceDE w:val="0"/>
              <w:autoSpaceDN w:val="0"/>
              <w:adjustRightInd w:val="0"/>
              <w:snapToGrid w:val="0"/>
              <w:jc w:val="left"/>
              <w:rPr>
                <w:rFonts w:ascii="宋体" w:hAnsi="宋体"/>
                <w:kern w:val="0"/>
                <w:sz w:val="24"/>
              </w:rPr>
            </w:pPr>
          </w:p>
        </w:tc>
        <w:tc>
          <w:tcPr>
            <w:tcW w:w="1453" w:type="dxa"/>
          </w:tcPr>
          <w:p w14:paraId="10AA45E3">
            <w:pPr>
              <w:autoSpaceDE w:val="0"/>
              <w:autoSpaceDN w:val="0"/>
              <w:adjustRightInd w:val="0"/>
              <w:snapToGrid w:val="0"/>
              <w:jc w:val="left"/>
              <w:rPr>
                <w:rFonts w:ascii="宋体" w:hAnsi="宋体"/>
                <w:kern w:val="0"/>
                <w:sz w:val="24"/>
              </w:rPr>
            </w:pPr>
          </w:p>
        </w:tc>
        <w:tc>
          <w:tcPr>
            <w:tcW w:w="1186" w:type="dxa"/>
          </w:tcPr>
          <w:p w14:paraId="540C1F1A">
            <w:pPr>
              <w:autoSpaceDE w:val="0"/>
              <w:autoSpaceDN w:val="0"/>
              <w:adjustRightInd w:val="0"/>
              <w:snapToGrid w:val="0"/>
              <w:jc w:val="left"/>
              <w:rPr>
                <w:rFonts w:ascii="宋体" w:hAnsi="宋体"/>
                <w:kern w:val="0"/>
                <w:sz w:val="24"/>
              </w:rPr>
            </w:pPr>
          </w:p>
        </w:tc>
        <w:tc>
          <w:tcPr>
            <w:tcW w:w="1188" w:type="dxa"/>
          </w:tcPr>
          <w:p w14:paraId="7885A65C">
            <w:pPr>
              <w:autoSpaceDE w:val="0"/>
              <w:autoSpaceDN w:val="0"/>
              <w:adjustRightInd w:val="0"/>
              <w:snapToGrid w:val="0"/>
              <w:jc w:val="left"/>
              <w:rPr>
                <w:rFonts w:ascii="宋体" w:hAnsi="宋体"/>
                <w:kern w:val="0"/>
                <w:sz w:val="24"/>
              </w:rPr>
            </w:pPr>
          </w:p>
        </w:tc>
        <w:tc>
          <w:tcPr>
            <w:tcW w:w="1186" w:type="dxa"/>
          </w:tcPr>
          <w:p w14:paraId="20A9FD09">
            <w:pPr>
              <w:autoSpaceDE w:val="0"/>
              <w:autoSpaceDN w:val="0"/>
              <w:adjustRightInd w:val="0"/>
              <w:snapToGrid w:val="0"/>
              <w:jc w:val="left"/>
              <w:rPr>
                <w:rFonts w:ascii="宋体" w:hAnsi="宋体"/>
                <w:kern w:val="0"/>
                <w:sz w:val="24"/>
              </w:rPr>
            </w:pPr>
          </w:p>
        </w:tc>
        <w:tc>
          <w:tcPr>
            <w:tcW w:w="1188" w:type="dxa"/>
          </w:tcPr>
          <w:p w14:paraId="7CCA8C5D">
            <w:pPr>
              <w:autoSpaceDE w:val="0"/>
              <w:autoSpaceDN w:val="0"/>
              <w:adjustRightInd w:val="0"/>
              <w:snapToGrid w:val="0"/>
              <w:jc w:val="left"/>
              <w:rPr>
                <w:rFonts w:ascii="宋体" w:hAnsi="宋体"/>
                <w:kern w:val="0"/>
                <w:sz w:val="24"/>
              </w:rPr>
            </w:pPr>
          </w:p>
        </w:tc>
        <w:tc>
          <w:tcPr>
            <w:tcW w:w="1186" w:type="dxa"/>
          </w:tcPr>
          <w:p w14:paraId="5C8E9AF9">
            <w:pPr>
              <w:autoSpaceDE w:val="0"/>
              <w:autoSpaceDN w:val="0"/>
              <w:adjustRightInd w:val="0"/>
              <w:snapToGrid w:val="0"/>
              <w:jc w:val="left"/>
              <w:rPr>
                <w:rFonts w:ascii="宋体" w:hAnsi="宋体"/>
                <w:kern w:val="0"/>
                <w:sz w:val="24"/>
              </w:rPr>
            </w:pPr>
          </w:p>
        </w:tc>
        <w:tc>
          <w:tcPr>
            <w:tcW w:w="1187" w:type="dxa"/>
          </w:tcPr>
          <w:p w14:paraId="70A3FF3A">
            <w:pPr>
              <w:autoSpaceDE w:val="0"/>
              <w:autoSpaceDN w:val="0"/>
              <w:adjustRightInd w:val="0"/>
              <w:snapToGrid w:val="0"/>
              <w:jc w:val="left"/>
              <w:rPr>
                <w:rFonts w:ascii="宋体" w:hAnsi="宋体"/>
                <w:kern w:val="0"/>
                <w:sz w:val="24"/>
              </w:rPr>
            </w:pPr>
          </w:p>
        </w:tc>
      </w:tr>
    </w:tbl>
    <w:p w14:paraId="15D1163A">
      <w:pPr>
        <w:autoSpaceDE w:val="0"/>
        <w:autoSpaceDN w:val="0"/>
        <w:adjustRightInd w:val="0"/>
        <w:snapToGrid w:val="0"/>
        <w:spacing w:line="20" w:lineRule="exact"/>
        <w:jc w:val="left"/>
        <w:rPr>
          <w:rFonts w:ascii="宋体" w:hAnsi="宋体"/>
          <w:kern w:val="0"/>
        </w:rPr>
      </w:pPr>
    </w:p>
    <w:p w14:paraId="234971DB">
      <w:pPr>
        <w:jc w:val="center"/>
        <w:rPr>
          <w:rFonts w:ascii="宋体" w:hAnsi="宋体"/>
          <w:b/>
        </w:rPr>
      </w:pPr>
      <w:bookmarkStart w:id="2052" w:name="_Toc430530542"/>
      <w:r>
        <w:rPr>
          <w:rFonts w:ascii="宋体" w:hAnsi="宋体"/>
          <w:sz w:val="28"/>
        </w:rPr>
        <w:br w:type="page"/>
      </w:r>
      <w:bookmarkStart w:id="2053" w:name="_Toc534185837"/>
      <w:bookmarkStart w:id="2054" w:name="_Toc509218860"/>
      <w:r>
        <w:rPr>
          <w:sz w:val="32"/>
          <w:szCs w:val="32"/>
        </w:rPr>
        <w:t>附表四：计划开、竣工日期和施工进度网络图</w:t>
      </w:r>
      <w:bookmarkEnd w:id="2034"/>
      <w:bookmarkEnd w:id="2035"/>
      <w:bookmarkEnd w:id="2036"/>
      <w:bookmarkEnd w:id="2037"/>
      <w:bookmarkEnd w:id="2052"/>
      <w:bookmarkEnd w:id="2053"/>
      <w:bookmarkEnd w:id="2054"/>
    </w:p>
    <w:p w14:paraId="627C4827">
      <w:pPr>
        <w:autoSpaceDE w:val="0"/>
        <w:autoSpaceDN w:val="0"/>
        <w:adjustRightInd w:val="0"/>
        <w:snapToGrid w:val="0"/>
        <w:spacing w:line="360" w:lineRule="auto"/>
        <w:jc w:val="left"/>
        <w:rPr>
          <w:rFonts w:ascii="宋体" w:hAnsi="宋体"/>
          <w:kern w:val="0"/>
          <w:sz w:val="20"/>
          <w:szCs w:val="20"/>
        </w:rPr>
      </w:pPr>
    </w:p>
    <w:p w14:paraId="22278461">
      <w:pPr>
        <w:autoSpaceDE w:val="0"/>
        <w:autoSpaceDN w:val="0"/>
        <w:adjustRightInd w:val="0"/>
        <w:snapToGrid w:val="0"/>
        <w:spacing w:line="360" w:lineRule="auto"/>
        <w:ind w:firstLine="420"/>
        <w:jc w:val="left"/>
        <w:rPr>
          <w:rFonts w:ascii="宋体" w:hAnsi="宋体"/>
          <w:kern w:val="0"/>
          <w:szCs w:val="21"/>
        </w:rPr>
      </w:pPr>
      <w:r>
        <w:rPr>
          <w:rFonts w:ascii="宋体" w:hAnsi="宋体"/>
          <w:kern w:val="0"/>
          <w:szCs w:val="21"/>
        </w:rPr>
        <w:t xml:space="preserve">1. </w:t>
      </w:r>
      <w:r>
        <w:rPr>
          <w:rFonts w:ascii="宋体" w:hAnsi="宋体"/>
          <w:spacing w:val="1"/>
          <w:kern w:val="0"/>
          <w:szCs w:val="21"/>
        </w:rPr>
        <w:t>投标人</w:t>
      </w:r>
      <w:r>
        <w:rPr>
          <w:rFonts w:ascii="宋体" w:hAnsi="宋体"/>
          <w:spacing w:val="2"/>
          <w:kern w:val="0"/>
          <w:szCs w:val="21"/>
        </w:rPr>
        <w:t>应</w:t>
      </w:r>
      <w:r>
        <w:rPr>
          <w:rFonts w:ascii="宋体" w:hAnsi="宋体"/>
          <w:spacing w:val="1"/>
          <w:kern w:val="0"/>
          <w:szCs w:val="21"/>
        </w:rPr>
        <w:t>递交</w:t>
      </w:r>
      <w:r>
        <w:rPr>
          <w:rFonts w:ascii="宋体" w:hAnsi="宋体"/>
          <w:spacing w:val="2"/>
          <w:kern w:val="0"/>
          <w:szCs w:val="21"/>
        </w:rPr>
        <w:t>施</w:t>
      </w:r>
      <w:r>
        <w:rPr>
          <w:rFonts w:ascii="宋体" w:hAnsi="宋体"/>
          <w:spacing w:val="1"/>
          <w:kern w:val="0"/>
          <w:szCs w:val="21"/>
        </w:rPr>
        <w:t>工</w:t>
      </w:r>
      <w:r>
        <w:rPr>
          <w:rFonts w:ascii="宋体" w:hAnsi="宋体"/>
          <w:spacing w:val="2"/>
          <w:kern w:val="0"/>
          <w:szCs w:val="21"/>
        </w:rPr>
        <w:t>进</w:t>
      </w:r>
      <w:r>
        <w:rPr>
          <w:rFonts w:ascii="宋体" w:hAnsi="宋体"/>
          <w:spacing w:val="1"/>
          <w:kern w:val="0"/>
          <w:szCs w:val="21"/>
        </w:rPr>
        <w:t>度网</w:t>
      </w:r>
      <w:r>
        <w:rPr>
          <w:rFonts w:ascii="宋体" w:hAnsi="宋体"/>
          <w:spacing w:val="2"/>
          <w:kern w:val="0"/>
          <w:szCs w:val="21"/>
        </w:rPr>
        <w:t>络</w:t>
      </w:r>
      <w:r>
        <w:rPr>
          <w:rFonts w:ascii="宋体" w:hAnsi="宋体"/>
          <w:spacing w:val="1"/>
          <w:kern w:val="0"/>
          <w:szCs w:val="21"/>
        </w:rPr>
        <w:t>图</w:t>
      </w:r>
      <w:r>
        <w:rPr>
          <w:rFonts w:ascii="宋体" w:hAnsi="宋体"/>
          <w:spacing w:val="2"/>
          <w:kern w:val="0"/>
          <w:szCs w:val="21"/>
        </w:rPr>
        <w:t>或</w:t>
      </w:r>
      <w:r>
        <w:rPr>
          <w:rFonts w:ascii="宋体" w:hAnsi="宋体"/>
          <w:spacing w:val="1"/>
          <w:kern w:val="0"/>
          <w:szCs w:val="21"/>
        </w:rPr>
        <w:t>施工</w:t>
      </w:r>
      <w:r>
        <w:rPr>
          <w:rFonts w:ascii="宋体" w:hAnsi="宋体"/>
          <w:spacing w:val="2"/>
          <w:kern w:val="0"/>
          <w:szCs w:val="21"/>
        </w:rPr>
        <w:t>进</w:t>
      </w:r>
      <w:r>
        <w:rPr>
          <w:rFonts w:ascii="宋体" w:hAnsi="宋体"/>
          <w:spacing w:val="1"/>
          <w:kern w:val="0"/>
          <w:szCs w:val="21"/>
        </w:rPr>
        <w:t>度</w:t>
      </w:r>
      <w:r>
        <w:rPr>
          <w:rFonts w:ascii="宋体" w:hAnsi="宋体"/>
          <w:spacing w:val="2"/>
          <w:kern w:val="0"/>
          <w:szCs w:val="21"/>
        </w:rPr>
        <w:t>表</w:t>
      </w:r>
      <w:r>
        <w:rPr>
          <w:rFonts w:ascii="宋体" w:hAnsi="宋体"/>
          <w:spacing w:val="1"/>
          <w:kern w:val="0"/>
          <w:szCs w:val="21"/>
        </w:rPr>
        <w:t>，说</w:t>
      </w:r>
      <w:r>
        <w:rPr>
          <w:rFonts w:ascii="宋体" w:hAnsi="宋体"/>
          <w:spacing w:val="2"/>
          <w:kern w:val="0"/>
          <w:szCs w:val="21"/>
        </w:rPr>
        <w:t>明</w:t>
      </w:r>
      <w:r>
        <w:rPr>
          <w:rFonts w:ascii="宋体" w:hAnsi="宋体"/>
          <w:spacing w:val="1"/>
          <w:kern w:val="0"/>
          <w:szCs w:val="21"/>
        </w:rPr>
        <w:t>按</w:t>
      </w:r>
      <w:r>
        <w:rPr>
          <w:rFonts w:hint="eastAsia" w:ascii="宋体" w:hAnsi="宋体"/>
          <w:spacing w:val="2"/>
          <w:kern w:val="0"/>
          <w:szCs w:val="21"/>
        </w:rPr>
        <w:t>采购</w:t>
      </w:r>
      <w:r>
        <w:rPr>
          <w:rFonts w:ascii="宋体" w:hAnsi="宋体"/>
          <w:spacing w:val="1"/>
          <w:kern w:val="0"/>
          <w:szCs w:val="21"/>
        </w:rPr>
        <w:t>文</w:t>
      </w:r>
      <w:r>
        <w:rPr>
          <w:rFonts w:ascii="宋体" w:hAnsi="宋体"/>
          <w:spacing w:val="2"/>
          <w:kern w:val="0"/>
          <w:szCs w:val="21"/>
        </w:rPr>
        <w:t>件</w:t>
      </w:r>
      <w:r>
        <w:rPr>
          <w:rFonts w:ascii="宋体" w:hAnsi="宋体"/>
          <w:spacing w:val="1"/>
          <w:kern w:val="0"/>
          <w:szCs w:val="21"/>
        </w:rPr>
        <w:t>要</w:t>
      </w:r>
      <w:r>
        <w:rPr>
          <w:rFonts w:ascii="宋体" w:hAnsi="宋体"/>
          <w:spacing w:val="2"/>
          <w:kern w:val="0"/>
          <w:szCs w:val="21"/>
        </w:rPr>
        <w:t>求</w:t>
      </w:r>
      <w:r>
        <w:rPr>
          <w:rFonts w:ascii="宋体" w:hAnsi="宋体"/>
          <w:spacing w:val="1"/>
          <w:kern w:val="0"/>
          <w:szCs w:val="21"/>
        </w:rPr>
        <w:t>的计</w:t>
      </w:r>
      <w:r>
        <w:rPr>
          <w:rFonts w:ascii="宋体" w:hAnsi="宋体"/>
          <w:spacing w:val="2"/>
          <w:kern w:val="0"/>
          <w:szCs w:val="21"/>
        </w:rPr>
        <w:t>划</w:t>
      </w:r>
      <w:r>
        <w:rPr>
          <w:rFonts w:ascii="宋体" w:hAnsi="宋体"/>
          <w:spacing w:val="1"/>
          <w:kern w:val="0"/>
          <w:szCs w:val="21"/>
        </w:rPr>
        <w:t>工</w:t>
      </w:r>
      <w:r>
        <w:rPr>
          <w:rFonts w:ascii="宋体" w:hAnsi="宋体"/>
          <w:spacing w:val="4"/>
          <w:kern w:val="0"/>
          <w:szCs w:val="21"/>
        </w:rPr>
        <w:t>期</w:t>
      </w:r>
      <w:r>
        <w:rPr>
          <w:rFonts w:ascii="宋体" w:hAnsi="宋体"/>
          <w:spacing w:val="2"/>
          <w:kern w:val="0"/>
          <w:szCs w:val="21"/>
        </w:rPr>
        <w:t>进</w:t>
      </w:r>
      <w:r>
        <w:rPr>
          <w:rFonts w:ascii="宋体" w:hAnsi="宋体"/>
          <w:spacing w:val="1"/>
          <w:kern w:val="0"/>
          <w:szCs w:val="21"/>
        </w:rPr>
        <w:t>行</w:t>
      </w:r>
      <w:r>
        <w:rPr>
          <w:rFonts w:ascii="宋体" w:hAnsi="宋体"/>
          <w:kern w:val="0"/>
          <w:szCs w:val="21"/>
        </w:rPr>
        <w:t>施工的各个关键日期。</w:t>
      </w:r>
    </w:p>
    <w:p w14:paraId="1645EDA7">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2.施工进</w:t>
      </w:r>
      <w:r>
        <w:rPr>
          <w:rFonts w:ascii="宋体" w:hAnsi="宋体"/>
          <w:spacing w:val="-1"/>
          <w:kern w:val="0"/>
          <w:szCs w:val="21"/>
        </w:rPr>
        <w:t>度</w:t>
      </w:r>
      <w:r>
        <w:rPr>
          <w:rFonts w:ascii="宋体" w:hAnsi="宋体"/>
          <w:kern w:val="0"/>
          <w:szCs w:val="21"/>
        </w:rPr>
        <w:t>表可采用网络图（或横道图）表示。</w:t>
      </w:r>
    </w:p>
    <w:p w14:paraId="231AC011">
      <w:pPr>
        <w:jc w:val="center"/>
        <w:rPr>
          <w:rFonts w:ascii="宋体" w:hAnsi="宋体"/>
          <w:sz w:val="28"/>
        </w:rPr>
      </w:pPr>
      <w:bookmarkStart w:id="2055" w:name="_Toc277082654"/>
      <w:bookmarkStart w:id="2056" w:name="_Toc287607880"/>
      <w:bookmarkStart w:id="2057" w:name="_Toc534185838"/>
      <w:bookmarkStart w:id="2058" w:name="_Toc287620827"/>
      <w:bookmarkStart w:id="2059" w:name="_Toc224103508"/>
      <w:bookmarkStart w:id="2060" w:name="_Toc430530543"/>
      <w:bookmarkStart w:id="2061" w:name="_Toc509218861"/>
      <w:r>
        <w:rPr>
          <w:rFonts w:ascii="宋体" w:hAnsi="宋体"/>
          <w:kern w:val="0"/>
          <w:sz w:val="24"/>
        </w:rPr>
        <w:br w:type="page"/>
      </w:r>
      <w:r>
        <w:rPr>
          <w:sz w:val="32"/>
          <w:szCs w:val="32"/>
        </w:rPr>
        <w:t>附表五：施工总平面图</w:t>
      </w:r>
      <w:bookmarkEnd w:id="2055"/>
      <w:bookmarkEnd w:id="2056"/>
      <w:bookmarkEnd w:id="2057"/>
      <w:bookmarkEnd w:id="2058"/>
      <w:bookmarkEnd w:id="2059"/>
      <w:bookmarkEnd w:id="2060"/>
      <w:bookmarkEnd w:id="2061"/>
    </w:p>
    <w:p w14:paraId="12F1D083">
      <w:pPr>
        <w:autoSpaceDE w:val="0"/>
        <w:autoSpaceDN w:val="0"/>
        <w:adjustRightInd w:val="0"/>
        <w:snapToGrid w:val="0"/>
        <w:spacing w:line="360" w:lineRule="auto"/>
        <w:jc w:val="left"/>
        <w:rPr>
          <w:rFonts w:ascii="宋体" w:hAnsi="宋体"/>
          <w:kern w:val="0"/>
          <w:sz w:val="20"/>
          <w:szCs w:val="20"/>
        </w:rPr>
      </w:pPr>
    </w:p>
    <w:p w14:paraId="4E6EAED5">
      <w:pPr>
        <w:autoSpaceDE w:val="0"/>
        <w:autoSpaceDN w:val="0"/>
        <w:adjustRightInd w:val="0"/>
        <w:snapToGrid w:val="0"/>
        <w:spacing w:line="360" w:lineRule="auto"/>
        <w:ind w:firstLine="424" w:firstLineChars="202"/>
        <w:jc w:val="left"/>
        <w:rPr>
          <w:rFonts w:ascii="宋体" w:hAnsi="宋体"/>
          <w:kern w:val="0"/>
          <w:szCs w:val="21"/>
        </w:rPr>
      </w:pPr>
      <w:r>
        <w:rPr>
          <w:rFonts w:ascii="宋体" w:hAnsi="宋体"/>
          <w:kern w:val="0"/>
          <w:szCs w:val="21"/>
        </w:rPr>
        <w:t>投标人应递交一份施工总平面图</w:t>
      </w:r>
      <w:r>
        <w:rPr>
          <w:rFonts w:ascii="宋体" w:hAnsi="宋体"/>
          <w:spacing w:val="-47"/>
          <w:kern w:val="0"/>
          <w:szCs w:val="21"/>
        </w:rPr>
        <w:t>，</w:t>
      </w:r>
      <w:r>
        <w:rPr>
          <w:rFonts w:ascii="宋体" w:hAnsi="宋体"/>
          <w:kern w:val="0"/>
          <w:szCs w:val="21"/>
        </w:rPr>
        <w:t>绘出现场临时设施布置图表并附文字说明</w:t>
      </w:r>
      <w:r>
        <w:rPr>
          <w:rFonts w:ascii="宋体" w:hAnsi="宋体"/>
          <w:spacing w:val="-47"/>
          <w:kern w:val="0"/>
          <w:szCs w:val="21"/>
        </w:rPr>
        <w:t>，</w:t>
      </w:r>
      <w:r>
        <w:rPr>
          <w:rFonts w:ascii="宋体" w:hAnsi="宋体"/>
          <w:kern w:val="0"/>
          <w:szCs w:val="21"/>
        </w:rPr>
        <w:t>说明临时 设施</w:t>
      </w:r>
      <w:r>
        <w:rPr>
          <w:rFonts w:ascii="宋体" w:hAnsi="宋体"/>
          <w:spacing w:val="-11"/>
          <w:kern w:val="0"/>
          <w:szCs w:val="21"/>
        </w:rPr>
        <w:t>、</w:t>
      </w:r>
      <w:r>
        <w:rPr>
          <w:rFonts w:ascii="宋体" w:hAnsi="宋体"/>
          <w:kern w:val="0"/>
          <w:szCs w:val="21"/>
        </w:rPr>
        <w:t>加工车间</w:t>
      </w:r>
      <w:r>
        <w:rPr>
          <w:rFonts w:ascii="宋体" w:hAnsi="宋体"/>
          <w:spacing w:val="-11"/>
          <w:kern w:val="0"/>
          <w:szCs w:val="21"/>
        </w:rPr>
        <w:t>、</w:t>
      </w:r>
      <w:r>
        <w:rPr>
          <w:rFonts w:ascii="宋体" w:hAnsi="宋体"/>
          <w:kern w:val="0"/>
          <w:szCs w:val="21"/>
        </w:rPr>
        <w:t>现场办公</w:t>
      </w:r>
      <w:r>
        <w:rPr>
          <w:rFonts w:ascii="宋体" w:hAnsi="宋体"/>
          <w:spacing w:val="-11"/>
          <w:kern w:val="0"/>
          <w:szCs w:val="21"/>
        </w:rPr>
        <w:t>、</w:t>
      </w:r>
      <w:r>
        <w:rPr>
          <w:rFonts w:ascii="宋体" w:hAnsi="宋体"/>
          <w:kern w:val="0"/>
          <w:szCs w:val="21"/>
        </w:rPr>
        <w:t>设备及仓储</w:t>
      </w:r>
      <w:r>
        <w:rPr>
          <w:rFonts w:ascii="宋体" w:hAnsi="宋体"/>
          <w:spacing w:val="-11"/>
          <w:kern w:val="0"/>
          <w:szCs w:val="21"/>
        </w:rPr>
        <w:t>、</w:t>
      </w:r>
      <w:r>
        <w:rPr>
          <w:rFonts w:ascii="宋体" w:hAnsi="宋体"/>
          <w:kern w:val="0"/>
          <w:szCs w:val="21"/>
        </w:rPr>
        <w:t>供电</w:t>
      </w:r>
      <w:r>
        <w:rPr>
          <w:rFonts w:ascii="宋体" w:hAnsi="宋体"/>
          <w:spacing w:val="-11"/>
          <w:kern w:val="0"/>
          <w:szCs w:val="21"/>
        </w:rPr>
        <w:t>、</w:t>
      </w:r>
      <w:r>
        <w:rPr>
          <w:rFonts w:ascii="宋体" w:hAnsi="宋体"/>
          <w:kern w:val="0"/>
          <w:szCs w:val="21"/>
        </w:rPr>
        <w:t>供水</w:t>
      </w:r>
      <w:r>
        <w:rPr>
          <w:rFonts w:ascii="宋体" w:hAnsi="宋体"/>
          <w:spacing w:val="-10"/>
          <w:kern w:val="0"/>
          <w:szCs w:val="21"/>
        </w:rPr>
        <w:t>、</w:t>
      </w:r>
      <w:r>
        <w:rPr>
          <w:rFonts w:ascii="宋体" w:hAnsi="宋体"/>
          <w:kern w:val="0"/>
          <w:szCs w:val="21"/>
        </w:rPr>
        <w:t>卫生</w:t>
      </w:r>
      <w:r>
        <w:rPr>
          <w:rFonts w:ascii="宋体" w:hAnsi="宋体"/>
          <w:spacing w:val="-11"/>
          <w:kern w:val="0"/>
          <w:szCs w:val="21"/>
        </w:rPr>
        <w:t>、</w:t>
      </w:r>
      <w:r>
        <w:rPr>
          <w:rFonts w:ascii="宋体" w:hAnsi="宋体"/>
          <w:kern w:val="0"/>
          <w:szCs w:val="21"/>
        </w:rPr>
        <w:t>生活</w:t>
      </w:r>
      <w:r>
        <w:rPr>
          <w:rFonts w:ascii="宋体" w:hAnsi="宋体"/>
          <w:spacing w:val="-11"/>
          <w:kern w:val="0"/>
          <w:szCs w:val="21"/>
        </w:rPr>
        <w:t>、</w:t>
      </w:r>
      <w:r>
        <w:rPr>
          <w:rFonts w:ascii="宋体" w:hAnsi="宋体"/>
          <w:kern w:val="0"/>
          <w:szCs w:val="21"/>
        </w:rPr>
        <w:t>道路</w:t>
      </w:r>
      <w:r>
        <w:rPr>
          <w:rFonts w:ascii="宋体" w:hAnsi="宋体"/>
          <w:spacing w:val="-11"/>
          <w:kern w:val="0"/>
          <w:szCs w:val="21"/>
        </w:rPr>
        <w:t>、</w:t>
      </w:r>
      <w:r>
        <w:rPr>
          <w:rFonts w:ascii="宋体" w:hAnsi="宋体"/>
          <w:spacing w:val="1"/>
          <w:kern w:val="0"/>
          <w:szCs w:val="21"/>
        </w:rPr>
        <w:t>消</w:t>
      </w:r>
      <w:r>
        <w:rPr>
          <w:rFonts w:ascii="宋体" w:hAnsi="宋体"/>
          <w:kern w:val="0"/>
          <w:szCs w:val="21"/>
        </w:rPr>
        <w:t>防等设施的情况和布置。</w:t>
      </w:r>
    </w:p>
    <w:p w14:paraId="63A98F1C">
      <w:pPr>
        <w:autoSpaceDE w:val="0"/>
        <w:autoSpaceDN w:val="0"/>
        <w:adjustRightInd w:val="0"/>
        <w:snapToGrid w:val="0"/>
        <w:spacing w:line="360" w:lineRule="auto"/>
        <w:jc w:val="left"/>
        <w:rPr>
          <w:rFonts w:ascii="宋体" w:hAnsi="宋体"/>
          <w:kern w:val="0"/>
          <w:szCs w:val="21"/>
        </w:rPr>
      </w:pPr>
      <w:r>
        <w:rPr>
          <w:rFonts w:ascii="宋体" w:hAnsi="宋体"/>
          <w:kern w:val="0"/>
          <w:szCs w:val="21"/>
        </w:rPr>
        <w:br w:type="page"/>
      </w:r>
    </w:p>
    <w:p w14:paraId="36AB661A">
      <w:pPr>
        <w:jc w:val="center"/>
        <w:rPr>
          <w:sz w:val="32"/>
          <w:szCs w:val="32"/>
        </w:rPr>
      </w:pPr>
      <w:bookmarkStart w:id="2062" w:name="_Toc224103509"/>
      <w:bookmarkStart w:id="2063" w:name="_Toc509218862"/>
      <w:bookmarkStart w:id="2064" w:name="_Toc287607881"/>
      <w:bookmarkStart w:id="2065" w:name="_Toc534185839"/>
      <w:bookmarkStart w:id="2066" w:name="_Toc430530544"/>
      <w:bookmarkStart w:id="2067" w:name="_Toc277082655"/>
      <w:bookmarkStart w:id="2068" w:name="_Toc287620828"/>
      <w:r>
        <w:rPr>
          <w:rFonts w:hint="eastAsia"/>
          <w:sz w:val="32"/>
          <w:szCs w:val="32"/>
        </w:rPr>
        <w:t>附表六：临时用地表</w:t>
      </w:r>
      <w:bookmarkEnd w:id="2062"/>
      <w:bookmarkEnd w:id="2063"/>
      <w:bookmarkEnd w:id="2064"/>
      <w:bookmarkEnd w:id="2065"/>
      <w:bookmarkEnd w:id="2066"/>
      <w:bookmarkEnd w:id="2067"/>
      <w:bookmarkEnd w:id="2068"/>
    </w:p>
    <w:tbl>
      <w:tblPr>
        <w:tblStyle w:val="45"/>
        <w:tblW w:w="952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2381"/>
        <w:gridCol w:w="2381"/>
        <w:gridCol w:w="2383"/>
        <w:gridCol w:w="2384"/>
      </w:tblGrid>
      <w:tr w14:paraId="6AA46C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vAlign w:val="center"/>
          </w:tcPr>
          <w:p w14:paraId="0E8B429E">
            <w:pPr>
              <w:autoSpaceDE w:val="0"/>
              <w:autoSpaceDN w:val="0"/>
              <w:adjustRightInd w:val="0"/>
              <w:snapToGrid w:val="0"/>
              <w:jc w:val="center"/>
              <w:rPr>
                <w:rFonts w:ascii="宋体" w:hAnsi="宋体"/>
                <w:kern w:val="0"/>
                <w:sz w:val="24"/>
              </w:rPr>
            </w:pPr>
            <w:r>
              <w:rPr>
                <w:rFonts w:ascii="宋体" w:hAnsi="宋体"/>
                <w:kern w:val="0"/>
                <w:szCs w:val="21"/>
              </w:rPr>
              <w:t>用 途</w:t>
            </w:r>
          </w:p>
        </w:tc>
        <w:tc>
          <w:tcPr>
            <w:tcW w:w="2381" w:type="dxa"/>
            <w:vAlign w:val="center"/>
          </w:tcPr>
          <w:p w14:paraId="10758942">
            <w:pPr>
              <w:autoSpaceDE w:val="0"/>
              <w:autoSpaceDN w:val="0"/>
              <w:adjustRightInd w:val="0"/>
              <w:snapToGrid w:val="0"/>
              <w:jc w:val="center"/>
              <w:rPr>
                <w:rFonts w:ascii="宋体" w:hAnsi="宋体"/>
                <w:kern w:val="0"/>
                <w:sz w:val="24"/>
              </w:rPr>
            </w:pPr>
            <w:r>
              <w:rPr>
                <w:rFonts w:ascii="宋体" w:hAnsi="宋体"/>
                <w:kern w:val="0"/>
                <w:szCs w:val="21"/>
              </w:rPr>
              <w:t>面 积（平</w:t>
            </w:r>
            <w:r>
              <w:rPr>
                <w:rFonts w:ascii="宋体" w:hAnsi="宋体"/>
                <w:spacing w:val="-1"/>
                <w:kern w:val="0"/>
                <w:szCs w:val="21"/>
              </w:rPr>
              <w:t>方</w:t>
            </w:r>
            <w:r>
              <w:rPr>
                <w:rFonts w:ascii="宋体" w:hAnsi="宋体"/>
                <w:kern w:val="0"/>
                <w:szCs w:val="21"/>
              </w:rPr>
              <w:t>米）</w:t>
            </w:r>
          </w:p>
        </w:tc>
        <w:tc>
          <w:tcPr>
            <w:tcW w:w="2383" w:type="dxa"/>
            <w:vAlign w:val="center"/>
          </w:tcPr>
          <w:p w14:paraId="4B399DC4">
            <w:pPr>
              <w:autoSpaceDE w:val="0"/>
              <w:autoSpaceDN w:val="0"/>
              <w:adjustRightInd w:val="0"/>
              <w:snapToGrid w:val="0"/>
              <w:jc w:val="center"/>
              <w:rPr>
                <w:rFonts w:ascii="宋体" w:hAnsi="宋体"/>
                <w:kern w:val="0"/>
                <w:sz w:val="24"/>
              </w:rPr>
            </w:pPr>
            <w:r>
              <w:rPr>
                <w:rFonts w:ascii="宋体" w:hAnsi="宋体"/>
                <w:kern w:val="0"/>
                <w:szCs w:val="21"/>
              </w:rPr>
              <w:t>位 置</w:t>
            </w:r>
          </w:p>
        </w:tc>
        <w:tc>
          <w:tcPr>
            <w:tcW w:w="2384" w:type="dxa"/>
            <w:vAlign w:val="center"/>
          </w:tcPr>
          <w:p w14:paraId="1C4E6E47">
            <w:pPr>
              <w:autoSpaceDE w:val="0"/>
              <w:autoSpaceDN w:val="0"/>
              <w:adjustRightInd w:val="0"/>
              <w:snapToGrid w:val="0"/>
              <w:jc w:val="center"/>
              <w:rPr>
                <w:rFonts w:ascii="宋体" w:hAnsi="宋体"/>
                <w:kern w:val="0"/>
                <w:sz w:val="24"/>
              </w:rPr>
            </w:pPr>
            <w:r>
              <w:rPr>
                <w:rFonts w:ascii="宋体" w:hAnsi="宋体"/>
                <w:kern w:val="0"/>
                <w:szCs w:val="21"/>
              </w:rPr>
              <w:t>需用时间</w:t>
            </w:r>
          </w:p>
        </w:tc>
      </w:tr>
      <w:tr w14:paraId="45B2C5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4A5BF13">
            <w:pPr>
              <w:autoSpaceDE w:val="0"/>
              <w:autoSpaceDN w:val="0"/>
              <w:adjustRightInd w:val="0"/>
              <w:snapToGrid w:val="0"/>
              <w:jc w:val="left"/>
              <w:rPr>
                <w:rFonts w:ascii="宋体" w:hAnsi="宋体"/>
                <w:kern w:val="0"/>
                <w:sz w:val="24"/>
              </w:rPr>
            </w:pPr>
          </w:p>
        </w:tc>
        <w:tc>
          <w:tcPr>
            <w:tcW w:w="2381" w:type="dxa"/>
          </w:tcPr>
          <w:p w14:paraId="134850C7">
            <w:pPr>
              <w:autoSpaceDE w:val="0"/>
              <w:autoSpaceDN w:val="0"/>
              <w:adjustRightInd w:val="0"/>
              <w:snapToGrid w:val="0"/>
              <w:jc w:val="left"/>
              <w:rPr>
                <w:rFonts w:ascii="宋体" w:hAnsi="宋体"/>
                <w:kern w:val="0"/>
                <w:sz w:val="24"/>
              </w:rPr>
            </w:pPr>
          </w:p>
        </w:tc>
        <w:tc>
          <w:tcPr>
            <w:tcW w:w="2383" w:type="dxa"/>
          </w:tcPr>
          <w:p w14:paraId="2701F5D8">
            <w:pPr>
              <w:autoSpaceDE w:val="0"/>
              <w:autoSpaceDN w:val="0"/>
              <w:adjustRightInd w:val="0"/>
              <w:snapToGrid w:val="0"/>
              <w:jc w:val="left"/>
              <w:rPr>
                <w:rFonts w:ascii="宋体" w:hAnsi="宋体"/>
                <w:kern w:val="0"/>
                <w:sz w:val="24"/>
              </w:rPr>
            </w:pPr>
          </w:p>
        </w:tc>
        <w:tc>
          <w:tcPr>
            <w:tcW w:w="2384" w:type="dxa"/>
          </w:tcPr>
          <w:p w14:paraId="25D9863C">
            <w:pPr>
              <w:autoSpaceDE w:val="0"/>
              <w:autoSpaceDN w:val="0"/>
              <w:adjustRightInd w:val="0"/>
              <w:snapToGrid w:val="0"/>
              <w:jc w:val="left"/>
              <w:rPr>
                <w:rFonts w:ascii="宋体" w:hAnsi="宋体"/>
                <w:kern w:val="0"/>
                <w:sz w:val="24"/>
              </w:rPr>
            </w:pPr>
          </w:p>
        </w:tc>
      </w:tr>
      <w:tr w14:paraId="0127CE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5932E34">
            <w:pPr>
              <w:autoSpaceDE w:val="0"/>
              <w:autoSpaceDN w:val="0"/>
              <w:adjustRightInd w:val="0"/>
              <w:snapToGrid w:val="0"/>
              <w:jc w:val="left"/>
              <w:rPr>
                <w:rFonts w:ascii="宋体" w:hAnsi="宋体"/>
                <w:kern w:val="0"/>
                <w:sz w:val="24"/>
              </w:rPr>
            </w:pPr>
          </w:p>
        </w:tc>
        <w:tc>
          <w:tcPr>
            <w:tcW w:w="2381" w:type="dxa"/>
          </w:tcPr>
          <w:p w14:paraId="541A515C">
            <w:pPr>
              <w:autoSpaceDE w:val="0"/>
              <w:autoSpaceDN w:val="0"/>
              <w:adjustRightInd w:val="0"/>
              <w:snapToGrid w:val="0"/>
              <w:jc w:val="left"/>
              <w:rPr>
                <w:rFonts w:ascii="宋体" w:hAnsi="宋体"/>
                <w:kern w:val="0"/>
                <w:sz w:val="24"/>
              </w:rPr>
            </w:pPr>
          </w:p>
        </w:tc>
        <w:tc>
          <w:tcPr>
            <w:tcW w:w="2383" w:type="dxa"/>
          </w:tcPr>
          <w:p w14:paraId="4E16DFB8">
            <w:pPr>
              <w:autoSpaceDE w:val="0"/>
              <w:autoSpaceDN w:val="0"/>
              <w:adjustRightInd w:val="0"/>
              <w:snapToGrid w:val="0"/>
              <w:jc w:val="left"/>
              <w:rPr>
                <w:rFonts w:ascii="宋体" w:hAnsi="宋体"/>
                <w:kern w:val="0"/>
                <w:sz w:val="24"/>
              </w:rPr>
            </w:pPr>
          </w:p>
        </w:tc>
        <w:tc>
          <w:tcPr>
            <w:tcW w:w="2384" w:type="dxa"/>
          </w:tcPr>
          <w:p w14:paraId="45982E94">
            <w:pPr>
              <w:autoSpaceDE w:val="0"/>
              <w:autoSpaceDN w:val="0"/>
              <w:adjustRightInd w:val="0"/>
              <w:snapToGrid w:val="0"/>
              <w:jc w:val="left"/>
              <w:rPr>
                <w:rFonts w:ascii="宋体" w:hAnsi="宋体"/>
                <w:kern w:val="0"/>
                <w:sz w:val="24"/>
              </w:rPr>
            </w:pPr>
          </w:p>
        </w:tc>
      </w:tr>
      <w:tr w14:paraId="37371CC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49B953F7">
            <w:pPr>
              <w:autoSpaceDE w:val="0"/>
              <w:autoSpaceDN w:val="0"/>
              <w:adjustRightInd w:val="0"/>
              <w:snapToGrid w:val="0"/>
              <w:jc w:val="left"/>
              <w:rPr>
                <w:rFonts w:ascii="宋体" w:hAnsi="宋体"/>
                <w:kern w:val="0"/>
                <w:sz w:val="24"/>
              </w:rPr>
            </w:pPr>
          </w:p>
        </w:tc>
        <w:tc>
          <w:tcPr>
            <w:tcW w:w="2381" w:type="dxa"/>
          </w:tcPr>
          <w:p w14:paraId="766CF8C0">
            <w:pPr>
              <w:autoSpaceDE w:val="0"/>
              <w:autoSpaceDN w:val="0"/>
              <w:adjustRightInd w:val="0"/>
              <w:snapToGrid w:val="0"/>
              <w:jc w:val="left"/>
              <w:rPr>
                <w:rFonts w:ascii="宋体" w:hAnsi="宋体"/>
                <w:kern w:val="0"/>
                <w:sz w:val="24"/>
              </w:rPr>
            </w:pPr>
          </w:p>
        </w:tc>
        <w:tc>
          <w:tcPr>
            <w:tcW w:w="2383" w:type="dxa"/>
          </w:tcPr>
          <w:p w14:paraId="6F97A1EA">
            <w:pPr>
              <w:autoSpaceDE w:val="0"/>
              <w:autoSpaceDN w:val="0"/>
              <w:adjustRightInd w:val="0"/>
              <w:snapToGrid w:val="0"/>
              <w:jc w:val="left"/>
              <w:rPr>
                <w:rFonts w:ascii="宋体" w:hAnsi="宋体"/>
                <w:kern w:val="0"/>
                <w:sz w:val="24"/>
              </w:rPr>
            </w:pPr>
          </w:p>
        </w:tc>
        <w:tc>
          <w:tcPr>
            <w:tcW w:w="2384" w:type="dxa"/>
          </w:tcPr>
          <w:p w14:paraId="5B71E822">
            <w:pPr>
              <w:autoSpaceDE w:val="0"/>
              <w:autoSpaceDN w:val="0"/>
              <w:adjustRightInd w:val="0"/>
              <w:snapToGrid w:val="0"/>
              <w:jc w:val="left"/>
              <w:rPr>
                <w:rFonts w:ascii="宋体" w:hAnsi="宋体"/>
                <w:kern w:val="0"/>
                <w:sz w:val="24"/>
              </w:rPr>
            </w:pPr>
          </w:p>
        </w:tc>
      </w:tr>
      <w:tr w14:paraId="4C3599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7E74C10">
            <w:pPr>
              <w:autoSpaceDE w:val="0"/>
              <w:autoSpaceDN w:val="0"/>
              <w:adjustRightInd w:val="0"/>
              <w:snapToGrid w:val="0"/>
              <w:jc w:val="left"/>
              <w:rPr>
                <w:rFonts w:ascii="宋体" w:hAnsi="宋体"/>
                <w:kern w:val="0"/>
                <w:sz w:val="24"/>
              </w:rPr>
            </w:pPr>
          </w:p>
        </w:tc>
        <w:tc>
          <w:tcPr>
            <w:tcW w:w="2381" w:type="dxa"/>
          </w:tcPr>
          <w:p w14:paraId="29A879AE">
            <w:pPr>
              <w:autoSpaceDE w:val="0"/>
              <w:autoSpaceDN w:val="0"/>
              <w:adjustRightInd w:val="0"/>
              <w:snapToGrid w:val="0"/>
              <w:jc w:val="left"/>
              <w:rPr>
                <w:rFonts w:ascii="宋体" w:hAnsi="宋体"/>
                <w:kern w:val="0"/>
                <w:sz w:val="24"/>
              </w:rPr>
            </w:pPr>
          </w:p>
        </w:tc>
        <w:tc>
          <w:tcPr>
            <w:tcW w:w="2383" w:type="dxa"/>
          </w:tcPr>
          <w:p w14:paraId="0C8DE139">
            <w:pPr>
              <w:autoSpaceDE w:val="0"/>
              <w:autoSpaceDN w:val="0"/>
              <w:adjustRightInd w:val="0"/>
              <w:snapToGrid w:val="0"/>
              <w:jc w:val="left"/>
              <w:rPr>
                <w:rFonts w:ascii="宋体" w:hAnsi="宋体"/>
                <w:kern w:val="0"/>
                <w:sz w:val="24"/>
              </w:rPr>
            </w:pPr>
          </w:p>
        </w:tc>
        <w:tc>
          <w:tcPr>
            <w:tcW w:w="2384" w:type="dxa"/>
          </w:tcPr>
          <w:p w14:paraId="2A2E04BD">
            <w:pPr>
              <w:autoSpaceDE w:val="0"/>
              <w:autoSpaceDN w:val="0"/>
              <w:adjustRightInd w:val="0"/>
              <w:snapToGrid w:val="0"/>
              <w:jc w:val="left"/>
              <w:rPr>
                <w:rFonts w:ascii="宋体" w:hAnsi="宋体"/>
                <w:kern w:val="0"/>
                <w:sz w:val="24"/>
              </w:rPr>
            </w:pPr>
          </w:p>
        </w:tc>
      </w:tr>
      <w:tr w14:paraId="2C0937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064A5B5">
            <w:pPr>
              <w:autoSpaceDE w:val="0"/>
              <w:autoSpaceDN w:val="0"/>
              <w:adjustRightInd w:val="0"/>
              <w:snapToGrid w:val="0"/>
              <w:jc w:val="left"/>
              <w:rPr>
                <w:rFonts w:ascii="宋体" w:hAnsi="宋体"/>
                <w:kern w:val="0"/>
                <w:sz w:val="24"/>
              </w:rPr>
            </w:pPr>
          </w:p>
        </w:tc>
        <w:tc>
          <w:tcPr>
            <w:tcW w:w="2381" w:type="dxa"/>
          </w:tcPr>
          <w:p w14:paraId="04E72BCC">
            <w:pPr>
              <w:autoSpaceDE w:val="0"/>
              <w:autoSpaceDN w:val="0"/>
              <w:adjustRightInd w:val="0"/>
              <w:snapToGrid w:val="0"/>
              <w:jc w:val="left"/>
              <w:rPr>
                <w:rFonts w:ascii="宋体" w:hAnsi="宋体"/>
                <w:kern w:val="0"/>
                <w:sz w:val="24"/>
              </w:rPr>
            </w:pPr>
          </w:p>
        </w:tc>
        <w:tc>
          <w:tcPr>
            <w:tcW w:w="2383" w:type="dxa"/>
          </w:tcPr>
          <w:p w14:paraId="3A21E0BB">
            <w:pPr>
              <w:autoSpaceDE w:val="0"/>
              <w:autoSpaceDN w:val="0"/>
              <w:adjustRightInd w:val="0"/>
              <w:snapToGrid w:val="0"/>
              <w:jc w:val="left"/>
              <w:rPr>
                <w:rFonts w:ascii="宋体" w:hAnsi="宋体"/>
                <w:kern w:val="0"/>
                <w:sz w:val="24"/>
              </w:rPr>
            </w:pPr>
          </w:p>
        </w:tc>
        <w:tc>
          <w:tcPr>
            <w:tcW w:w="2384" w:type="dxa"/>
          </w:tcPr>
          <w:p w14:paraId="7D5B4744">
            <w:pPr>
              <w:autoSpaceDE w:val="0"/>
              <w:autoSpaceDN w:val="0"/>
              <w:adjustRightInd w:val="0"/>
              <w:snapToGrid w:val="0"/>
              <w:jc w:val="left"/>
              <w:rPr>
                <w:rFonts w:ascii="宋体" w:hAnsi="宋体"/>
                <w:kern w:val="0"/>
                <w:sz w:val="24"/>
              </w:rPr>
            </w:pPr>
          </w:p>
        </w:tc>
      </w:tr>
      <w:tr w14:paraId="543B3F6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75F68E2">
            <w:pPr>
              <w:autoSpaceDE w:val="0"/>
              <w:autoSpaceDN w:val="0"/>
              <w:adjustRightInd w:val="0"/>
              <w:snapToGrid w:val="0"/>
              <w:jc w:val="left"/>
              <w:rPr>
                <w:rFonts w:ascii="宋体" w:hAnsi="宋体"/>
                <w:kern w:val="0"/>
                <w:sz w:val="24"/>
              </w:rPr>
            </w:pPr>
          </w:p>
        </w:tc>
        <w:tc>
          <w:tcPr>
            <w:tcW w:w="2381" w:type="dxa"/>
          </w:tcPr>
          <w:p w14:paraId="45922F9A">
            <w:pPr>
              <w:autoSpaceDE w:val="0"/>
              <w:autoSpaceDN w:val="0"/>
              <w:adjustRightInd w:val="0"/>
              <w:snapToGrid w:val="0"/>
              <w:jc w:val="left"/>
              <w:rPr>
                <w:rFonts w:ascii="宋体" w:hAnsi="宋体"/>
                <w:kern w:val="0"/>
                <w:sz w:val="24"/>
              </w:rPr>
            </w:pPr>
          </w:p>
        </w:tc>
        <w:tc>
          <w:tcPr>
            <w:tcW w:w="2383" w:type="dxa"/>
          </w:tcPr>
          <w:p w14:paraId="6FB29E7C">
            <w:pPr>
              <w:autoSpaceDE w:val="0"/>
              <w:autoSpaceDN w:val="0"/>
              <w:adjustRightInd w:val="0"/>
              <w:snapToGrid w:val="0"/>
              <w:jc w:val="left"/>
              <w:rPr>
                <w:rFonts w:ascii="宋体" w:hAnsi="宋体"/>
                <w:kern w:val="0"/>
                <w:sz w:val="24"/>
              </w:rPr>
            </w:pPr>
          </w:p>
        </w:tc>
        <w:tc>
          <w:tcPr>
            <w:tcW w:w="2384" w:type="dxa"/>
          </w:tcPr>
          <w:p w14:paraId="476546E4">
            <w:pPr>
              <w:autoSpaceDE w:val="0"/>
              <w:autoSpaceDN w:val="0"/>
              <w:adjustRightInd w:val="0"/>
              <w:snapToGrid w:val="0"/>
              <w:jc w:val="left"/>
              <w:rPr>
                <w:rFonts w:ascii="宋体" w:hAnsi="宋体"/>
                <w:kern w:val="0"/>
                <w:sz w:val="24"/>
              </w:rPr>
            </w:pPr>
          </w:p>
        </w:tc>
      </w:tr>
      <w:tr w14:paraId="55525A5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C1288EF">
            <w:pPr>
              <w:autoSpaceDE w:val="0"/>
              <w:autoSpaceDN w:val="0"/>
              <w:adjustRightInd w:val="0"/>
              <w:snapToGrid w:val="0"/>
              <w:jc w:val="left"/>
              <w:rPr>
                <w:rFonts w:ascii="宋体" w:hAnsi="宋体"/>
                <w:kern w:val="0"/>
                <w:sz w:val="24"/>
              </w:rPr>
            </w:pPr>
          </w:p>
        </w:tc>
        <w:tc>
          <w:tcPr>
            <w:tcW w:w="2381" w:type="dxa"/>
          </w:tcPr>
          <w:p w14:paraId="00BDC148">
            <w:pPr>
              <w:autoSpaceDE w:val="0"/>
              <w:autoSpaceDN w:val="0"/>
              <w:adjustRightInd w:val="0"/>
              <w:snapToGrid w:val="0"/>
              <w:jc w:val="left"/>
              <w:rPr>
                <w:rFonts w:ascii="宋体" w:hAnsi="宋体"/>
                <w:kern w:val="0"/>
                <w:sz w:val="24"/>
              </w:rPr>
            </w:pPr>
          </w:p>
        </w:tc>
        <w:tc>
          <w:tcPr>
            <w:tcW w:w="2383" w:type="dxa"/>
          </w:tcPr>
          <w:p w14:paraId="04006170">
            <w:pPr>
              <w:autoSpaceDE w:val="0"/>
              <w:autoSpaceDN w:val="0"/>
              <w:adjustRightInd w:val="0"/>
              <w:snapToGrid w:val="0"/>
              <w:jc w:val="left"/>
              <w:rPr>
                <w:rFonts w:ascii="宋体" w:hAnsi="宋体"/>
                <w:kern w:val="0"/>
                <w:sz w:val="24"/>
              </w:rPr>
            </w:pPr>
          </w:p>
        </w:tc>
        <w:tc>
          <w:tcPr>
            <w:tcW w:w="2384" w:type="dxa"/>
          </w:tcPr>
          <w:p w14:paraId="64955D1C">
            <w:pPr>
              <w:autoSpaceDE w:val="0"/>
              <w:autoSpaceDN w:val="0"/>
              <w:adjustRightInd w:val="0"/>
              <w:snapToGrid w:val="0"/>
              <w:jc w:val="left"/>
              <w:rPr>
                <w:rFonts w:ascii="宋体" w:hAnsi="宋体"/>
                <w:kern w:val="0"/>
                <w:sz w:val="24"/>
              </w:rPr>
            </w:pPr>
          </w:p>
        </w:tc>
      </w:tr>
      <w:tr w14:paraId="36BE2F6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242948C">
            <w:pPr>
              <w:autoSpaceDE w:val="0"/>
              <w:autoSpaceDN w:val="0"/>
              <w:adjustRightInd w:val="0"/>
              <w:snapToGrid w:val="0"/>
              <w:jc w:val="left"/>
              <w:rPr>
                <w:rFonts w:ascii="宋体" w:hAnsi="宋体"/>
                <w:kern w:val="0"/>
                <w:sz w:val="24"/>
              </w:rPr>
            </w:pPr>
          </w:p>
        </w:tc>
        <w:tc>
          <w:tcPr>
            <w:tcW w:w="2381" w:type="dxa"/>
          </w:tcPr>
          <w:p w14:paraId="7A6B8B9E">
            <w:pPr>
              <w:autoSpaceDE w:val="0"/>
              <w:autoSpaceDN w:val="0"/>
              <w:adjustRightInd w:val="0"/>
              <w:snapToGrid w:val="0"/>
              <w:jc w:val="left"/>
              <w:rPr>
                <w:rFonts w:ascii="宋体" w:hAnsi="宋体"/>
                <w:kern w:val="0"/>
                <w:sz w:val="24"/>
              </w:rPr>
            </w:pPr>
          </w:p>
        </w:tc>
        <w:tc>
          <w:tcPr>
            <w:tcW w:w="2383" w:type="dxa"/>
          </w:tcPr>
          <w:p w14:paraId="3561CDEF">
            <w:pPr>
              <w:autoSpaceDE w:val="0"/>
              <w:autoSpaceDN w:val="0"/>
              <w:adjustRightInd w:val="0"/>
              <w:snapToGrid w:val="0"/>
              <w:jc w:val="left"/>
              <w:rPr>
                <w:rFonts w:ascii="宋体" w:hAnsi="宋体"/>
                <w:kern w:val="0"/>
                <w:sz w:val="24"/>
              </w:rPr>
            </w:pPr>
          </w:p>
        </w:tc>
        <w:tc>
          <w:tcPr>
            <w:tcW w:w="2384" w:type="dxa"/>
          </w:tcPr>
          <w:p w14:paraId="2E5CD291">
            <w:pPr>
              <w:autoSpaceDE w:val="0"/>
              <w:autoSpaceDN w:val="0"/>
              <w:adjustRightInd w:val="0"/>
              <w:snapToGrid w:val="0"/>
              <w:jc w:val="left"/>
              <w:rPr>
                <w:rFonts w:ascii="宋体" w:hAnsi="宋体"/>
                <w:kern w:val="0"/>
                <w:sz w:val="24"/>
              </w:rPr>
            </w:pPr>
          </w:p>
        </w:tc>
      </w:tr>
      <w:tr w14:paraId="6C8BC55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6F1740C0">
            <w:pPr>
              <w:autoSpaceDE w:val="0"/>
              <w:autoSpaceDN w:val="0"/>
              <w:adjustRightInd w:val="0"/>
              <w:snapToGrid w:val="0"/>
              <w:jc w:val="left"/>
              <w:rPr>
                <w:rFonts w:ascii="宋体" w:hAnsi="宋体"/>
                <w:kern w:val="0"/>
                <w:sz w:val="24"/>
              </w:rPr>
            </w:pPr>
          </w:p>
        </w:tc>
        <w:tc>
          <w:tcPr>
            <w:tcW w:w="2381" w:type="dxa"/>
          </w:tcPr>
          <w:p w14:paraId="73479A40">
            <w:pPr>
              <w:autoSpaceDE w:val="0"/>
              <w:autoSpaceDN w:val="0"/>
              <w:adjustRightInd w:val="0"/>
              <w:snapToGrid w:val="0"/>
              <w:jc w:val="left"/>
              <w:rPr>
                <w:rFonts w:ascii="宋体" w:hAnsi="宋体"/>
                <w:kern w:val="0"/>
                <w:sz w:val="24"/>
              </w:rPr>
            </w:pPr>
          </w:p>
        </w:tc>
        <w:tc>
          <w:tcPr>
            <w:tcW w:w="2383" w:type="dxa"/>
          </w:tcPr>
          <w:p w14:paraId="14D32D5E">
            <w:pPr>
              <w:autoSpaceDE w:val="0"/>
              <w:autoSpaceDN w:val="0"/>
              <w:adjustRightInd w:val="0"/>
              <w:snapToGrid w:val="0"/>
              <w:jc w:val="left"/>
              <w:rPr>
                <w:rFonts w:ascii="宋体" w:hAnsi="宋体"/>
                <w:kern w:val="0"/>
                <w:sz w:val="24"/>
              </w:rPr>
            </w:pPr>
          </w:p>
        </w:tc>
        <w:tc>
          <w:tcPr>
            <w:tcW w:w="2384" w:type="dxa"/>
          </w:tcPr>
          <w:p w14:paraId="06192474">
            <w:pPr>
              <w:autoSpaceDE w:val="0"/>
              <w:autoSpaceDN w:val="0"/>
              <w:adjustRightInd w:val="0"/>
              <w:snapToGrid w:val="0"/>
              <w:jc w:val="left"/>
              <w:rPr>
                <w:rFonts w:ascii="宋体" w:hAnsi="宋体"/>
                <w:kern w:val="0"/>
                <w:sz w:val="24"/>
              </w:rPr>
            </w:pPr>
          </w:p>
        </w:tc>
      </w:tr>
      <w:tr w14:paraId="1B67ED2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CBC3A60">
            <w:pPr>
              <w:autoSpaceDE w:val="0"/>
              <w:autoSpaceDN w:val="0"/>
              <w:adjustRightInd w:val="0"/>
              <w:snapToGrid w:val="0"/>
              <w:jc w:val="left"/>
              <w:rPr>
                <w:rFonts w:ascii="宋体" w:hAnsi="宋体"/>
                <w:kern w:val="0"/>
                <w:sz w:val="24"/>
              </w:rPr>
            </w:pPr>
          </w:p>
        </w:tc>
        <w:tc>
          <w:tcPr>
            <w:tcW w:w="2381" w:type="dxa"/>
          </w:tcPr>
          <w:p w14:paraId="1C83FA66">
            <w:pPr>
              <w:autoSpaceDE w:val="0"/>
              <w:autoSpaceDN w:val="0"/>
              <w:adjustRightInd w:val="0"/>
              <w:snapToGrid w:val="0"/>
              <w:jc w:val="left"/>
              <w:rPr>
                <w:rFonts w:ascii="宋体" w:hAnsi="宋体"/>
                <w:kern w:val="0"/>
                <w:sz w:val="24"/>
              </w:rPr>
            </w:pPr>
          </w:p>
        </w:tc>
        <w:tc>
          <w:tcPr>
            <w:tcW w:w="2383" w:type="dxa"/>
          </w:tcPr>
          <w:p w14:paraId="3F9BA636">
            <w:pPr>
              <w:autoSpaceDE w:val="0"/>
              <w:autoSpaceDN w:val="0"/>
              <w:adjustRightInd w:val="0"/>
              <w:snapToGrid w:val="0"/>
              <w:jc w:val="left"/>
              <w:rPr>
                <w:rFonts w:ascii="宋体" w:hAnsi="宋体"/>
                <w:kern w:val="0"/>
                <w:sz w:val="24"/>
              </w:rPr>
            </w:pPr>
          </w:p>
        </w:tc>
        <w:tc>
          <w:tcPr>
            <w:tcW w:w="2384" w:type="dxa"/>
          </w:tcPr>
          <w:p w14:paraId="6E46B4BF">
            <w:pPr>
              <w:autoSpaceDE w:val="0"/>
              <w:autoSpaceDN w:val="0"/>
              <w:adjustRightInd w:val="0"/>
              <w:snapToGrid w:val="0"/>
              <w:jc w:val="left"/>
              <w:rPr>
                <w:rFonts w:ascii="宋体" w:hAnsi="宋体"/>
                <w:kern w:val="0"/>
                <w:sz w:val="24"/>
              </w:rPr>
            </w:pPr>
          </w:p>
        </w:tc>
      </w:tr>
      <w:tr w14:paraId="6AC8D71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2ADE21F9">
            <w:pPr>
              <w:autoSpaceDE w:val="0"/>
              <w:autoSpaceDN w:val="0"/>
              <w:adjustRightInd w:val="0"/>
              <w:snapToGrid w:val="0"/>
              <w:jc w:val="left"/>
              <w:rPr>
                <w:rFonts w:ascii="宋体" w:hAnsi="宋体"/>
                <w:kern w:val="0"/>
                <w:sz w:val="24"/>
              </w:rPr>
            </w:pPr>
          </w:p>
        </w:tc>
        <w:tc>
          <w:tcPr>
            <w:tcW w:w="2381" w:type="dxa"/>
          </w:tcPr>
          <w:p w14:paraId="47E44B2D">
            <w:pPr>
              <w:autoSpaceDE w:val="0"/>
              <w:autoSpaceDN w:val="0"/>
              <w:adjustRightInd w:val="0"/>
              <w:snapToGrid w:val="0"/>
              <w:jc w:val="left"/>
              <w:rPr>
                <w:rFonts w:ascii="宋体" w:hAnsi="宋体"/>
                <w:kern w:val="0"/>
                <w:sz w:val="24"/>
              </w:rPr>
            </w:pPr>
          </w:p>
        </w:tc>
        <w:tc>
          <w:tcPr>
            <w:tcW w:w="2383" w:type="dxa"/>
          </w:tcPr>
          <w:p w14:paraId="5ACAF188">
            <w:pPr>
              <w:autoSpaceDE w:val="0"/>
              <w:autoSpaceDN w:val="0"/>
              <w:adjustRightInd w:val="0"/>
              <w:snapToGrid w:val="0"/>
              <w:jc w:val="left"/>
              <w:rPr>
                <w:rFonts w:ascii="宋体" w:hAnsi="宋体"/>
                <w:kern w:val="0"/>
                <w:sz w:val="24"/>
              </w:rPr>
            </w:pPr>
          </w:p>
        </w:tc>
        <w:tc>
          <w:tcPr>
            <w:tcW w:w="2384" w:type="dxa"/>
          </w:tcPr>
          <w:p w14:paraId="4EAF630C">
            <w:pPr>
              <w:autoSpaceDE w:val="0"/>
              <w:autoSpaceDN w:val="0"/>
              <w:adjustRightInd w:val="0"/>
              <w:snapToGrid w:val="0"/>
              <w:jc w:val="left"/>
              <w:rPr>
                <w:rFonts w:ascii="宋体" w:hAnsi="宋体"/>
                <w:kern w:val="0"/>
                <w:sz w:val="24"/>
              </w:rPr>
            </w:pPr>
          </w:p>
        </w:tc>
      </w:tr>
      <w:tr w14:paraId="64A532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439BFFC">
            <w:pPr>
              <w:autoSpaceDE w:val="0"/>
              <w:autoSpaceDN w:val="0"/>
              <w:adjustRightInd w:val="0"/>
              <w:snapToGrid w:val="0"/>
              <w:jc w:val="left"/>
              <w:rPr>
                <w:rFonts w:ascii="宋体" w:hAnsi="宋体"/>
                <w:kern w:val="0"/>
                <w:sz w:val="24"/>
              </w:rPr>
            </w:pPr>
          </w:p>
        </w:tc>
        <w:tc>
          <w:tcPr>
            <w:tcW w:w="2381" w:type="dxa"/>
          </w:tcPr>
          <w:p w14:paraId="5F532F9D">
            <w:pPr>
              <w:autoSpaceDE w:val="0"/>
              <w:autoSpaceDN w:val="0"/>
              <w:adjustRightInd w:val="0"/>
              <w:snapToGrid w:val="0"/>
              <w:jc w:val="left"/>
              <w:rPr>
                <w:rFonts w:ascii="宋体" w:hAnsi="宋体"/>
                <w:kern w:val="0"/>
                <w:sz w:val="24"/>
              </w:rPr>
            </w:pPr>
          </w:p>
        </w:tc>
        <w:tc>
          <w:tcPr>
            <w:tcW w:w="2383" w:type="dxa"/>
          </w:tcPr>
          <w:p w14:paraId="7C4D295C">
            <w:pPr>
              <w:autoSpaceDE w:val="0"/>
              <w:autoSpaceDN w:val="0"/>
              <w:adjustRightInd w:val="0"/>
              <w:snapToGrid w:val="0"/>
              <w:jc w:val="left"/>
              <w:rPr>
                <w:rFonts w:ascii="宋体" w:hAnsi="宋体"/>
                <w:kern w:val="0"/>
                <w:sz w:val="24"/>
              </w:rPr>
            </w:pPr>
          </w:p>
        </w:tc>
        <w:tc>
          <w:tcPr>
            <w:tcW w:w="2384" w:type="dxa"/>
          </w:tcPr>
          <w:p w14:paraId="1A43CF4D">
            <w:pPr>
              <w:autoSpaceDE w:val="0"/>
              <w:autoSpaceDN w:val="0"/>
              <w:adjustRightInd w:val="0"/>
              <w:snapToGrid w:val="0"/>
              <w:jc w:val="left"/>
              <w:rPr>
                <w:rFonts w:ascii="宋体" w:hAnsi="宋体"/>
                <w:kern w:val="0"/>
                <w:sz w:val="24"/>
              </w:rPr>
            </w:pPr>
          </w:p>
        </w:tc>
      </w:tr>
      <w:tr w14:paraId="250A46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00AF261">
            <w:pPr>
              <w:autoSpaceDE w:val="0"/>
              <w:autoSpaceDN w:val="0"/>
              <w:adjustRightInd w:val="0"/>
              <w:snapToGrid w:val="0"/>
              <w:jc w:val="left"/>
              <w:rPr>
                <w:rFonts w:ascii="宋体" w:hAnsi="宋体"/>
                <w:kern w:val="0"/>
                <w:sz w:val="24"/>
              </w:rPr>
            </w:pPr>
          </w:p>
        </w:tc>
        <w:tc>
          <w:tcPr>
            <w:tcW w:w="2381" w:type="dxa"/>
          </w:tcPr>
          <w:p w14:paraId="1505C4F3">
            <w:pPr>
              <w:autoSpaceDE w:val="0"/>
              <w:autoSpaceDN w:val="0"/>
              <w:adjustRightInd w:val="0"/>
              <w:snapToGrid w:val="0"/>
              <w:jc w:val="left"/>
              <w:rPr>
                <w:rFonts w:ascii="宋体" w:hAnsi="宋体"/>
                <w:kern w:val="0"/>
                <w:sz w:val="24"/>
              </w:rPr>
            </w:pPr>
          </w:p>
        </w:tc>
        <w:tc>
          <w:tcPr>
            <w:tcW w:w="2383" w:type="dxa"/>
          </w:tcPr>
          <w:p w14:paraId="5EC645C1">
            <w:pPr>
              <w:autoSpaceDE w:val="0"/>
              <w:autoSpaceDN w:val="0"/>
              <w:adjustRightInd w:val="0"/>
              <w:snapToGrid w:val="0"/>
              <w:jc w:val="left"/>
              <w:rPr>
                <w:rFonts w:ascii="宋体" w:hAnsi="宋体"/>
                <w:kern w:val="0"/>
                <w:sz w:val="24"/>
              </w:rPr>
            </w:pPr>
          </w:p>
        </w:tc>
        <w:tc>
          <w:tcPr>
            <w:tcW w:w="2384" w:type="dxa"/>
          </w:tcPr>
          <w:p w14:paraId="62D46054">
            <w:pPr>
              <w:autoSpaceDE w:val="0"/>
              <w:autoSpaceDN w:val="0"/>
              <w:adjustRightInd w:val="0"/>
              <w:snapToGrid w:val="0"/>
              <w:jc w:val="left"/>
              <w:rPr>
                <w:rFonts w:ascii="宋体" w:hAnsi="宋体"/>
                <w:kern w:val="0"/>
                <w:sz w:val="24"/>
              </w:rPr>
            </w:pPr>
          </w:p>
        </w:tc>
      </w:tr>
      <w:tr w14:paraId="7936E4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CB04649">
            <w:pPr>
              <w:autoSpaceDE w:val="0"/>
              <w:autoSpaceDN w:val="0"/>
              <w:adjustRightInd w:val="0"/>
              <w:snapToGrid w:val="0"/>
              <w:jc w:val="left"/>
              <w:rPr>
                <w:rFonts w:ascii="宋体" w:hAnsi="宋体"/>
                <w:kern w:val="0"/>
                <w:sz w:val="24"/>
              </w:rPr>
            </w:pPr>
          </w:p>
        </w:tc>
        <w:tc>
          <w:tcPr>
            <w:tcW w:w="2381" w:type="dxa"/>
          </w:tcPr>
          <w:p w14:paraId="6DD21561">
            <w:pPr>
              <w:autoSpaceDE w:val="0"/>
              <w:autoSpaceDN w:val="0"/>
              <w:adjustRightInd w:val="0"/>
              <w:snapToGrid w:val="0"/>
              <w:jc w:val="left"/>
              <w:rPr>
                <w:rFonts w:ascii="宋体" w:hAnsi="宋体"/>
                <w:kern w:val="0"/>
                <w:sz w:val="24"/>
              </w:rPr>
            </w:pPr>
          </w:p>
        </w:tc>
        <w:tc>
          <w:tcPr>
            <w:tcW w:w="2383" w:type="dxa"/>
          </w:tcPr>
          <w:p w14:paraId="746F20F1">
            <w:pPr>
              <w:autoSpaceDE w:val="0"/>
              <w:autoSpaceDN w:val="0"/>
              <w:adjustRightInd w:val="0"/>
              <w:snapToGrid w:val="0"/>
              <w:jc w:val="left"/>
              <w:rPr>
                <w:rFonts w:ascii="宋体" w:hAnsi="宋体"/>
                <w:kern w:val="0"/>
                <w:sz w:val="24"/>
              </w:rPr>
            </w:pPr>
          </w:p>
        </w:tc>
        <w:tc>
          <w:tcPr>
            <w:tcW w:w="2384" w:type="dxa"/>
          </w:tcPr>
          <w:p w14:paraId="1B6BB3B1">
            <w:pPr>
              <w:autoSpaceDE w:val="0"/>
              <w:autoSpaceDN w:val="0"/>
              <w:adjustRightInd w:val="0"/>
              <w:snapToGrid w:val="0"/>
              <w:jc w:val="left"/>
              <w:rPr>
                <w:rFonts w:ascii="宋体" w:hAnsi="宋体"/>
                <w:kern w:val="0"/>
                <w:sz w:val="24"/>
              </w:rPr>
            </w:pPr>
          </w:p>
        </w:tc>
      </w:tr>
      <w:tr w14:paraId="031870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E965C9C">
            <w:pPr>
              <w:autoSpaceDE w:val="0"/>
              <w:autoSpaceDN w:val="0"/>
              <w:adjustRightInd w:val="0"/>
              <w:snapToGrid w:val="0"/>
              <w:jc w:val="left"/>
              <w:rPr>
                <w:rFonts w:ascii="宋体" w:hAnsi="宋体"/>
                <w:kern w:val="0"/>
                <w:sz w:val="24"/>
              </w:rPr>
            </w:pPr>
          </w:p>
        </w:tc>
        <w:tc>
          <w:tcPr>
            <w:tcW w:w="2381" w:type="dxa"/>
          </w:tcPr>
          <w:p w14:paraId="2D3BCB66">
            <w:pPr>
              <w:autoSpaceDE w:val="0"/>
              <w:autoSpaceDN w:val="0"/>
              <w:adjustRightInd w:val="0"/>
              <w:snapToGrid w:val="0"/>
              <w:jc w:val="left"/>
              <w:rPr>
                <w:rFonts w:ascii="宋体" w:hAnsi="宋体"/>
                <w:kern w:val="0"/>
                <w:sz w:val="24"/>
              </w:rPr>
            </w:pPr>
          </w:p>
        </w:tc>
        <w:tc>
          <w:tcPr>
            <w:tcW w:w="2383" w:type="dxa"/>
          </w:tcPr>
          <w:p w14:paraId="66760C7B">
            <w:pPr>
              <w:autoSpaceDE w:val="0"/>
              <w:autoSpaceDN w:val="0"/>
              <w:adjustRightInd w:val="0"/>
              <w:snapToGrid w:val="0"/>
              <w:jc w:val="left"/>
              <w:rPr>
                <w:rFonts w:ascii="宋体" w:hAnsi="宋体"/>
                <w:kern w:val="0"/>
                <w:sz w:val="24"/>
              </w:rPr>
            </w:pPr>
          </w:p>
        </w:tc>
        <w:tc>
          <w:tcPr>
            <w:tcW w:w="2384" w:type="dxa"/>
          </w:tcPr>
          <w:p w14:paraId="67A7CB0D">
            <w:pPr>
              <w:autoSpaceDE w:val="0"/>
              <w:autoSpaceDN w:val="0"/>
              <w:adjustRightInd w:val="0"/>
              <w:snapToGrid w:val="0"/>
              <w:jc w:val="left"/>
              <w:rPr>
                <w:rFonts w:ascii="宋体" w:hAnsi="宋体"/>
                <w:kern w:val="0"/>
                <w:sz w:val="24"/>
              </w:rPr>
            </w:pPr>
          </w:p>
        </w:tc>
      </w:tr>
      <w:tr w14:paraId="615D5B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99364DF">
            <w:pPr>
              <w:autoSpaceDE w:val="0"/>
              <w:autoSpaceDN w:val="0"/>
              <w:adjustRightInd w:val="0"/>
              <w:snapToGrid w:val="0"/>
              <w:jc w:val="left"/>
              <w:rPr>
                <w:rFonts w:ascii="宋体" w:hAnsi="宋体"/>
                <w:kern w:val="0"/>
                <w:sz w:val="24"/>
              </w:rPr>
            </w:pPr>
          </w:p>
        </w:tc>
        <w:tc>
          <w:tcPr>
            <w:tcW w:w="2381" w:type="dxa"/>
          </w:tcPr>
          <w:p w14:paraId="5AB69836">
            <w:pPr>
              <w:autoSpaceDE w:val="0"/>
              <w:autoSpaceDN w:val="0"/>
              <w:adjustRightInd w:val="0"/>
              <w:snapToGrid w:val="0"/>
              <w:jc w:val="left"/>
              <w:rPr>
                <w:rFonts w:ascii="宋体" w:hAnsi="宋体"/>
                <w:kern w:val="0"/>
                <w:sz w:val="24"/>
              </w:rPr>
            </w:pPr>
          </w:p>
        </w:tc>
        <w:tc>
          <w:tcPr>
            <w:tcW w:w="2383" w:type="dxa"/>
          </w:tcPr>
          <w:p w14:paraId="437AFA61">
            <w:pPr>
              <w:autoSpaceDE w:val="0"/>
              <w:autoSpaceDN w:val="0"/>
              <w:adjustRightInd w:val="0"/>
              <w:snapToGrid w:val="0"/>
              <w:jc w:val="left"/>
              <w:rPr>
                <w:rFonts w:ascii="宋体" w:hAnsi="宋体"/>
                <w:kern w:val="0"/>
                <w:sz w:val="24"/>
              </w:rPr>
            </w:pPr>
          </w:p>
        </w:tc>
        <w:tc>
          <w:tcPr>
            <w:tcW w:w="2384" w:type="dxa"/>
          </w:tcPr>
          <w:p w14:paraId="21DB9D89">
            <w:pPr>
              <w:autoSpaceDE w:val="0"/>
              <w:autoSpaceDN w:val="0"/>
              <w:adjustRightInd w:val="0"/>
              <w:snapToGrid w:val="0"/>
              <w:jc w:val="left"/>
              <w:rPr>
                <w:rFonts w:ascii="宋体" w:hAnsi="宋体"/>
                <w:kern w:val="0"/>
                <w:sz w:val="24"/>
              </w:rPr>
            </w:pPr>
          </w:p>
        </w:tc>
      </w:tr>
      <w:tr w14:paraId="102771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A59255A">
            <w:pPr>
              <w:autoSpaceDE w:val="0"/>
              <w:autoSpaceDN w:val="0"/>
              <w:adjustRightInd w:val="0"/>
              <w:snapToGrid w:val="0"/>
              <w:jc w:val="left"/>
              <w:rPr>
                <w:rFonts w:ascii="宋体" w:hAnsi="宋体"/>
                <w:kern w:val="0"/>
                <w:sz w:val="24"/>
              </w:rPr>
            </w:pPr>
          </w:p>
        </w:tc>
        <w:tc>
          <w:tcPr>
            <w:tcW w:w="2381" w:type="dxa"/>
          </w:tcPr>
          <w:p w14:paraId="2E31DFA5">
            <w:pPr>
              <w:autoSpaceDE w:val="0"/>
              <w:autoSpaceDN w:val="0"/>
              <w:adjustRightInd w:val="0"/>
              <w:snapToGrid w:val="0"/>
              <w:jc w:val="left"/>
              <w:rPr>
                <w:rFonts w:ascii="宋体" w:hAnsi="宋体"/>
                <w:kern w:val="0"/>
                <w:sz w:val="24"/>
              </w:rPr>
            </w:pPr>
          </w:p>
        </w:tc>
        <w:tc>
          <w:tcPr>
            <w:tcW w:w="2383" w:type="dxa"/>
          </w:tcPr>
          <w:p w14:paraId="203C8989">
            <w:pPr>
              <w:autoSpaceDE w:val="0"/>
              <w:autoSpaceDN w:val="0"/>
              <w:adjustRightInd w:val="0"/>
              <w:snapToGrid w:val="0"/>
              <w:jc w:val="left"/>
              <w:rPr>
                <w:rFonts w:ascii="宋体" w:hAnsi="宋体"/>
                <w:kern w:val="0"/>
                <w:sz w:val="24"/>
              </w:rPr>
            </w:pPr>
          </w:p>
        </w:tc>
        <w:tc>
          <w:tcPr>
            <w:tcW w:w="2384" w:type="dxa"/>
          </w:tcPr>
          <w:p w14:paraId="2D28BD23">
            <w:pPr>
              <w:autoSpaceDE w:val="0"/>
              <w:autoSpaceDN w:val="0"/>
              <w:adjustRightInd w:val="0"/>
              <w:snapToGrid w:val="0"/>
              <w:jc w:val="left"/>
              <w:rPr>
                <w:rFonts w:ascii="宋体" w:hAnsi="宋体"/>
                <w:kern w:val="0"/>
                <w:sz w:val="24"/>
              </w:rPr>
            </w:pPr>
          </w:p>
        </w:tc>
      </w:tr>
      <w:tr w14:paraId="060B5D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0B2B15D8">
            <w:pPr>
              <w:autoSpaceDE w:val="0"/>
              <w:autoSpaceDN w:val="0"/>
              <w:adjustRightInd w:val="0"/>
              <w:snapToGrid w:val="0"/>
              <w:jc w:val="left"/>
              <w:rPr>
                <w:rFonts w:ascii="宋体" w:hAnsi="宋体"/>
                <w:kern w:val="0"/>
                <w:sz w:val="24"/>
              </w:rPr>
            </w:pPr>
          </w:p>
        </w:tc>
        <w:tc>
          <w:tcPr>
            <w:tcW w:w="2381" w:type="dxa"/>
          </w:tcPr>
          <w:p w14:paraId="3B1A6A3D">
            <w:pPr>
              <w:autoSpaceDE w:val="0"/>
              <w:autoSpaceDN w:val="0"/>
              <w:adjustRightInd w:val="0"/>
              <w:snapToGrid w:val="0"/>
              <w:jc w:val="left"/>
              <w:rPr>
                <w:rFonts w:ascii="宋体" w:hAnsi="宋体"/>
                <w:kern w:val="0"/>
                <w:sz w:val="24"/>
              </w:rPr>
            </w:pPr>
          </w:p>
        </w:tc>
        <w:tc>
          <w:tcPr>
            <w:tcW w:w="2383" w:type="dxa"/>
          </w:tcPr>
          <w:p w14:paraId="501AD73C">
            <w:pPr>
              <w:autoSpaceDE w:val="0"/>
              <w:autoSpaceDN w:val="0"/>
              <w:adjustRightInd w:val="0"/>
              <w:snapToGrid w:val="0"/>
              <w:jc w:val="left"/>
              <w:rPr>
                <w:rFonts w:ascii="宋体" w:hAnsi="宋体"/>
                <w:kern w:val="0"/>
                <w:sz w:val="24"/>
              </w:rPr>
            </w:pPr>
          </w:p>
        </w:tc>
        <w:tc>
          <w:tcPr>
            <w:tcW w:w="2384" w:type="dxa"/>
          </w:tcPr>
          <w:p w14:paraId="16F0BB77">
            <w:pPr>
              <w:autoSpaceDE w:val="0"/>
              <w:autoSpaceDN w:val="0"/>
              <w:adjustRightInd w:val="0"/>
              <w:snapToGrid w:val="0"/>
              <w:jc w:val="left"/>
              <w:rPr>
                <w:rFonts w:ascii="宋体" w:hAnsi="宋体"/>
                <w:kern w:val="0"/>
                <w:sz w:val="24"/>
              </w:rPr>
            </w:pPr>
          </w:p>
        </w:tc>
      </w:tr>
      <w:tr w14:paraId="7B9AB0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7F742E85">
            <w:pPr>
              <w:autoSpaceDE w:val="0"/>
              <w:autoSpaceDN w:val="0"/>
              <w:adjustRightInd w:val="0"/>
              <w:snapToGrid w:val="0"/>
              <w:jc w:val="left"/>
              <w:rPr>
                <w:rFonts w:ascii="宋体" w:hAnsi="宋体"/>
                <w:kern w:val="0"/>
                <w:sz w:val="24"/>
              </w:rPr>
            </w:pPr>
          </w:p>
        </w:tc>
        <w:tc>
          <w:tcPr>
            <w:tcW w:w="2381" w:type="dxa"/>
          </w:tcPr>
          <w:p w14:paraId="7A5D0615">
            <w:pPr>
              <w:autoSpaceDE w:val="0"/>
              <w:autoSpaceDN w:val="0"/>
              <w:adjustRightInd w:val="0"/>
              <w:snapToGrid w:val="0"/>
              <w:jc w:val="left"/>
              <w:rPr>
                <w:rFonts w:ascii="宋体" w:hAnsi="宋体"/>
                <w:kern w:val="0"/>
                <w:sz w:val="24"/>
              </w:rPr>
            </w:pPr>
          </w:p>
        </w:tc>
        <w:tc>
          <w:tcPr>
            <w:tcW w:w="2383" w:type="dxa"/>
          </w:tcPr>
          <w:p w14:paraId="556B223F">
            <w:pPr>
              <w:autoSpaceDE w:val="0"/>
              <w:autoSpaceDN w:val="0"/>
              <w:adjustRightInd w:val="0"/>
              <w:snapToGrid w:val="0"/>
              <w:jc w:val="left"/>
              <w:rPr>
                <w:rFonts w:ascii="宋体" w:hAnsi="宋体"/>
                <w:kern w:val="0"/>
                <w:sz w:val="24"/>
              </w:rPr>
            </w:pPr>
          </w:p>
        </w:tc>
        <w:tc>
          <w:tcPr>
            <w:tcW w:w="2384" w:type="dxa"/>
          </w:tcPr>
          <w:p w14:paraId="737A900A">
            <w:pPr>
              <w:autoSpaceDE w:val="0"/>
              <w:autoSpaceDN w:val="0"/>
              <w:adjustRightInd w:val="0"/>
              <w:snapToGrid w:val="0"/>
              <w:jc w:val="left"/>
              <w:rPr>
                <w:rFonts w:ascii="宋体" w:hAnsi="宋体"/>
                <w:kern w:val="0"/>
                <w:sz w:val="24"/>
              </w:rPr>
            </w:pPr>
          </w:p>
        </w:tc>
      </w:tr>
      <w:tr w14:paraId="19CDBB7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3F43B1CA">
            <w:pPr>
              <w:autoSpaceDE w:val="0"/>
              <w:autoSpaceDN w:val="0"/>
              <w:adjustRightInd w:val="0"/>
              <w:snapToGrid w:val="0"/>
              <w:jc w:val="left"/>
              <w:rPr>
                <w:rFonts w:ascii="宋体" w:hAnsi="宋体"/>
                <w:kern w:val="0"/>
                <w:sz w:val="24"/>
              </w:rPr>
            </w:pPr>
          </w:p>
        </w:tc>
        <w:tc>
          <w:tcPr>
            <w:tcW w:w="2381" w:type="dxa"/>
          </w:tcPr>
          <w:p w14:paraId="6E9C4493">
            <w:pPr>
              <w:autoSpaceDE w:val="0"/>
              <w:autoSpaceDN w:val="0"/>
              <w:adjustRightInd w:val="0"/>
              <w:snapToGrid w:val="0"/>
              <w:jc w:val="left"/>
              <w:rPr>
                <w:rFonts w:ascii="宋体" w:hAnsi="宋体"/>
                <w:kern w:val="0"/>
                <w:sz w:val="24"/>
              </w:rPr>
            </w:pPr>
          </w:p>
        </w:tc>
        <w:tc>
          <w:tcPr>
            <w:tcW w:w="2383" w:type="dxa"/>
          </w:tcPr>
          <w:p w14:paraId="0B8DCBA4">
            <w:pPr>
              <w:autoSpaceDE w:val="0"/>
              <w:autoSpaceDN w:val="0"/>
              <w:adjustRightInd w:val="0"/>
              <w:snapToGrid w:val="0"/>
              <w:jc w:val="left"/>
              <w:rPr>
                <w:rFonts w:ascii="宋体" w:hAnsi="宋体"/>
                <w:kern w:val="0"/>
                <w:sz w:val="24"/>
              </w:rPr>
            </w:pPr>
          </w:p>
        </w:tc>
        <w:tc>
          <w:tcPr>
            <w:tcW w:w="2384" w:type="dxa"/>
          </w:tcPr>
          <w:p w14:paraId="7F4ECA8D">
            <w:pPr>
              <w:autoSpaceDE w:val="0"/>
              <w:autoSpaceDN w:val="0"/>
              <w:adjustRightInd w:val="0"/>
              <w:snapToGrid w:val="0"/>
              <w:jc w:val="left"/>
              <w:rPr>
                <w:rFonts w:ascii="宋体" w:hAnsi="宋体"/>
                <w:kern w:val="0"/>
                <w:sz w:val="24"/>
              </w:rPr>
            </w:pPr>
          </w:p>
        </w:tc>
      </w:tr>
      <w:tr w14:paraId="123D133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5B91DF69">
            <w:pPr>
              <w:autoSpaceDE w:val="0"/>
              <w:autoSpaceDN w:val="0"/>
              <w:adjustRightInd w:val="0"/>
              <w:snapToGrid w:val="0"/>
              <w:jc w:val="left"/>
              <w:rPr>
                <w:rFonts w:ascii="宋体" w:hAnsi="宋体"/>
                <w:kern w:val="0"/>
                <w:sz w:val="24"/>
              </w:rPr>
            </w:pPr>
          </w:p>
        </w:tc>
        <w:tc>
          <w:tcPr>
            <w:tcW w:w="2381" w:type="dxa"/>
          </w:tcPr>
          <w:p w14:paraId="430942D8">
            <w:pPr>
              <w:autoSpaceDE w:val="0"/>
              <w:autoSpaceDN w:val="0"/>
              <w:adjustRightInd w:val="0"/>
              <w:snapToGrid w:val="0"/>
              <w:jc w:val="left"/>
              <w:rPr>
                <w:rFonts w:ascii="宋体" w:hAnsi="宋体"/>
                <w:kern w:val="0"/>
                <w:sz w:val="24"/>
              </w:rPr>
            </w:pPr>
          </w:p>
        </w:tc>
        <w:tc>
          <w:tcPr>
            <w:tcW w:w="2383" w:type="dxa"/>
          </w:tcPr>
          <w:p w14:paraId="3BCF8068">
            <w:pPr>
              <w:autoSpaceDE w:val="0"/>
              <w:autoSpaceDN w:val="0"/>
              <w:adjustRightInd w:val="0"/>
              <w:snapToGrid w:val="0"/>
              <w:jc w:val="left"/>
              <w:rPr>
                <w:rFonts w:ascii="宋体" w:hAnsi="宋体"/>
                <w:kern w:val="0"/>
                <w:sz w:val="24"/>
              </w:rPr>
            </w:pPr>
          </w:p>
        </w:tc>
        <w:tc>
          <w:tcPr>
            <w:tcW w:w="2384" w:type="dxa"/>
          </w:tcPr>
          <w:p w14:paraId="0DE0A3DE">
            <w:pPr>
              <w:autoSpaceDE w:val="0"/>
              <w:autoSpaceDN w:val="0"/>
              <w:adjustRightInd w:val="0"/>
              <w:snapToGrid w:val="0"/>
              <w:jc w:val="left"/>
              <w:rPr>
                <w:rFonts w:ascii="宋体" w:hAnsi="宋体"/>
                <w:kern w:val="0"/>
                <w:sz w:val="24"/>
              </w:rPr>
            </w:pPr>
          </w:p>
        </w:tc>
      </w:tr>
      <w:tr w14:paraId="60389C4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9" w:hRule="exact"/>
        </w:trPr>
        <w:tc>
          <w:tcPr>
            <w:tcW w:w="2381" w:type="dxa"/>
          </w:tcPr>
          <w:p w14:paraId="11E95037">
            <w:pPr>
              <w:autoSpaceDE w:val="0"/>
              <w:autoSpaceDN w:val="0"/>
              <w:adjustRightInd w:val="0"/>
              <w:snapToGrid w:val="0"/>
              <w:jc w:val="left"/>
              <w:rPr>
                <w:rFonts w:ascii="宋体" w:hAnsi="宋体"/>
                <w:kern w:val="0"/>
                <w:sz w:val="24"/>
              </w:rPr>
            </w:pPr>
          </w:p>
        </w:tc>
        <w:tc>
          <w:tcPr>
            <w:tcW w:w="2381" w:type="dxa"/>
          </w:tcPr>
          <w:p w14:paraId="21E32D1C">
            <w:pPr>
              <w:autoSpaceDE w:val="0"/>
              <w:autoSpaceDN w:val="0"/>
              <w:adjustRightInd w:val="0"/>
              <w:snapToGrid w:val="0"/>
              <w:jc w:val="left"/>
              <w:rPr>
                <w:rFonts w:ascii="宋体" w:hAnsi="宋体"/>
                <w:kern w:val="0"/>
                <w:sz w:val="24"/>
              </w:rPr>
            </w:pPr>
          </w:p>
        </w:tc>
        <w:tc>
          <w:tcPr>
            <w:tcW w:w="2383" w:type="dxa"/>
          </w:tcPr>
          <w:p w14:paraId="0C2BC95E">
            <w:pPr>
              <w:autoSpaceDE w:val="0"/>
              <w:autoSpaceDN w:val="0"/>
              <w:adjustRightInd w:val="0"/>
              <w:snapToGrid w:val="0"/>
              <w:jc w:val="left"/>
              <w:rPr>
                <w:rFonts w:ascii="宋体" w:hAnsi="宋体"/>
                <w:kern w:val="0"/>
                <w:sz w:val="24"/>
              </w:rPr>
            </w:pPr>
          </w:p>
        </w:tc>
        <w:tc>
          <w:tcPr>
            <w:tcW w:w="2384" w:type="dxa"/>
          </w:tcPr>
          <w:p w14:paraId="3A573DA3">
            <w:pPr>
              <w:autoSpaceDE w:val="0"/>
              <w:autoSpaceDN w:val="0"/>
              <w:adjustRightInd w:val="0"/>
              <w:snapToGrid w:val="0"/>
              <w:jc w:val="left"/>
              <w:rPr>
                <w:rFonts w:ascii="宋体" w:hAnsi="宋体"/>
                <w:kern w:val="0"/>
                <w:sz w:val="24"/>
              </w:rPr>
            </w:pPr>
          </w:p>
        </w:tc>
      </w:tr>
    </w:tbl>
    <w:p w14:paraId="1DACDF0A">
      <w:pPr>
        <w:autoSpaceDE w:val="0"/>
        <w:autoSpaceDN w:val="0"/>
        <w:adjustRightInd w:val="0"/>
        <w:snapToGrid w:val="0"/>
        <w:spacing w:line="20" w:lineRule="exact"/>
        <w:jc w:val="left"/>
        <w:rPr>
          <w:rFonts w:ascii="宋体" w:hAnsi="宋体"/>
          <w:kern w:val="0"/>
        </w:rPr>
      </w:pPr>
    </w:p>
    <w:p w14:paraId="2D903525">
      <w:pPr>
        <w:autoSpaceDE w:val="0"/>
        <w:autoSpaceDN w:val="0"/>
        <w:adjustRightInd w:val="0"/>
        <w:snapToGrid w:val="0"/>
        <w:spacing w:line="360" w:lineRule="auto"/>
        <w:jc w:val="center"/>
        <w:rPr>
          <w:rFonts w:ascii="宋体" w:hAnsi="宋体"/>
          <w:sz w:val="36"/>
          <w:szCs w:val="36"/>
        </w:rPr>
      </w:pPr>
      <w:r>
        <w:rPr>
          <w:rFonts w:ascii="宋体" w:hAnsi="宋体"/>
          <w:sz w:val="36"/>
          <w:szCs w:val="36"/>
        </w:rPr>
        <w:br w:type="page"/>
      </w:r>
    </w:p>
    <w:p w14:paraId="15714F83">
      <w:pPr>
        <w:pStyle w:val="4"/>
        <w:spacing w:line="360" w:lineRule="auto"/>
        <w:jc w:val="center"/>
        <w:rPr>
          <w:rFonts w:ascii="宋体" w:hAnsi="宋体"/>
          <w:b w:val="0"/>
          <w:bCs w:val="0"/>
          <w:sz w:val="44"/>
          <w:szCs w:val="44"/>
        </w:rPr>
      </w:pPr>
      <w:bookmarkStart w:id="2069" w:name="_Toc430530545"/>
      <w:bookmarkStart w:id="2070" w:name="_Toc277082656"/>
      <w:bookmarkStart w:id="2071" w:name="_Toc287607882"/>
      <w:bookmarkStart w:id="2072" w:name="_Toc224103510"/>
      <w:bookmarkStart w:id="2073" w:name="_Toc287620829"/>
      <w:bookmarkStart w:id="2074" w:name="_Toc28854"/>
      <w:r>
        <w:rPr>
          <w:rFonts w:hint="eastAsia" w:ascii="宋体" w:hAnsi="宋体"/>
          <w:b w:val="0"/>
          <w:bCs w:val="0"/>
          <w:sz w:val="44"/>
          <w:szCs w:val="44"/>
        </w:rPr>
        <w:t>四、</w:t>
      </w:r>
      <w:bookmarkEnd w:id="2069"/>
      <w:bookmarkEnd w:id="2070"/>
      <w:bookmarkEnd w:id="2071"/>
      <w:bookmarkEnd w:id="2072"/>
      <w:bookmarkEnd w:id="2073"/>
      <w:r>
        <w:rPr>
          <w:rFonts w:hint="eastAsia" w:ascii="宋体" w:hAnsi="宋体"/>
          <w:b w:val="0"/>
          <w:bCs w:val="0"/>
          <w:sz w:val="44"/>
          <w:szCs w:val="44"/>
        </w:rPr>
        <w:t>资格审查部分</w:t>
      </w:r>
      <w:bookmarkEnd w:id="2074"/>
    </w:p>
    <w:p w14:paraId="34D5E607">
      <w:pPr>
        <w:spacing w:line="360" w:lineRule="auto"/>
        <w:jc w:val="center"/>
        <w:rPr>
          <w:rFonts w:ascii="宋体" w:hAnsi="宋体"/>
          <w:kern w:val="0"/>
          <w:sz w:val="32"/>
          <w:szCs w:val="32"/>
        </w:rPr>
      </w:pPr>
      <w:r>
        <w:rPr>
          <w:rFonts w:ascii="宋体" w:hAnsi="宋体"/>
          <w:sz w:val="32"/>
          <w:szCs w:val="32"/>
        </w:rPr>
        <w:br w:type="page"/>
      </w:r>
      <w:r>
        <w:rPr>
          <w:rFonts w:hint="eastAsia" w:ascii="宋体" w:hAnsi="宋体"/>
          <w:kern w:val="0"/>
          <w:sz w:val="32"/>
          <w:szCs w:val="32"/>
          <w:u w:val="single"/>
        </w:rPr>
        <w:t xml:space="preserve">                   （项目名称）</w:t>
      </w:r>
    </w:p>
    <w:p w14:paraId="437FA6A7">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D055D5">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02B65509">
      <w:pPr>
        <w:tabs>
          <w:tab w:val="left" w:pos="3600"/>
          <w:tab w:val="left" w:pos="4480"/>
          <w:tab w:val="left" w:pos="5360"/>
        </w:tabs>
        <w:autoSpaceDE w:val="0"/>
        <w:autoSpaceDN w:val="0"/>
        <w:adjustRightInd w:val="0"/>
        <w:snapToGrid w:val="0"/>
        <w:spacing w:line="360" w:lineRule="auto"/>
        <w:jc w:val="left"/>
        <w:rPr>
          <w:rFonts w:ascii="宋体" w:hAnsi="宋体" w:cs="MingLiU"/>
          <w:kern w:val="0"/>
          <w:sz w:val="44"/>
          <w:szCs w:val="44"/>
        </w:rPr>
      </w:pPr>
    </w:p>
    <w:p w14:paraId="71A959BC">
      <w:pPr>
        <w:tabs>
          <w:tab w:val="left" w:pos="3600"/>
          <w:tab w:val="left" w:pos="4480"/>
          <w:tab w:val="left" w:pos="5360"/>
        </w:tabs>
        <w:autoSpaceDE w:val="0"/>
        <w:autoSpaceDN w:val="0"/>
        <w:adjustRightInd w:val="0"/>
        <w:snapToGrid w:val="0"/>
        <w:spacing w:line="360" w:lineRule="auto"/>
        <w:jc w:val="center"/>
        <w:rPr>
          <w:rFonts w:ascii="宋体" w:hAnsi="宋体"/>
          <w:kern w:val="0"/>
          <w:sz w:val="72"/>
          <w:szCs w:val="72"/>
        </w:rPr>
      </w:pPr>
      <w:r>
        <w:rPr>
          <w:rFonts w:hint="eastAsia" w:ascii="宋体" w:hAnsi="宋体"/>
          <w:kern w:val="0"/>
          <w:sz w:val="72"/>
          <w:szCs w:val="72"/>
        </w:rPr>
        <w:t>投 标 文 件</w:t>
      </w:r>
    </w:p>
    <w:p w14:paraId="5D330DEF">
      <w:pPr>
        <w:autoSpaceDE w:val="0"/>
        <w:autoSpaceDN w:val="0"/>
        <w:adjustRightInd w:val="0"/>
        <w:snapToGrid w:val="0"/>
        <w:spacing w:line="360" w:lineRule="auto"/>
        <w:jc w:val="left"/>
        <w:rPr>
          <w:rFonts w:ascii="宋体" w:hAnsi="宋体"/>
          <w:kern w:val="0"/>
          <w:sz w:val="16"/>
          <w:szCs w:val="16"/>
        </w:rPr>
      </w:pPr>
    </w:p>
    <w:p w14:paraId="4CF32A89">
      <w:pPr>
        <w:autoSpaceDE w:val="0"/>
        <w:autoSpaceDN w:val="0"/>
        <w:adjustRightInd w:val="0"/>
        <w:snapToGrid w:val="0"/>
        <w:spacing w:line="360" w:lineRule="auto"/>
        <w:jc w:val="center"/>
        <w:rPr>
          <w:rFonts w:ascii="宋体" w:hAnsi="宋体"/>
          <w:kern w:val="0"/>
          <w:sz w:val="36"/>
          <w:szCs w:val="36"/>
        </w:rPr>
      </w:pPr>
      <w:r>
        <w:rPr>
          <w:rFonts w:hint="eastAsia" w:ascii="宋体" w:hAnsi="宋体"/>
          <w:kern w:val="0"/>
          <w:sz w:val="36"/>
          <w:szCs w:val="36"/>
        </w:rPr>
        <w:t>资格审查部分</w:t>
      </w:r>
    </w:p>
    <w:p w14:paraId="7EC3F420">
      <w:pPr>
        <w:autoSpaceDE w:val="0"/>
        <w:autoSpaceDN w:val="0"/>
        <w:adjustRightInd w:val="0"/>
        <w:snapToGrid w:val="0"/>
        <w:spacing w:line="360" w:lineRule="auto"/>
        <w:jc w:val="left"/>
        <w:rPr>
          <w:rFonts w:ascii="宋体" w:hAnsi="宋体" w:cs="MingLiU"/>
          <w:kern w:val="0"/>
          <w:sz w:val="20"/>
          <w:szCs w:val="20"/>
        </w:rPr>
      </w:pPr>
    </w:p>
    <w:p w14:paraId="32190D4A">
      <w:pPr>
        <w:adjustRightInd w:val="0"/>
        <w:snapToGrid w:val="0"/>
        <w:spacing w:line="264" w:lineRule="auto"/>
        <w:rPr>
          <w:rFonts w:ascii="宋体" w:hAnsi="宋体"/>
          <w:szCs w:val="21"/>
        </w:rPr>
      </w:pPr>
    </w:p>
    <w:p w14:paraId="7170672C">
      <w:pPr>
        <w:autoSpaceDE w:val="0"/>
        <w:autoSpaceDN w:val="0"/>
        <w:adjustRightInd w:val="0"/>
        <w:snapToGrid w:val="0"/>
        <w:spacing w:line="360" w:lineRule="auto"/>
        <w:jc w:val="left"/>
        <w:rPr>
          <w:rFonts w:ascii="宋体" w:hAnsi="宋体" w:cs="MingLiU"/>
          <w:kern w:val="0"/>
          <w:sz w:val="20"/>
          <w:szCs w:val="20"/>
        </w:rPr>
      </w:pPr>
    </w:p>
    <w:p w14:paraId="0CFA96D1">
      <w:pPr>
        <w:autoSpaceDE w:val="0"/>
        <w:autoSpaceDN w:val="0"/>
        <w:adjustRightInd w:val="0"/>
        <w:snapToGrid w:val="0"/>
        <w:spacing w:line="360" w:lineRule="auto"/>
        <w:jc w:val="left"/>
        <w:rPr>
          <w:rFonts w:ascii="宋体" w:hAnsi="宋体" w:cs="MingLiU"/>
          <w:kern w:val="0"/>
          <w:sz w:val="20"/>
          <w:szCs w:val="20"/>
        </w:rPr>
      </w:pPr>
    </w:p>
    <w:p w14:paraId="59D6E7E8">
      <w:pPr>
        <w:autoSpaceDE w:val="0"/>
        <w:autoSpaceDN w:val="0"/>
        <w:adjustRightInd w:val="0"/>
        <w:snapToGrid w:val="0"/>
        <w:spacing w:line="360" w:lineRule="auto"/>
        <w:jc w:val="left"/>
        <w:rPr>
          <w:rFonts w:ascii="宋体" w:hAnsi="宋体" w:cs="MingLiU"/>
          <w:kern w:val="0"/>
          <w:sz w:val="20"/>
          <w:szCs w:val="20"/>
        </w:rPr>
      </w:pPr>
    </w:p>
    <w:p w14:paraId="0B2EA343">
      <w:pPr>
        <w:autoSpaceDE w:val="0"/>
        <w:autoSpaceDN w:val="0"/>
        <w:adjustRightInd w:val="0"/>
        <w:snapToGrid w:val="0"/>
        <w:spacing w:line="360" w:lineRule="auto"/>
        <w:jc w:val="left"/>
        <w:rPr>
          <w:rFonts w:ascii="宋体" w:hAnsi="宋体" w:cs="MingLiU"/>
          <w:kern w:val="0"/>
          <w:sz w:val="20"/>
          <w:szCs w:val="20"/>
        </w:rPr>
      </w:pPr>
    </w:p>
    <w:p w14:paraId="75D9FC87">
      <w:pPr>
        <w:autoSpaceDE w:val="0"/>
        <w:autoSpaceDN w:val="0"/>
        <w:adjustRightInd w:val="0"/>
        <w:snapToGrid w:val="0"/>
        <w:spacing w:line="360" w:lineRule="auto"/>
        <w:jc w:val="left"/>
        <w:rPr>
          <w:rFonts w:ascii="宋体" w:hAnsi="宋体" w:cs="MingLiU"/>
          <w:kern w:val="0"/>
          <w:sz w:val="20"/>
          <w:szCs w:val="20"/>
        </w:rPr>
      </w:pPr>
    </w:p>
    <w:p w14:paraId="111B5AC6">
      <w:pPr>
        <w:autoSpaceDE w:val="0"/>
        <w:autoSpaceDN w:val="0"/>
        <w:adjustRightInd w:val="0"/>
        <w:snapToGrid w:val="0"/>
        <w:spacing w:line="360" w:lineRule="auto"/>
        <w:jc w:val="left"/>
        <w:rPr>
          <w:rFonts w:ascii="宋体" w:hAnsi="宋体" w:cs="MingLiU"/>
          <w:kern w:val="0"/>
          <w:sz w:val="20"/>
          <w:szCs w:val="20"/>
        </w:rPr>
      </w:pPr>
    </w:p>
    <w:p w14:paraId="005D49D6">
      <w:pPr>
        <w:autoSpaceDE w:val="0"/>
        <w:autoSpaceDN w:val="0"/>
        <w:adjustRightInd w:val="0"/>
        <w:snapToGrid w:val="0"/>
        <w:spacing w:line="360" w:lineRule="auto"/>
        <w:jc w:val="left"/>
        <w:rPr>
          <w:rFonts w:ascii="宋体" w:hAnsi="宋体" w:cs="MingLiU"/>
          <w:kern w:val="0"/>
          <w:sz w:val="20"/>
          <w:szCs w:val="20"/>
        </w:rPr>
      </w:pPr>
    </w:p>
    <w:p w14:paraId="38FCF0CF">
      <w:pPr>
        <w:autoSpaceDE w:val="0"/>
        <w:autoSpaceDN w:val="0"/>
        <w:adjustRightInd w:val="0"/>
        <w:snapToGrid w:val="0"/>
        <w:spacing w:line="360" w:lineRule="auto"/>
        <w:jc w:val="left"/>
        <w:rPr>
          <w:rFonts w:ascii="宋体" w:hAnsi="宋体" w:cs="MingLiU"/>
          <w:kern w:val="0"/>
          <w:sz w:val="20"/>
          <w:szCs w:val="20"/>
        </w:rPr>
      </w:pPr>
    </w:p>
    <w:p w14:paraId="1029D14F">
      <w:pPr>
        <w:autoSpaceDE w:val="0"/>
        <w:autoSpaceDN w:val="0"/>
        <w:adjustRightInd w:val="0"/>
        <w:snapToGrid w:val="0"/>
        <w:spacing w:line="360" w:lineRule="auto"/>
        <w:jc w:val="left"/>
        <w:rPr>
          <w:rFonts w:ascii="宋体" w:hAnsi="宋体" w:cs="MingLiU"/>
          <w:kern w:val="0"/>
          <w:sz w:val="20"/>
          <w:szCs w:val="20"/>
        </w:rPr>
      </w:pPr>
    </w:p>
    <w:p w14:paraId="66ECC5F1">
      <w:pPr>
        <w:autoSpaceDE w:val="0"/>
        <w:autoSpaceDN w:val="0"/>
        <w:adjustRightInd w:val="0"/>
        <w:snapToGrid w:val="0"/>
        <w:spacing w:line="360" w:lineRule="auto"/>
        <w:jc w:val="left"/>
        <w:rPr>
          <w:rFonts w:ascii="宋体" w:hAnsi="宋体" w:cs="MingLiU"/>
          <w:kern w:val="0"/>
          <w:sz w:val="20"/>
          <w:szCs w:val="20"/>
        </w:rPr>
      </w:pPr>
    </w:p>
    <w:p w14:paraId="05EA4565">
      <w:pPr>
        <w:autoSpaceDE w:val="0"/>
        <w:autoSpaceDN w:val="0"/>
        <w:adjustRightInd w:val="0"/>
        <w:snapToGrid w:val="0"/>
        <w:spacing w:line="360" w:lineRule="auto"/>
        <w:jc w:val="left"/>
        <w:rPr>
          <w:rFonts w:ascii="宋体" w:hAnsi="宋体" w:cs="MingLiU"/>
          <w:kern w:val="0"/>
          <w:sz w:val="20"/>
          <w:szCs w:val="20"/>
        </w:rPr>
      </w:pPr>
    </w:p>
    <w:p w14:paraId="257ADFB1">
      <w:pPr>
        <w:autoSpaceDE w:val="0"/>
        <w:autoSpaceDN w:val="0"/>
        <w:adjustRightInd w:val="0"/>
        <w:snapToGrid w:val="0"/>
        <w:spacing w:line="360" w:lineRule="auto"/>
        <w:jc w:val="left"/>
        <w:rPr>
          <w:rFonts w:ascii="宋体" w:hAnsi="宋体" w:cs="MingLiU"/>
          <w:kern w:val="0"/>
          <w:sz w:val="20"/>
          <w:szCs w:val="20"/>
        </w:rPr>
      </w:pPr>
    </w:p>
    <w:p w14:paraId="19FC774F">
      <w:pPr>
        <w:autoSpaceDE w:val="0"/>
        <w:autoSpaceDN w:val="0"/>
        <w:adjustRightInd w:val="0"/>
        <w:snapToGrid w:val="0"/>
        <w:spacing w:line="360" w:lineRule="auto"/>
        <w:jc w:val="left"/>
        <w:rPr>
          <w:rFonts w:ascii="宋体" w:hAnsi="宋体" w:cs="MingLiU"/>
          <w:kern w:val="0"/>
          <w:sz w:val="20"/>
          <w:szCs w:val="20"/>
        </w:rPr>
      </w:pPr>
    </w:p>
    <w:p w14:paraId="5DC36E6A">
      <w:pPr>
        <w:tabs>
          <w:tab w:val="left" w:pos="6080"/>
          <w:tab w:val="left" w:pos="6640"/>
        </w:tabs>
        <w:autoSpaceDE w:val="0"/>
        <w:autoSpaceDN w:val="0"/>
        <w:adjustRightInd w:val="0"/>
        <w:snapToGrid w:val="0"/>
        <w:spacing w:line="480" w:lineRule="auto"/>
        <w:jc w:val="center"/>
        <w:rPr>
          <w:rFonts w:ascii="宋体" w:hAnsi="宋体"/>
          <w:w w:val="99"/>
          <w:kern w:val="0"/>
          <w:sz w:val="28"/>
          <w:szCs w:val="28"/>
        </w:rPr>
      </w:pPr>
      <w:r>
        <w:rPr>
          <w:rFonts w:ascii="宋体" w:hAnsi="宋体"/>
          <w:w w:val="99"/>
          <w:kern w:val="0"/>
          <w:sz w:val="28"/>
          <w:szCs w:val="28"/>
        </w:rPr>
        <w:t>投标人</w:t>
      </w:r>
      <w:r>
        <w:rPr>
          <w:rFonts w:ascii="宋体" w:hAnsi="宋体"/>
          <w:spacing w:val="1"/>
          <w:w w:val="99"/>
          <w:kern w:val="0"/>
          <w:sz w:val="28"/>
          <w:szCs w:val="28"/>
        </w:rPr>
        <w:t>：</w:t>
      </w:r>
      <w:r>
        <w:rPr>
          <w:rFonts w:ascii="宋体" w:hAnsi="宋体"/>
          <w:w w:val="198"/>
          <w:kern w:val="0"/>
          <w:sz w:val="28"/>
          <w:szCs w:val="28"/>
          <w:u w:val="single"/>
        </w:rPr>
        <w:t xml:space="preserve"> 　　 　　 　　</w:t>
      </w:r>
      <w:r>
        <w:rPr>
          <w:rFonts w:ascii="宋体" w:hAnsi="宋体"/>
          <w:w w:val="99"/>
          <w:kern w:val="0"/>
          <w:sz w:val="28"/>
          <w:szCs w:val="28"/>
        </w:rPr>
        <w:t>（盖单位法人章）</w:t>
      </w:r>
    </w:p>
    <w:p w14:paraId="4D5C0BE4">
      <w:pPr>
        <w:tabs>
          <w:tab w:val="left" w:pos="6080"/>
          <w:tab w:val="left" w:pos="6640"/>
        </w:tabs>
        <w:autoSpaceDE w:val="0"/>
        <w:autoSpaceDN w:val="0"/>
        <w:adjustRightInd w:val="0"/>
        <w:snapToGrid w:val="0"/>
        <w:spacing w:line="480" w:lineRule="auto"/>
        <w:jc w:val="center"/>
        <w:rPr>
          <w:rFonts w:ascii="宋体" w:hAnsi="宋体"/>
          <w:kern w:val="0"/>
          <w:sz w:val="28"/>
          <w:szCs w:val="28"/>
        </w:rPr>
      </w:pPr>
      <w:r>
        <w:rPr>
          <w:rFonts w:ascii="宋体" w:hAnsi="宋体"/>
          <w:w w:val="99"/>
          <w:kern w:val="0"/>
          <w:sz w:val="28"/>
          <w:szCs w:val="28"/>
        </w:rPr>
        <w:t>法定代表人或其委托代理人：</w:t>
      </w:r>
      <w:r>
        <w:rPr>
          <w:rFonts w:ascii="宋体" w:hAnsi="宋体"/>
          <w:w w:val="198"/>
          <w:kern w:val="0"/>
          <w:sz w:val="28"/>
          <w:szCs w:val="28"/>
          <w:u w:val="single"/>
        </w:rPr>
        <w:t xml:space="preserve"> 　 　</w:t>
      </w:r>
      <w:r>
        <w:rPr>
          <w:rFonts w:ascii="宋体" w:hAnsi="宋体"/>
          <w:w w:val="99"/>
          <w:kern w:val="0"/>
          <w:sz w:val="28"/>
          <w:szCs w:val="28"/>
        </w:rPr>
        <w:t>（</w:t>
      </w:r>
      <w:r>
        <w:rPr>
          <w:rFonts w:hint="eastAsia" w:ascii="宋体" w:hAnsi="宋体"/>
          <w:w w:val="99"/>
          <w:kern w:val="0"/>
          <w:sz w:val="28"/>
          <w:szCs w:val="28"/>
        </w:rPr>
        <w:t>签字</w:t>
      </w:r>
      <w:r>
        <w:rPr>
          <w:rFonts w:ascii="宋体" w:hAnsi="宋体"/>
          <w:w w:val="99"/>
          <w:kern w:val="0"/>
          <w:sz w:val="28"/>
          <w:szCs w:val="28"/>
        </w:rPr>
        <w:t>或盖章）</w:t>
      </w:r>
    </w:p>
    <w:p w14:paraId="43A5BC7A">
      <w:pPr>
        <w:tabs>
          <w:tab w:val="left" w:pos="3280"/>
          <w:tab w:val="left" w:pos="4680"/>
          <w:tab w:val="left" w:pos="6080"/>
        </w:tabs>
        <w:autoSpaceDE w:val="0"/>
        <w:autoSpaceDN w:val="0"/>
        <w:adjustRightInd w:val="0"/>
        <w:snapToGrid w:val="0"/>
        <w:spacing w:line="480" w:lineRule="auto"/>
        <w:jc w:val="center"/>
        <w:rPr>
          <w:rFonts w:ascii="宋体" w:hAnsi="宋体"/>
          <w:w w:val="99"/>
          <w:kern w:val="0"/>
          <w:sz w:val="28"/>
          <w:szCs w:val="28"/>
        </w:rPr>
      </w:pP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年</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月</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198"/>
          <w:kern w:val="0"/>
          <w:sz w:val="28"/>
          <w:szCs w:val="28"/>
          <w:u w:val="single"/>
        </w:rPr>
        <w:t xml:space="preserve"> </w:t>
      </w:r>
      <w:r>
        <w:rPr>
          <w:rFonts w:hint="eastAsia" w:ascii="宋体" w:hAnsi="宋体"/>
          <w:w w:val="198"/>
          <w:kern w:val="0"/>
          <w:sz w:val="28"/>
          <w:szCs w:val="28"/>
          <w:u w:val="single"/>
        </w:rPr>
        <w:t xml:space="preserve"> </w:t>
      </w:r>
      <w:r>
        <w:rPr>
          <w:rFonts w:ascii="宋体" w:hAnsi="宋体"/>
          <w:w w:val="99"/>
          <w:kern w:val="0"/>
          <w:sz w:val="28"/>
          <w:szCs w:val="28"/>
        </w:rPr>
        <w:t>日</w:t>
      </w:r>
    </w:p>
    <w:p w14:paraId="7C6076A0">
      <w:pPr>
        <w:tabs>
          <w:tab w:val="left" w:pos="3280"/>
          <w:tab w:val="left" w:pos="4680"/>
          <w:tab w:val="left" w:pos="6080"/>
        </w:tabs>
        <w:autoSpaceDE w:val="0"/>
        <w:autoSpaceDN w:val="0"/>
        <w:adjustRightInd w:val="0"/>
        <w:snapToGrid w:val="0"/>
        <w:spacing w:line="480" w:lineRule="auto"/>
        <w:jc w:val="center"/>
        <w:rPr>
          <w:rFonts w:ascii="宋体" w:hAnsi="宋体"/>
          <w:b/>
          <w:kern w:val="0"/>
          <w:sz w:val="28"/>
          <w:szCs w:val="28"/>
        </w:rPr>
      </w:pPr>
      <w:r>
        <w:rPr>
          <w:rFonts w:ascii="宋体" w:hAnsi="宋体"/>
          <w:w w:val="99"/>
          <w:kern w:val="0"/>
          <w:sz w:val="28"/>
          <w:szCs w:val="28"/>
        </w:rPr>
        <w:br w:type="page"/>
      </w:r>
    </w:p>
    <w:p w14:paraId="414BD89F">
      <w:pPr>
        <w:autoSpaceDE w:val="0"/>
        <w:autoSpaceDN w:val="0"/>
        <w:adjustRightInd w:val="0"/>
        <w:snapToGrid w:val="0"/>
        <w:jc w:val="center"/>
        <w:rPr>
          <w:rFonts w:ascii="宋体" w:hAnsi="宋体"/>
          <w:kern w:val="0"/>
          <w:sz w:val="36"/>
          <w:szCs w:val="36"/>
        </w:rPr>
      </w:pPr>
      <w:r>
        <w:rPr>
          <w:rFonts w:hint="eastAsia" w:ascii="宋体" w:hAnsi="宋体"/>
          <w:kern w:val="0"/>
          <w:sz w:val="36"/>
          <w:szCs w:val="36"/>
        </w:rPr>
        <w:t>目  录</w:t>
      </w:r>
    </w:p>
    <w:p w14:paraId="6BEE280E">
      <w:pPr>
        <w:spacing w:line="360" w:lineRule="auto"/>
        <w:jc w:val="center"/>
        <w:rPr>
          <w:rFonts w:ascii="宋体" w:hAnsi="宋体"/>
          <w:b/>
          <w:kern w:val="0"/>
          <w:sz w:val="32"/>
          <w:szCs w:val="32"/>
        </w:rPr>
      </w:pPr>
    </w:p>
    <w:p w14:paraId="41F94FD1">
      <w:pPr>
        <w:spacing w:line="360" w:lineRule="auto"/>
        <w:ind w:firstLine="420" w:firstLineChars="200"/>
        <w:rPr>
          <w:rFonts w:ascii="宋体" w:hAnsi="宋体"/>
          <w:szCs w:val="21"/>
        </w:rPr>
      </w:pPr>
      <w:r>
        <w:rPr>
          <w:rFonts w:ascii="宋体" w:hAnsi="宋体"/>
          <w:szCs w:val="21"/>
        </w:rPr>
        <w:t>（一）</w:t>
      </w:r>
      <w:r>
        <w:rPr>
          <w:rFonts w:hint="eastAsia" w:ascii="宋体" w:hAnsi="宋体"/>
          <w:szCs w:val="21"/>
        </w:rPr>
        <w:t>法定代表人身份证明或附有法定代表人身份证明的授权委托书</w:t>
      </w:r>
    </w:p>
    <w:p w14:paraId="77FEC162">
      <w:pPr>
        <w:spacing w:line="360" w:lineRule="auto"/>
        <w:ind w:firstLine="420" w:firstLineChars="200"/>
        <w:rPr>
          <w:rFonts w:ascii="宋体" w:hAnsi="宋体"/>
          <w:szCs w:val="21"/>
        </w:rPr>
      </w:pPr>
      <w:r>
        <w:rPr>
          <w:rFonts w:ascii="宋体" w:hAnsi="宋体"/>
          <w:szCs w:val="21"/>
        </w:rPr>
        <w:t>（二）联合体协议书</w:t>
      </w:r>
      <w:r>
        <w:rPr>
          <w:rFonts w:hint="eastAsia" w:ascii="宋体" w:hAnsi="宋体"/>
          <w:szCs w:val="21"/>
        </w:rPr>
        <w:t>（如有）</w:t>
      </w:r>
    </w:p>
    <w:p w14:paraId="5AB8427A">
      <w:pPr>
        <w:spacing w:line="360" w:lineRule="auto"/>
        <w:ind w:firstLine="420" w:firstLineChars="200"/>
        <w:rPr>
          <w:rFonts w:ascii="宋体" w:hAnsi="宋体"/>
          <w:szCs w:val="21"/>
        </w:rPr>
      </w:pPr>
      <w:r>
        <w:rPr>
          <w:rFonts w:ascii="宋体" w:hAnsi="宋体"/>
          <w:szCs w:val="21"/>
        </w:rPr>
        <w:t>（三）投标人基本情况表</w:t>
      </w:r>
    </w:p>
    <w:p w14:paraId="1413E9DA">
      <w:pPr>
        <w:spacing w:line="360" w:lineRule="auto"/>
        <w:ind w:firstLine="420" w:firstLineChars="200"/>
        <w:rPr>
          <w:rFonts w:ascii="宋体" w:hAnsi="宋体"/>
          <w:szCs w:val="21"/>
        </w:rPr>
      </w:pPr>
      <w:r>
        <w:rPr>
          <w:rFonts w:ascii="宋体" w:hAnsi="宋体"/>
          <w:szCs w:val="21"/>
        </w:rPr>
        <w:t>（四）项目管理机构</w:t>
      </w:r>
    </w:p>
    <w:p w14:paraId="59BC01AE">
      <w:pPr>
        <w:spacing w:line="360" w:lineRule="auto"/>
        <w:ind w:firstLine="420" w:firstLineChars="200"/>
        <w:rPr>
          <w:rFonts w:ascii="宋体" w:hAnsi="宋体"/>
          <w:szCs w:val="21"/>
        </w:rPr>
      </w:pPr>
      <w:r>
        <w:rPr>
          <w:rFonts w:ascii="宋体" w:hAnsi="宋体"/>
          <w:szCs w:val="21"/>
        </w:rPr>
        <w:t>（五）近年财务状况表</w:t>
      </w:r>
    </w:p>
    <w:p w14:paraId="42019E12">
      <w:pPr>
        <w:spacing w:line="360" w:lineRule="auto"/>
        <w:ind w:firstLine="420" w:firstLineChars="200"/>
        <w:rPr>
          <w:rFonts w:ascii="宋体" w:hAnsi="宋体"/>
          <w:szCs w:val="21"/>
        </w:rPr>
      </w:pPr>
      <w:r>
        <w:rPr>
          <w:rFonts w:ascii="宋体" w:hAnsi="宋体"/>
          <w:szCs w:val="21"/>
        </w:rPr>
        <w:t>（六）类似项目情况表</w:t>
      </w:r>
    </w:p>
    <w:p w14:paraId="1CEDDD86">
      <w:pPr>
        <w:spacing w:line="360" w:lineRule="auto"/>
        <w:ind w:firstLine="420" w:firstLineChars="200"/>
        <w:rPr>
          <w:rFonts w:ascii="宋体" w:hAnsi="宋体"/>
          <w:szCs w:val="21"/>
        </w:rPr>
      </w:pPr>
      <w:r>
        <w:rPr>
          <w:rFonts w:ascii="宋体" w:hAnsi="宋体"/>
          <w:szCs w:val="21"/>
        </w:rPr>
        <w:t>（七）</w:t>
      </w:r>
      <w:r>
        <w:rPr>
          <w:rFonts w:hint="eastAsia" w:ascii="宋体" w:hAnsi="宋体"/>
          <w:szCs w:val="21"/>
        </w:rPr>
        <w:t>承诺</w:t>
      </w:r>
    </w:p>
    <w:p w14:paraId="0C703945">
      <w:pPr>
        <w:spacing w:line="360" w:lineRule="auto"/>
        <w:ind w:firstLine="420" w:firstLineChars="200"/>
        <w:rPr>
          <w:rFonts w:ascii="宋体" w:hAnsi="宋体"/>
          <w:szCs w:val="21"/>
        </w:rPr>
      </w:pPr>
      <w:r>
        <w:rPr>
          <w:rFonts w:ascii="宋体" w:hAnsi="宋体"/>
          <w:szCs w:val="21"/>
        </w:rPr>
        <w:t>（</w:t>
      </w:r>
      <w:r>
        <w:rPr>
          <w:rFonts w:hint="eastAsia" w:ascii="宋体" w:hAnsi="宋体"/>
          <w:szCs w:val="21"/>
        </w:rPr>
        <w:t>八</w:t>
      </w:r>
      <w:r>
        <w:rPr>
          <w:rFonts w:ascii="宋体" w:hAnsi="宋体"/>
          <w:szCs w:val="21"/>
        </w:rPr>
        <w:t>）其他资料</w:t>
      </w:r>
    </w:p>
    <w:p w14:paraId="78654E7C">
      <w:pPr>
        <w:spacing w:line="360" w:lineRule="auto"/>
        <w:jc w:val="center"/>
        <w:rPr>
          <w:rFonts w:ascii="宋体" w:hAnsi="宋体"/>
          <w:b/>
          <w:kern w:val="0"/>
          <w:sz w:val="32"/>
          <w:szCs w:val="32"/>
        </w:rPr>
      </w:pPr>
    </w:p>
    <w:p w14:paraId="5308C40F">
      <w:pPr>
        <w:spacing w:line="360" w:lineRule="auto"/>
        <w:jc w:val="center"/>
        <w:rPr>
          <w:rFonts w:ascii="宋体" w:hAnsi="宋体"/>
          <w:b/>
          <w:kern w:val="0"/>
          <w:sz w:val="32"/>
          <w:szCs w:val="32"/>
        </w:rPr>
      </w:pPr>
    </w:p>
    <w:p w14:paraId="30D18FB9">
      <w:pPr>
        <w:pStyle w:val="5"/>
        <w:spacing w:before="0" w:after="0" w:line="240" w:lineRule="auto"/>
        <w:jc w:val="center"/>
        <w:rPr>
          <w:rFonts w:ascii="宋体" w:hAnsi="宋体"/>
          <w:sz w:val="36"/>
          <w:szCs w:val="36"/>
        </w:rPr>
      </w:pPr>
      <w:r>
        <w:rPr>
          <w:rFonts w:ascii="宋体" w:hAnsi="宋体"/>
        </w:rPr>
        <w:br w:type="page"/>
      </w:r>
      <w:bookmarkStart w:id="2075" w:name="_Toc430530546"/>
      <w:bookmarkStart w:id="2076" w:name="_Toc287620830"/>
      <w:bookmarkStart w:id="2077" w:name="_Toc277082657"/>
      <w:bookmarkStart w:id="2078" w:name="_Toc224103511"/>
      <w:bookmarkStart w:id="2079" w:name="_Toc11760"/>
      <w:bookmarkStart w:id="2080" w:name="_Toc287607883"/>
      <w:r>
        <w:rPr>
          <w:rFonts w:hint="eastAsia" w:ascii="宋体" w:hAnsi="宋体"/>
          <w:b w:val="0"/>
          <w:bCs w:val="0"/>
        </w:rPr>
        <w:t>（一）法定代表人身份证明或附有法定代表人身份证明的授权委托书</w:t>
      </w:r>
      <w:bookmarkEnd w:id="2075"/>
      <w:bookmarkEnd w:id="2076"/>
      <w:bookmarkEnd w:id="2077"/>
      <w:bookmarkEnd w:id="2078"/>
      <w:bookmarkEnd w:id="2079"/>
      <w:bookmarkEnd w:id="2080"/>
    </w:p>
    <w:p w14:paraId="7F3D9958">
      <w:pPr>
        <w:spacing w:line="480" w:lineRule="auto"/>
        <w:jc w:val="center"/>
        <w:rPr>
          <w:rFonts w:ascii="宋体" w:hAnsi="宋体"/>
          <w:sz w:val="28"/>
        </w:rPr>
      </w:pPr>
      <w:r>
        <w:rPr>
          <w:rFonts w:hint="eastAsia" w:ascii="宋体" w:hAnsi="宋体"/>
          <w:sz w:val="28"/>
        </w:rPr>
        <w:t>法定代表人身份证明</w:t>
      </w:r>
    </w:p>
    <w:p w14:paraId="2E3E77E0">
      <w:pPr>
        <w:spacing w:line="480" w:lineRule="auto"/>
        <w:jc w:val="center"/>
        <w:rPr>
          <w:rFonts w:ascii="宋体" w:hAnsi="宋体"/>
        </w:rPr>
      </w:pPr>
    </w:p>
    <w:p w14:paraId="592CFDD3">
      <w:pPr>
        <w:tabs>
          <w:tab w:val="left" w:pos="556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投标人名称：</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62161488">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单位性质：</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78EC1EBF">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地</w:t>
      </w:r>
      <w:r>
        <w:rPr>
          <w:rFonts w:hint="eastAsia" w:ascii="宋体" w:hAnsi="宋体"/>
          <w:kern w:val="0"/>
          <w:szCs w:val="21"/>
        </w:rPr>
        <w:t xml:space="preserve">    </w:t>
      </w:r>
      <w:r>
        <w:rPr>
          <w:rFonts w:ascii="宋体" w:hAnsi="宋体"/>
          <w:kern w:val="0"/>
          <w:szCs w:val="21"/>
        </w:rPr>
        <w:t>址：</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2785CB6C">
      <w:pPr>
        <w:tabs>
          <w:tab w:val="left" w:pos="2520"/>
          <w:tab w:val="left" w:pos="3836"/>
        </w:tabs>
        <w:autoSpaceDE w:val="0"/>
        <w:autoSpaceDN w:val="0"/>
        <w:adjustRightInd w:val="0"/>
        <w:snapToGrid w:val="0"/>
        <w:spacing w:line="480" w:lineRule="auto"/>
        <w:ind w:firstLine="390" w:firstLineChars="186"/>
        <w:jc w:val="left"/>
        <w:rPr>
          <w:rFonts w:ascii="宋体" w:hAnsi="宋体"/>
          <w:kern w:val="0"/>
          <w:sz w:val="10"/>
          <w:szCs w:val="10"/>
        </w:rPr>
      </w:pPr>
      <w:r>
        <w:rPr>
          <w:rFonts w:ascii="宋体" w:hAnsi="宋体"/>
          <w:kern w:val="0"/>
          <w:szCs w:val="21"/>
        </w:rPr>
        <w:t>成立时间：</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p>
    <w:p w14:paraId="79AFDB19">
      <w:pPr>
        <w:tabs>
          <w:tab w:val="left" w:pos="5475"/>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经营期限：</w:t>
      </w:r>
      <w:r>
        <w:rPr>
          <w:rFonts w:ascii="宋体" w:hAnsi="宋体"/>
          <w:w w:val="200"/>
          <w:kern w:val="0"/>
          <w:szCs w:val="21"/>
          <w:u w:val="single"/>
        </w:rPr>
        <w:t xml:space="preserve"> </w:t>
      </w:r>
      <w:r>
        <w:rPr>
          <w:rFonts w:hint="eastAsia" w:ascii="宋体" w:hAnsi="宋体"/>
          <w:w w:val="200"/>
          <w:kern w:val="0"/>
          <w:szCs w:val="21"/>
          <w:u w:val="single"/>
        </w:rPr>
        <w:t xml:space="preserve">                                    </w:t>
      </w:r>
    </w:p>
    <w:p w14:paraId="083C32BC">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姓名：</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性别</w:t>
      </w:r>
      <w:r>
        <w:rPr>
          <w:rFonts w:ascii="宋体" w:hAnsi="宋体"/>
          <w:spacing w:val="-1"/>
          <w:kern w:val="0"/>
          <w:szCs w:val="21"/>
        </w:rPr>
        <w:t>：</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spacing w:val="-1"/>
          <w:kern w:val="0"/>
          <w:szCs w:val="21"/>
        </w:rPr>
        <w:t>年</w:t>
      </w:r>
      <w:r>
        <w:rPr>
          <w:rFonts w:ascii="宋体" w:hAnsi="宋体"/>
          <w:kern w:val="0"/>
          <w:szCs w:val="21"/>
        </w:rPr>
        <w:t>龄：</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职务：</w:t>
      </w:r>
      <w:r>
        <w:rPr>
          <w:rFonts w:hint="eastAsia" w:ascii="宋体" w:hAnsi="宋体"/>
          <w:kern w:val="0"/>
          <w:szCs w:val="21"/>
          <w:u w:val="single"/>
        </w:rPr>
        <w:t xml:space="preserve">              </w:t>
      </w:r>
      <w:r>
        <w:rPr>
          <w:rFonts w:ascii="宋体" w:hAnsi="宋体"/>
          <w:kern w:val="0"/>
          <w:szCs w:val="21"/>
          <w:u w:val="single"/>
        </w:rPr>
        <w:t xml:space="preserve"> </w:t>
      </w:r>
    </w:p>
    <w:p w14:paraId="17CF07A3">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系</w:t>
      </w:r>
      <w:r>
        <w:rPr>
          <w:rFonts w:hint="eastAsia" w:ascii="宋体" w:hAnsi="宋体"/>
          <w:kern w:val="0"/>
          <w:szCs w:val="21"/>
          <w:u w:val="single"/>
        </w:rPr>
        <w:t xml:space="preserve">                                                        </w:t>
      </w:r>
      <w:r>
        <w:rPr>
          <w:rFonts w:ascii="宋体" w:hAnsi="宋体"/>
          <w:kern w:val="0"/>
          <w:szCs w:val="21"/>
          <w:u w:val="single"/>
        </w:rPr>
        <w:t xml:space="preserve"> （投标人名称）</w:t>
      </w:r>
      <w:r>
        <w:rPr>
          <w:rFonts w:ascii="宋体" w:hAnsi="宋体"/>
          <w:kern w:val="0"/>
          <w:szCs w:val="21"/>
        </w:rPr>
        <w:t>的法定代表人。</w:t>
      </w:r>
    </w:p>
    <w:p w14:paraId="1C63E945">
      <w:pPr>
        <w:tabs>
          <w:tab w:val="left" w:pos="3360"/>
        </w:tabs>
        <w:autoSpaceDE w:val="0"/>
        <w:autoSpaceDN w:val="0"/>
        <w:adjustRightInd w:val="0"/>
        <w:snapToGrid w:val="0"/>
        <w:spacing w:line="480" w:lineRule="auto"/>
        <w:ind w:firstLine="390" w:firstLineChars="186"/>
        <w:jc w:val="left"/>
        <w:rPr>
          <w:rFonts w:ascii="宋体" w:hAnsi="宋体"/>
          <w:kern w:val="0"/>
          <w:szCs w:val="21"/>
        </w:rPr>
      </w:pPr>
      <w:r>
        <w:rPr>
          <w:rFonts w:ascii="宋体" w:hAnsi="宋体"/>
          <w:kern w:val="0"/>
          <w:szCs w:val="21"/>
        </w:rPr>
        <w:t>特此证明。</w:t>
      </w:r>
    </w:p>
    <w:p w14:paraId="43679103">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附：法定代表人身份证明扫描件（双面）</w:t>
      </w:r>
    </w:p>
    <w:p w14:paraId="7D7E6869">
      <w:pPr>
        <w:autoSpaceDE w:val="0"/>
        <w:autoSpaceDN w:val="0"/>
        <w:adjustRightInd w:val="0"/>
        <w:snapToGrid w:val="0"/>
        <w:spacing w:line="360" w:lineRule="auto"/>
        <w:jc w:val="left"/>
        <w:rPr>
          <w:rFonts w:ascii="宋体" w:hAnsi="宋体"/>
          <w:szCs w:val="21"/>
        </w:rPr>
      </w:pPr>
    </w:p>
    <w:p w14:paraId="0DC89BD7">
      <w:pPr>
        <w:pStyle w:val="2"/>
        <w:spacing w:after="0" w:line="360" w:lineRule="auto"/>
        <w:rPr>
          <w:rFonts w:ascii="宋体" w:hAnsi="宋体"/>
          <w:szCs w:val="21"/>
        </w:rPr>
      </w:pPr>
    </w:p>
    <w:p w14:paraId="56978DEB">
      <w:pPr>
        <w:pStyle w:val="2"/>
        <w:spacing w:after="0" w:line="360" w:lineRule="auto"/>
        <w:rPr>
          <w:rFonts w:ascii="宋体" w:hAnsi="宋体"/>
          <w:szCs w:val="21"/>
        </w:rPr>
      </w:pPr>
    </w:p>
    <w:p w14:paraId="31BFFDA8">
      <w:pPr>
        <w:pStyle w:val="2"/>
        <w:spacing w:after="0" w:line="360" w:lineRule="auto"/>
        <w:rPr>
          <w:rFonts w:ascii="宋体" w:hAnsi="宋体"/>
          <w:szCs w:val="21"/>
        </w:rPr>
      </w:pPr>
    </w:p>
    <w:p w14:paraId="574F520D">
      <w:pPr>
        <w:pStyle w:val="2"/>
        <w:spacing w:after="0" w:line="360" w:lineRule="auto"/>
        <w:rPr>
          <w:rFonts w:ascii="宋体" w:hAnsi="宋体"/>
          <w:szCs w:val="21"/>
        </w:rPr>
      </w:pPr>
    </w:p>
    <w:p w14:paraId="5611D156">
      <w:pPr>
        <w:pStyle w:val="2"/>
        <w:spacing w:after="0" w:line="360" w:lineRule="auto"/>
        <w:rPr>
          <w:rFonts w:ascii="宋体" w:hAnsi="宋体"/>
          <w:szCs w:val="21"/>
        </w:rPr>
      </w:pPr>
    </w:p>
    <w:p w14:paraId="27B53D36">
      <w:pPr>
        <w:autoSpaceDE w:val="0"/>
        <w:autoSpaceDN w:val="0"/>
        <w:adjustRightInd w:val="0"/>
        <w:snapToGrid w:val="0"/>
        <w:spacing w:line="480" w:lineRule="auto"/>
        <w:ind w:firstLine="420" w:firstLineChars="200"/>
        <w:jc w:val="right"/>
        <w:rPr>
          <w:rFonts w:ascii="宋体" w:hAnsi="宋体"/>
          <w:kern w:val="0"/>
          <w:szCs w:val="21"/>
        </w:rPr>
      </w:pPr>
      <w:r>
        <w:rPr>
          <w:rFonts w:ascii="宋体" w:hAnsi="宋体"/>
          <w:kern w:val="0"/>
          <w:szCs w:val="21"/>
        </w:rPr>
        <w:t>投标</w:t>
      </w:r>
      <w:r>
        <w:rPr>
          <w:rFonts w:ascii="宋体" w:hAnsi="宋体"/>
          <w:spacing w:val="-1"/>
          <w:kern w:val="0"/>
          <w:szCs w:val="21"/>
        </w:rPr>
        <w:t>人</w:t>
      </w:r>
      <w:r>
        <w:rPr>
          <w:rFonts w:ascii="宋体" w:hAnsi="宋体"/>
          <w:kern w:val="0"/>
          <w:szCs w:val="21"/>
        </w:rPr>
        <w:t>：</w:t>
      </w:r>
      <w:r>
        <w:rPr>
          <w:rFonts w:ascii="宋体" w:hAnsi="宋体"/>
          <w:w w:val="200"/>
          <w:kern w:val="0"/>
          <w:szCs w:val="21"/>
          <w:u w:val="single"/>
        </w:rPr>
        <w:t xml:space="preserve">              </w:t>
      </w:r>
      <w:r>
        <w:rPr>
          <w:rFonts w:ascii="宋体" w:hAnsi="宋体"/>
          <w:kern w:val="0"/>
          <w:szCs w:val="21"/>
          <w:u w:val="single"/>
        </w:rPr>
        <w:tab/>
      </w:r>
      <w:r>
        <w:rPr>
          <w:rFonts w:ascii="宋体" w:hAnsi="宋体"/>
          <w:spacing w:val="-1"/>
          <w:kern w:val="0"/>
          <w:szCs w:val="21"/>
        </w:rPr>
        <w:t>（</w:t>
      </w:r>
      <w:r>
        <w:rPr>
          <w:rFonts w:ascii="宋体" w:hAnsi="宋体"/>
          <w:kern w:val="0"/>
          <w:szCs w:val="21"/>
        </w:rPr>
        <w:t>盖单位法人章）</w:t>
      </w:r>
    </w:p>
    <w:p w14:paraId="6DD9B524">
      <w:pPr>
        <w:autoSpaceDE w:val="0"/>
        <w:autoSpaceDN w:val="0"/>
        <w:adjustRightInd w:val="0"/>
        <w:snapToGrid w:val="0"/>
        <w:spacing w:line="480" w:lineRule="auto"/>
        <w:jc w:val="left"/>
        <w:rPr>
          <w:rFonts w:ascii="宋体" w:hAnsi="宋体"/>
          <w:kern w:val="0"/>
          <w:sz w:val="20"/>
          <w:szCs w:val="20"/>
        </w:rPr>
      </w:pPr>
    </w:p>
    <w:p w14:paraId="6BA56E46">
      <w:pPr>
        <w:tabs>
          <w:tab w:val="left" w:pos="4935"/>
          <w:tab w:val="left" w:pos="5460"/>
          <w:tab w:val="left" w:pos="6400"/>
        </w:tabs>
        <w:wordWrap w:val="0"/>
        <w:autoSpaceDE w:val="0"/>
        <w:autoSpaceDN w:val="0"/>
        <w:adjustRightInd w:val="0"/>
        <w:snapToGrid w:val="0"/>
        <w:spacing w:line="48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ascii="宋体" w:hAnsi="宋体"/>
          <w:w w:val="200"/>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月</w:t>
      </w:r>
      <w:r>
        <w:rPr>
          <w:rFonts w:ascii="宋体" w:hAnsi="宋体"/>
          <w:w w:val="200"/>
          <w:kern w:val="0"/>
          <w:szCs w:val="21"/>
          <w:u w:val="single"/>
        </w:rPr>
        <w:t xml:space="preserve"> </w:t>
      </w:r>
      <w:r>
        <w:rPr>
          <w:rFonts w:ascii="宋体" w:hAnsi="宋体"/>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622AA8E7">
      <w:pPr>
        <w:autoSpaceDE w:val="0"/>
        <w:autoSpaceDN w:val="0"/>
        <w:adjustRightInd w:val="0"/>
        <w:snapToGrid w:val="0"/>
        <w:spacing w:line="360" w:lineRule="auto"/>
        <w:jc w:val="left"/>
        <w:rPr>
          <w:rFonts w:ascii="宋体" w:hAnsi="宋体"/>
          <w:kern w:val="0"/>
        </w:rPr>
      </w:pPr>
    </w:p>
    <w:p w14:paraId="3FB583E1">
      <w:pPr>
        <w:autoSpaceDE w:val="0"/>
        <w:autoSpaceDN w:val="0"/>
        <w:adjustRightInd w:val="0"/>
        <w:snapToGrid w:val="0"/>
        <w:spacing w:line="360" w:lineRule="auto"/>
        <w:jc w:val="left"/>
        <w:rPr>
          <w:rFonts w:ascii="宋体" w:hAnsi="宋体"/>
          <w:kern w:val="0"/>
        </w:rPr>
      </w:pPr>
    </w:p>
    <w:p w14:paraId="55CE7B69">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r>
        <w:rPr>
          <w:rFonts w:ascii="宋体" w:hAnsi="宋体"/>
        </w:rPr>
        <w:t>注：法定代表人身份证明需按上述格式填写完整，不可缺少内容。在此基础上增加内容的不影响其有效性</w:t>
      </w:r>
      <w:r>
        <w:rPr>
          <w:rFonts w:hint="eastAsia" w:ascii="宋体" w:hAnsi="宋体"/>
          <w:kern w:val="0"/>
          <w:szCs w:val="21"/>
        </w:rPr>
        <w:t>。</w:t>
      </w:r>
    </w:p>
    <w:p w14:paraId="52625831">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kern w:val="0"/>
          <w:szCs w:val="21"/>
        </w:rPr>
      </w:pPr>
    </w:p>
    <w:p w14:paraId="7650C32B">
      <w:pPr>
        <w:tabs>
          <w:tab w:val="left" w:pos="1680"/>
          <w:tab w:val="left" w:pos="4215"/>
          <w:tab w:val="left" w:pos="4305"/>
          <w:tab w:val="left" w:pos="8000"/>
        </w:tabs>
        <w:autoSpaceDE w:val="0"/>
        <w:autoSpaceDN w:val="0"/>
        <w:adjustRightInd w:val="0"/>
        <w:snapToGrid w:val="0"/>
        <w:spacing w:line="360" w:lineRule="auto"/>
        <w:jc w:val="center"/>
        <w:rPr>
          <w:rFonts w:ascii="宋体" w:hAnsi="宋体"/>
          <w:kern w:val="0"/>
          <w:sz w:val="28"/>
          <w:szCs w:val="28"/>
        </w:rPr>
      </w:pPr>
      <w:r>
        <w:rPr>
          <w:rFonts w:ascii="宋体" w:hAnsi="宋体"/>
          <w:b/>
          <w:kern w:val="0"/>
          <w:sz w:val="28"/>
          <w:szCs w:val="28"/>
        </w:rPr>
        <w:br w:type="page"/>
      </w:r>
      <w:r>
        <w:rPr>
          <w:rFonts w:ascii="宋体" w:hAnsi="宋体"/>
          <w:snapToGrid w:val="0"/>
          <w:kern w:val="0"/>
          <w:sz w:val="32"/>
          <w:szCs w:val="32"/>
        </w:rPr>
        <w:t>授权委托书</w:t>
      </w:r>
    </w:p>
    <w:p w14:paraId="4B6DC1D7">
      <w:pPr>
        <w:tabs>
          <w:tab w:val="left" w:pos="1680"/>
          <w:tab w:val="left" w:pos="4215"/>
          <w:tab w:val="left" w:pos="4305"/>
          <w:tab w:val="left" w:pos="8000"/>
        </w:tabs>
        <w:autoSpaceDE w:val="0"/>
        <w:autoSpaceDN w:val="0"/>
        <w:adjustRightInd w:val="0"/>
        <w:snapToGrid w:val="0"/>
        <w:spacing w:line="480" w:lineRule="auto"/>
        <w:ind w:firstLine="420"/>
        <w:jc w:val="left"/>
        <w:rPr>
          <w:rFonts w:ascii="宋体" w:hAnsi="宋体"/>
          <w:kern w:val="0"/>
          <w:szCs w:val="21"/>
        </w:rPr>
      </w:pPr>
      <w:r>
        <w:rPr>
          <w:rFonts w:ascii="宋体" w:hAnsi="宋体"/>
          <w:kern w:val="0"/>
          <w:szCs w:val="21"/>
        </w:rPr>
        <w:t>本人</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系</w:t>
      </w:r>
      <w:r>
        <w:rPr>
          <w:rFonts w:hint="eastAsia" w:ascii="宋体" w:hAnsi="宋体"/>
          <w:w w:val="200"/>
          <w:kern w:val="0"/>
          <w:szCs w:val="21"/>
          <w:u w:val="single"/>
        </w:rPr>
        <w:t xml:space="preserve">        </w:t>
      </w:r>
      <w:r>
        <w:rPr>
          <w:rFonts w:ascii="宋体" w:hAnsi="宋体"/>
          <w:kern w:val="0"/>
          <w:szCs w:val="21"/>
          <w:u w:val="single"/>
        </w:rPr>
        <w:t>（</w:t>
      </w:r>
      <w:r>
        <w:rPr>
          <w:rFonts w:ascii="宋体" w:hAnsi="宋体"/>
          <w:spacing w:val="-1"/>
          <w:kern w:val="0"/>
          <w:szCs w:val="21"/>
          <w:u w:val="single"/>
        </w:rPr>
        <w:t>投</w:t>
      </w:r>
      <w:r>
        <w:rPr>
          <w:rFonts w:ascii="宋体" w:hAnsi="宋体"/>
          <w:kern w:val="0"/>
          <w:szCs w:val="21"/>
          <w:u w:val="single"/>
        </w:rPr>
        <w:t>标人名称</w:t>
      </w:r>
      <w:r>
        <w:rPr>
          <w:rFonts w:ascii="宋体" w:hAnsi="宋体"/>
          <w:spacing w:val="1"/>
          <w:kern w:val="0"/>
          <w:szCs w:val="21"/>
          <w:u w:val="single"/>
        </w:rPr>
        <w:t>）</w:t>
      </w:r>
      <w:r>
        <w:rPr>
          <w:rFonts w:ascii="宋体" w:hAnsi="宋体"/>
          <w:kern w:val="0"/>
          <w:szCs w:val="21"/>
        </w:rPr>
        <w:t>的法定代</w:t>
      </w:r>
      <w:r>
        <w:rPr>
          <w:rFonts w:ascii="宋体" w:hAnsi="宋体"/>
          <w:spacing w:val="1"/>
          <w:kern w:val="0"/>
          <w:szCs w:val="21"/>
        </w:rPr>
        <w:t>表</w:t>
      </w:r>
      <w:r>
        <w:rPr>
          <w:rFonts w:ascii="宋体" w:hAnsi="宋体"/>
          <w:kern w:val="0"/>
          <w:szCs w:val="21"/>
        </w:rPr>
        <w:t>人，现委托</w:t>
      </w:r>
      <w:r>
        <w:rPr>
          <w:rFonts w:hint="eastAsia" w:ascii="宋体" w:hAnsi="宋体"/>
          <w:w w:val="200"/>
          <w:kern w:val="0"/>
          <w:szCs w:val="21"/>
          <w:u w:val="single"/>
        </w:rPr>
        <w:t xml:space="preserve">    </w:t>
      </w:r>
      <w:r>
        <w:rPr>
          <w:rFonts w:ascii="宋体" w:hAnsi="宋体"/>
          <w:kern w:val="0"/>
          <w:szCs w:val="21"/>
          <w:u w:val="single"/>
        </w:rPr>
        <w:t>（姓名）</w:t>
      </w:r>
      <w:r>
        <w:rPr>
          <w:rFonts w:ascii="宋体" w:hAnsi="宋体"/>
          <w:kern w:val="0"/>
          <w:szCs w:val="21"/>
        </w:rPr>
        <w:t>为我方代理人。代理人根据授权，以我方名义签署、澄清、说明、补正、递交、撤回、 修改</w:t>
      </w:r>
      <w:r>
        <w:rPr>
          <w:rFonts w:hint="eastAsia" w:ascii="宋体" w:hAnsi="宋体"/>
          <w:w w:val="200"/>
          <w:kern w:val="0"/>
          <w:szCs w:val="21"/>
          <w:u w:val="single"/>
        </w:rPr>
        <w:t xml:space="preserve">        </w:t>
      </w:r>
      <w:r>
        <w:rPr>
          <w:rFonts w:ascii="宋体" w:hAnsi="宋体"/>
          <w:kern w:val="0"/>
          <w:szCs w:val="21"/>
          <w:u w:val="single"/>
        </w:rPr>
        <w:t>（项</w:t>
      </w:r>
      <w:r>
        <w:rPr>
          <w:rFonts w:ascii="宋体" w:hAnsi="宋体"/>
          <w:spacing w:val="-1"/>
          <w:kern w:val="0"/>
          <w:szCs w:val="21"/>
          <w:u w:val="single"/>
        </w:rPr>
        <w:t>目</w:t>
      </w:r>
      <w:r>
        <w:rPr>
          <w:rFonts w:ascii="宋体" w:hAnsi="宋体"/>
          <w:kern w:val="0"/>
          <w:szCs w:val="21"/>
          <w:u w:val="single"/>
        </w:rPr>
        <w:t>名称）</w:t>
      </w:r>
      <w:r>
        <w:rPr>
          <w:rFonts w:ascii="宋体" w:hAnsi="宋体"/>
          <w:kern w:val="0"/>
          <w:szCs w:val="21"/>
        </w:rPr>
        <w:t>投标文件、签订合同和处理有关事宜， 其法律后果由我方承担。</w:t>
      </w:r>
    </w:p>
    <w:p w14:paraId="5F271B68">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委托</w:t>
      </w:r>
      <w:r>
        <w:rPr>
          <w:rFonts w:ascii="宋体" w:hAnsi="宋体"/>
          <w:spacing w:val="-1"/>
          <w:kern w:val="0"/>
          <w:szCs w:val="21"/>
        </w:rPr>
        <w:t>期</w:t>
      </w:r>
      <w:r>
        <w:rPr>
          <w:rFonts w:ascii="宋体" w:hAnsi="宋体"/>
          <w:kern w:val="0"/>
          <w:szCs w:val="21"/>
        </w:rPr>
        <w:t>限：</w:t>
      </w:r>
      <w:r>
        <w:rPr>
          <w:rFonts w:hint="eastAsia" w:ascii="宋体" w:hAnsi="宋体"/>
          <w:w w:val="200"/>
          <w:kern w:val="0"/>
          <w:szCs w:val="21"/>
          <w:u w:val="single"/>
        </w:rPr>
        <w:t xml:space="preserve">        </w:t>
      </w:r>
      <w:r>
        <w:rPr>
          <w:rFonts w:ascii="宋体" w:hAnsi="宋体"/>
          <w:kern w:val="0"/>
          <w:szCs w:val="21"/>
        </w:rPr>
        <w:t xml:space="preserve">。 </w:t>
      </w:r>
    </w:p>
    <w:p w14:paraId="67982FFD">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代理人无转委托权。</w:t>
      </w:r>
    </w:p>
    <w:p w14:paraId="384DF233">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p>
    <w:p w14:paraId="14165000">
      <w:pPr>
        <w:tabs>
          <w:tab w:val="left" w:pos="1680"/>
          <w:tab w:val="left" w:pos="4200"/>
          <w:tab w:val="left" w:pos="4305"/>
          <w:tab w:val="left" w:pos="8000"/>
        </w:tabs>
        <w:autoSpaceDE w:val="0"/>
        <w:autoSpaceDN w:val="0"/>
        <w:adjustRightInd w:val="0"/>
        <w:snapToGrid w:val="0"/>
        <w:spacing w:line="480" w:lineRule="auto"/>
        <w:ind w:firstLine="420"/>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7B877AA8">
      <w:pPr>
        <w:tabs>
          <w:tab w:val="left" w:pos="630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1EB8A925">
      <w:pPr>
        <w:tabs>
          <w:tab w:val="left" w:pos="5260"/>
        </w:tabs>
        <w:autoSpaceDE w:val="0"/>
        <w:autoSpaceDN w:val="0"/>
        <w:adjustRightInd w:val="0"/>
        <w:snapToGrid w:val="0"/>
        <w:spacing w:line="480" w:lineRule="auto"/>
        <w:ind w:firstLine="420" w:firstLineChars="200"/>
        <w:jc w:val="left"/>
        <w:rPr>
          <w:rFonts w:ascii="宋体" w:hAnsi="宋体"/>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06A2BF8B">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ascii="宋体" w:hAnsi="宋体"/>
          <w:kern w:val="0"/>
          <w:szCs w:val="21"/>
        </w:rPr>
        <w:t>委托代理人：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hint="eastAsia" w:ascii="宋体" w:hAnsi="宋体"/>
          <w:spacing w:val="-1"/>
          <w:kern w:val="0"/>
          <w:szCs w:val="21"/>
        </w:rPr>
        <w:t>）</w:t>
      </w:r>
    </w:p>
    <w:p w14:paraId="595D2161">
      <w:pPr>
        <w:tabs>
          <w:tab w:val="left" w:pos="6825"/>
        </w:tabs>
        <w:autoSpaceDE w:val="0"/>
        <w:autoSpaceDN w:val="0"/>
        <w:adjustRightInd w:val="0"/>
        <w:snapToGrid w:val="0"/>
        <w:spacing w:line="480" w:lineRule="auto"/>
        <w:ind w:firstLine="420" w:firstLineChars="200"/>
        <w:jc w:val="left"/>
        <w:rPr>
          <w:rFonts w:ascii="宋体" w:hAnsi="宋体"/>
          <w:w w:val="200"/>
          <w:kern w:val="0"/>
          <w:szCs w:val="21"/>
          <w:u w:val="single"/>
        </w:rPr>
      </w:pPr>
      <w:r>
        <w:rPr>
          <w:rFonts w:ascii="宋体" w:hAnsi="宋体"/>
          <w:kern w:val="0"/>
          <w:szCs w:val="21"/>
        </w:rPr>
        <w:t>身份证号码：</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p>
    <w:p w14:paraId="5F871D80">
      <w:pPr>
        <w:tabs>
          <w:tab w:val="left" w:pos="6825"/>
        </w:tabs>
        <w:autoSpaceDE w:val="0"/>
        <w:autoSpaceDN w:val="0"/>
        <w:adjustRightInd w:val="0"/>
        <w:snapToGrid w:val="0"/>
        <w:spacing w:line="480" w:lineRule="auto"/>
        <w:ind w:firstLine="420" w:firstLineChars="200"/>
        <w:jc w:val="left"/>
        <w:rPr>
          <w:rFonts w:ascii="宋体" w:hAnsi="宋体"/>
          <w:kern w:val="0"/>
          <w:szCs w:val="21"/>
          <w:u w:val="single"/>
        </w:rPr>
      </w:pPr>
      <w:r>
        <w:rPr>
          <w:rFonts w:hint="eastAsia" w:ascii="宋体" w:hAnsi="宋体"/>
          <w:kern w:val="0"/>
          <w:szCs w:val="21"/>
        </w:rPr>
        <w:t>单位电话（座机）：</w:t>
      </w:r>
      <w:r>
        <w:rPr>
          <w:rFonts w:hint="eastAsia" w:ascii="宋体" w:hAnsi="宋体"/>
          <w:kern w:val="0"/>
          <w:szCs w:val="21"/>
          <w:u w:val="single"/>
        </w:rPr>
        <w:t xml:space="preserve">                              </w:t>
      </w:r>
    </w:p>
    <w:p w14:paraId="69789921">
      <w:pPr>
        <w:tabs>
          <w:tab w:val="left" w:pos="5260"/>
        </w:tabs>
        <w:autoSpaceDE w:val="0"/>
        <w:autoSpaceDN w:val="0"/>
        <w:adjustRightInd w:val="0"/>
        <w:snapToGrid w:val="0"/>
        <w:spacing w:line="480" w:lineRule="auto"/>
        <w:ind w:firstLine="420" w:firstLineChars="200"/>
        <w:jc w:val="left"/>
        <w:rPr>
          <w:rFonts w:ascii="宋体" w:hAnsi="宋体"/>
          <w:kern w:val="0"/>
          <w:szCs w:val="21"/>
        </w:rPr>
      </w:pPr>
      <w:r>
        <w:rPr>
          <w:rFonts w:hint="eastAsia" w:ascii="宋体" w:hAnsi="宋体"/>
          <w:kern w:val="0"/>
          <w:szCs w:val="21"/>
        </w:rPr>
        <w:t xml:space="preserve">委托代理人电话（手机）：                                          </w:t>
      </w:r>
    </w:p>
    <w:p w14:paraId="7970C98A">
      <w:pPr>
        <w:autoSpaceDE w:val="0"/>
        <w:autoSpaceDN w:val="0"/>
        <w:adjustRightInd w:val="0"/>
        <w:snapToGrid w:val="0"/>
        <w:spacing w:line="480" w:lineRule="auto"/>
        <w:ind w:firstLine="810" w:firstLineChars="386"/>
        <w:jc w:val="left"/>
        <w:rPr>
          <w:rFonts w:ascii="宋体" w:hAnsi="宋体"/>
          <w:kern w:val="0"/>
          <w:szCs w:val="21"/>
        </w:rPr>
      </w:pPr>
      <w:r>
        <w:rPr>
          <w:rFonts w:hint="eastAsia" w:ascii="宋体" w:hAnsi="宋体"/>
          <w:kern w:val="0"/>
          <w:szCs w:val="21"/>
        </w:rPr>
        <w:t>附：法定代表人和委托代理人身份证明扫描件（双面）</w:t>
      </w:r>
    </w:p>
    <w:p w14:paraId="1FCAD7C7">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w w:val="200"/>
          <w:kern w:val="0"/>
          <w:szCs w:val="21"/>
          <w:u w:val="single"/>
        </w:rPr>
      </w:pPr>
    </w:p>
    <w:p w14:paraId="730E4EFB">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13A2400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3C02E9F">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2D64F80">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62AD0B5C">
      <w:pPr>
        <w:tabs>
          <w:tab w:val="left" w:pos="4005"/>
          <w:tab w:val="left" w:pos="4100"/>
          <w:tab w:val="left" w:pos="5040"/>
        </w:tabs>
        <w:autoSpaceDE w:val="0"/>
        <w:autoSpaceDN w:val="0"/>
        <w:adjustRightInd w:val="0"/>
        <w:snapToGrid w:val="0"/>
        <w:spacing w:line="360" w:lineRule="auto"/>
        <w:ind w:firstLine="3780"/>
        <w:jc w:val="right"/>
        <w:rPr>
          <w:rFonts w:ascii="宋体" w:hAnsi="宋体"/>
          <w:w w:val="200"/>
          <w:kern w:val="0"/>
          <w:szCs w:val="21"/>
          <w:u w:val="single"/>
        </w:rPr>
      </w:pPr>
    </w:p>
    <w:p w14:paraId="42F4E6B4">
      <w:pPr>
        <w:tabs>
          <w:tab w:val="left" w:pos="6825"/>
        </w:tabs>
        <w:autoSpaceDE w:val="0"/>
        <w:autoSpaceDN w:val="0"/>
        <w:adjustRightInd w:val="0"/>
        <w:snapToGrid w:val="0"/>
        <w:spacing w:line="480" w:lineRule="auto"/>
        <w:ind w:firstLine="420" w:firstLineChars="200"/>
        <w:jc w:val="left"/>
        <w:rPr>
          <w:rFonts w:ascii="宋体" w:hAnsi="宋体"/>
          <w:kern w:val="0"/>
          <w:szCs w:val="21"/>
        </w:rPr>
      </w:pPr>
    </w:p>
    <w:p w14:paraId="0E4854C1">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kern w:val="0"/>
          <w:szCs w:val="21"/>
        </w:rPr>
      </w:pPr>
      <w:r>
        <w:rPr>
          <w:rFonts w:hint="eastAsia" w:ascii="宋体" w:hAnsi="宋体"/>
          <w:w w:val="200"/>
          <w:kern w:val="0"/>
          <w:szCs w:val="21"/>
          <w:u w:val="single"/>
        </w:rPr>
        <w:t xml:space="preserve">  </w:t>
      </w:r>
      <w:r>
        <w:rPr>
          <w:rFonts w:ascii="宋体" w:hAnsi="宋体"/>
          <w:kern w:val="0"/>
          <w:szCs w:val="21"/>
        </w:rPr>
        <w:t>年</w:t>
      </w:r>
      <w:r>
        <w:rPr>
          <w:rFonts w:hint="eastAsia" w:ascii="宋体" w:hAnsi="宋体"/>
          <w:w w:val="200"/>
          <w:kern w:val="0"/>
          <w:szCs w:val="21"/>
          <w:u w:val="single"/>
        </w:rPr>
        <w:t xml:space="preserve">  </w:t>
      </w:r>
      <w:r>
        <w:rPr>
          <w:rFonts w:ascii="宋体" w:hAnsi="宋体"/>
          <w:kern w:val="0"/>
          <w:szCs w:val="21"/>
        </w:rPr>
        <w:t>月</w:t>
      </w:r>
      <w:r>
        <w:rPr>
          <w:rFonts w:hint="eastAsia" w:ascii="宋体" w:hAnsi="宋体"/>
          <w:w w:val="200"/>
          <w:kern w:val="0"/>
          <w:szCs w:val="21"/>
          <w:u w:val="single"/>
        </w:rPr>
        <w:t xml:space="preserve">  </w:t>
      </w:r>
      <w:r>
        <w:rPr>
          <w:rFonts w:ascii="宋体" w:hAnsi="宋体"/>
          <w:kern w:val="0"/>
          <w:szCs w:val="21"/>
        </w:rPr>
        <w:t>日</w:t>
      </w:r>
      <w:r>
        <w:rPr>
          <w:rFonts w:hint="eastAsia" w:ascii="宋体" w:hAnsi="宋体"/>
          <w:kern w:val="0"/>
          <w:szCs w:val="21"/>
        </w:rPr>
        <w:t xml:space="preserve"> </w:t>
      </w:r>
    </w:p>
    <w:p w14:paraId="1805A8F3">
      <w:pPr>
        <w:tabs>
          <w:tab w:val="left" w:pos="4005"/>
          <w:tab w:val="left" w:pos="4100"/>
          <w:tab w:val="left" w:pos="5040"/>
        </w:tabs>
        <w:autoSpaceDE w:val="0"/>
        <w:autoSpaceDN w:val="0"/>
        <w:adjustRightInd w:val="0"/>
        <w:snapToGrid w:val="0"/>
        <w:spacing w:line="360" w:lineRule="auto"/>
        <w:ind w:firstLine="3780"/>
        <w:jc w:val="right"/>
        <w:rPr>
          <w:rFonts w:ascii="宋体" w:hAnsi="宋体"/>
          <w:kern w:val="0"/>
          <w:szCs w:val="21"/>
        </w:rPr>
      </w:pPr>
    </w:p>
    <w:p w14:paraId="34AE2A3D">
      <w:pPr>
        <w:tabs>
          <w:tab w:val="left" w:pos="5760"/>
        </w:tabs>
        <w:autoSpaceDE w:val="0"/>
        <w:autoSpaceDN w:val="0"/>
        <w:adjustRightInd w:val="0"/>
        <w:spacing w:line="360" w:lineRule="auto"/>
        <w:ind w:firstLine="420" w:firstLineChars="200"/>
        <w:rPr>
          <w:rFonts w:ascii="宋体" w:hAnsi="宋体"/>
          <w:kern w:val="0"/>
        </w:rPr>
      </w:pPr>
    </w:p>
    <w:p w14:paraId="4E7E0246">
      <w:pPr>
        <w:tabs>
          <w:tab w:val="left" w:pos="1680"/>
          <w:tab w:val="left" w:pos="4215"/>
          <w:tab w:val="left" w:pos="4305"/>
          <w:tab w:val="left" w:pos="8000"/>
        </w:tabs>
        <w:autoSpaceDE w:val="0"/>
        <w:autoSpaceDN w:val="0"/>
        <w:adjustRightInd w:val="0"/>
        <w:snapToGrid w:val="0"/>
        <w:spacing w:line="360" w:lineRule="auto"/>
        <w:ind w:firstLine="420" w:firstLineChars="200"/>
        <w:rPr>
          <w:rFonts w:ascii="宋体" w:hAnsi="宋体"/>
          <w:kern w:val="0"/>
          <w:szCs w:val="21"/>
        </w:rPr>
      </w:pPr>
      <w:r>
        <w:rPr>
          <w:rFonts w:ascii="宋体" w:hAnsi="宋体"/>
          <w:kern w:val="0"/>
          <w:szCs w:val="21"/>
        </w:rPr>
        <w:t>注：1、法定代表人参加投标活动并签署文件的不需要授权委托书，只需提供法定代表人身份证明；非法定代表人参加投标活动及签署文件的除提供法定代表人身份证明外还须提供授权委托书。</w:t>
      </w:r>
    </w:p>
    <w:p w14:paraId="44F824C2">
      <w:pPr>
        <w:autoSpaceDE w:val="0"/>
        <w:autoSpaceDN w:val="0"/>
        <w:adjustRightInd w:val="0"/>
        <w:snapToGrid w:val="0"/>
        <w:spacing w:line="360" w:lineRule="auto"/>
        <w:ind w:firstLine="420" w:firstLineChars="200"/>
        <w:rPr>
          <w:rFonts w:ascii="宋体" w:hAnsi="宋体"/>
        </w:rPr>
      </w:pPr>
      <w:r>
        <w:rPr>
          <w:rFonts w:hint="eastAsia" w:ascii="宋体" w:hAnsi="宋体"/>
          <w:kern w:val="0"/>
          <w:szCs w:val="21"/>
        </w:rPr>
        <w:t>2.</w:t>
      </w:r>
      <w:r>
        <w:rPr>
          <w:rFonts w:hint="eastAsia" w:ascii="宋体" w:hAnsi="宋体"/>
        </w:rPr>
        <w:t>授权委托书</w:t>
      </w:r>
      <w:r>
        <w:rPr>
          <w:rFonts w:ascii="宋体" w:hAnsi="宋体"/>
        </w:rPr>
        <w:t>需按上述格式填写完整，不可缺少内容。在此基础上增加内容的不影响其有效性。</w:t>
      </w:r>
    </w:p>
    <w:p w14:paraId="6462988F">
      <w:pPr>
        <w:autoSpaceDE w:val="0"/>
        <w:autoSpaceDN w:val="0"/>
        <w:adjustRightInd w:val="0"/>
        <w:snapToGrid w:val="0"/>
        <w:jc w:val="center"/>
        <w:rPr>
          <w:rFonts w:ascii="宋体" w:hAnsi="宋体"/>
        </w:rPr>
      </w:pPr>
      <w:r>
        <w:rPr>
          <w:rFonts w:ascii="宋体" w:hAnsi="宋体"/>
        </w:rPr>
        <w:br w:type="page"/>
      </w:r>
    </w:p>
    <w:p w14:paraId="38923B9C">
      <w:pPr>
        <w:pStyle w:val="5"/>
        <w:spacing w:before="0" w:after="0" w:line="240" w:lineRule="auto"/>
        <w:jc w:val="center"/>
        <w:rPr>
          <w:rFonts w:ascii="宋体" w:hAnsi="宋体"/>
          <w:b w:val="0"/>
          <w:bCs w:val="0"/>
        </w:rPr>
      </w:pPr>
      <w:bookmarkStart w:id="2081" w:name="_Toc430530547"/>
      <w:bookmarkStart w:id="2082" w:name="_Toc963"/>
      <w:bookmarkStart w:id="2083" w:name="_Toc224103512"/>
      <w:bookmarkStart w:id="2084" w:name="_Toc287620831"/>
      <w:bookmarkStart w:id="2085" w:name="_Toc287607884"/>
      <w:bookmarkStart w:id="2086" w:name="_Toc277082658"/>
      <w:r>
        <w:rPr>
          <w:rFonts w:hint="eastAsia" w:ascii="宋体" w:hAnsi="宋体"/>
          <w:b w:val="0"/>
          <w:bCs w:val="0"/>
        </w:rPr>
        <w:t>（二）联合体协议书</w:t>
      </w:r>
      <w:bookmarkEnd w:id="2081"/>
      <w:r>
        <w:rPr>
          <w:rFonts w:hint="eastAsia" w:ascii="宋体" w:hAnsi="宋体"/>
          <w:b w:val="0"/>
          <w:bCs w:val="0"/>
        </w:rPr>
        <w:t>（如有）</w:t>
      </w:r>
      <w:bookmarkEnd w:id="2082"/>
    </w:p>
    <w:bookmarkEnd w:id="2083"/>
    <w:bookmarkEnd w:id="2084"/>
    <w:bookmarkEnd w:id="2085"/>
    <w:bookmarkEnd w:id="2086"/>
    <w:p w14:paraId="3C2715B9">
      <w:pPr>
        <w:autoSpaceDE w:val="0"/>
        <w:autoSpaceDN w:val="0"/>
        <w:adjustRightInd w:val="0"/>
        <w:snapToGrid w:val="0"/>
        <w:spacing w:line="500" w:lineRule="exact"/>
        <w:ind w:firstLine="420" w:firstLineChars="200"/>
        <w:rPr>
          <w:rFonts w:ascii="宋体" w:hAnsi="宋体"/>
          <w:snapToGrid w:val="0"/>
          <w:kern w:val="0"/>
          <w:szCs w:val="21"/>
        </w:rPr>
      </w:pPr>
      <w:bookmarkStart w:id="2087" w:name="_Toc287607887"/>
      <w:bookmarkStart w:id="2088" w:name="_Toc277082659"/>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（所有成员单位名称）</w:t>
      </w:r>
      <w:r>
        <w:rPr>
          <w:rFonts w:ascii="宋体" w:hAnsi="宋体"/>
          <w:snapToGrid w:val="0"/>
          <w:kern w:val="0"/>
          <w:szCs w:val="21"/>
        </w:rPr>
        <w:t>自愿组成联合体，共同参加</w:t>
      </w:r>
      <w:r>
        <w:rPr>
          <w:rFonts w:ascii="宋体" w:hAnsi="宋体"/>
          <w:snapToGrid w:val="0"/>
          <w:kern w:val="0"/>
          <w:szCs w:val="21"/>
          <w:u w:val="single"/>
        </w:rPr>
        <w:tab/>
      </w:r>
      <w:r>
        <w:rPr>
          <w:rFonts w:hint="eastAsia" w:ascii="宋体" w:hAnsi="宋体"/>
          <w:snapToGrid w:val="0"/>
          <w:kern w:val="0"/>
          <w:szCs w:val="21"/>
          <w:u w:val="single"/>
        </w:rPr>
        <w:t xml:space="preserve">      </w:t>
      </w:r>
      <w:r>
        <w:rPr>
          <w:rFonts w:ascii="宋体" w:hAnsi="宋体"/>
          <w:snapToGrid w:val="0"/>
          <w:kern w:val="0"/>
          <w:szCs w:val="21"/>
          <w:u w:val="single"/>
        </w:rPr>
        <w:t>（项目名称）</w:t>
      </w:r>
      <w:r>
        <w:rPr>
          <w:rFonts w:ascii="宋体" w:hAnsi="宋体"/>
          <w:snapToGrid w:val="0"/>
          <w:kern w:val="0"/>
          <w:szCs w:val="21"/>
        </w:rPr>
        <w:t>投标。现就联合体投标事宜订立如下协议。</w:t>
      </w:r>
    </w:p>
    <w:p w14:paraId="3B0DF458">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kern w:val="0"/>
          <w:szCs w:val="21"/>
        </w:rPr>
      </w:pPr>
      <w:r>
        <w:rPr>
          <w:rFonts w:ascii="宋体" w:hAnsi="宋体"/>
          <w:snapToGrid w:val="0"/>
          <w:kern w:val="0"/>
          <w:szCs w:val="21"/>
        </w:rPr>
        <w:t>1.</w:t>
      </w:r>
      <w:r>
        <w:rPr>
          <w:rFonts w:ascii="宋体" w:hAnsi="宋体"/>
          <w:snapToGrid w:val="0"/>
          <w:kern w:val="0"/>
          <w:szCs w:val="21"/>
          <w:u w:val="single"/>
        </w:rPr>
        <w:tab/>
      </w:r>
      <w:r>
        <w:rPr>
          <w:rFonts w:ascii="宋体" w:hAnsi="宋体"/>
          <w:snapToGrid w:val="0"/>
          <w:kern w:val="0"/>
          <w:szCs w:val="21"/>
          <w:u w:val="single"/>
        </w:rPr>
        <w:t>（某成员单位名称）</w:t>
      </w:r>
      <w:r>
        <w:rPr>
          <w:rFonts w:hint="eastAsia" w:ascii="宋体" w:hAnsi="宋体"/>
          <w:snapToGrid w:val="0"/>
          <w:kern w:val="0"/>
          <w:szCs w:val="21"/>
        </w:rPr>
        <w:t>为</w:t>
      </w:r>
      <w:r>
        <w:rPr>
          <w:rFonts w:hint="eastAsia" w:ascii="宋体" w:hAnsi="宋体"/>
          <w:snapToGrid w:val="0"/>
          <w:kern w:val="0"/>
          <w:szCs w:val="21"/>
          <w:u w:val="single"/>
        </w:rPr>
        <w:tab/>
      </w:r>
      <w:r>
        <w:rPr>
          <w:rFonts w:hint="eastAsia" w:ascii="宋体" w:hAnsi="宋体"/>
          <w:snapToGrid w:val="0"/>
          <w:kern w:val="0"/>
          <w:szCs w:val="21"/>
          <w:u w:val="single"/>
        </w:rPr>
        <w:t xml:space="preserve">      （项目名称）</w:t>
      </w:r>
      <w:r>
        <w:rPr>
          <w:rFonts w:ascii="宋体" w:hAnsi="宋体"/>
          <w:snapToGrid w:val="0"/>
          <w:kern w:val="0"/>
          <w:szCs w:val="21"/>
        </w:rPr>
        <w:t>联合体牵头人。由联合体牵头人单位递交投标保证金。</w:t>
      </w:r>
    </w:p>
    <w:p w14:paraId="74D3D084">
      <w:pPr>
        <w:autoSpaceDE w:val="0"/>
        <w:autoSpaceDN w:val="0"/>
        <w:adjustRightInd w:val="0"/>
        <w:snapToGrid w:val="0"/>
        <w:spacing w:line="500" w:lineRule="exact"/>
        <w:ind w:firstLine="420"/>
        <w:rPr>
          <w:rFonts w:ascii="宋体" w:hAnsi="宋体"/>
          <w:snapToGrid w:val="0"/>
          <w:kern w:val="0"/>
          <w:szCs w:val="21"/>
        </w:rPr>
      </w:pPr>
      <w:r>
        <w:rPr>
          <w:rFonts w:ascii="宋体" w:hAnsi="宋体"/>
          <w:snapToGrid w:val="0"/>
          <w:kern w:val="0"/>
          <w:szCs w:val="21"/>
        </w:rPr>
        <w:t>2.联合体牵头人合法代表联合体各成员负责本</w:t>
      </w:r>
      <w:r>
        <w:rPr>
          <w:rFonts w:hint="eastAsia" w:ascii="宋体" w:hAnsi="宋体"/>
          <w:snapToGrid w:val="0"/>
          <w:kern w:val="0"/>
          <w:szCs w:val="21"/>
        </w:rPr>
        <w:t>采购</w:t>
      </w:r>
      <w:r>
        <w:rPr>
          <w:rFonts w:ascii="宋体" w:hAnsi="宋体"/>
          <w:snapToGrid w:val="0"/>
          <w:kern w:val="0"/>
          <w:szCs w:val="21"/>
        </w:rPr>
        <w:t>项目投标文件编制和合同谈判活动， 并代表联合体提交和接收相关的资料、信息及指示，并处理与之有关的一切事务，负责合同 实施阶段的主办、组织和协调工作。</w:t>
      </w:r>
    </w:p>
    <w:p w14:paraId="67CA5A59">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3.联合体将严格按照</w:t>
      </w:r>
      <w:r>
        <w:rPr>
          <w:rFonts w:hint="eastAsia" w:ascii="宋体" w:hAnsi="宋体"/>
          <w:snapToGrid w:val="0"/>
          <w:kern w:val="0"/>
          <w:szCs w:val="21"/>
        </w:rPr>
        <w:t>采购</w:t>
      </w:r>
      <w:r>
        <w:rPr>
          <w:rFonts w:ascii="宋体" w:hAnsi="宋体"/>
          <w:snapToGrid w:val="0"/>
          <w:kern w:val="0"/>
          <w:szCs w:val="21"/>
        </w:rPr>
        <w:t>文件的各项要求，递交投标文件，履行合同，并对外承担连带责任。</w:t>
      </w:r>
    </w:p>
    <w:p w14:paraId="1D983F91">
      <w:pPr>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4.联合体牵头人代表联合体签署投标文件</w:t>
      </w:r>
      <w:r>
        <w:rPr>
          <w:rFonts w:ascii="宋体" w:hAnsi="宋体"/>
          <w:spacing w:val="-19"/>
          <w:kern w:val="0"/>
          <w:szCs w:val="21"/>
        </w:rPr>
        <w:t>，</w:t>
      </w:r>
      <w:r>
        <w:rPr>
          <w:rFonts w:ascii="宋体" w:hAnsi="宋体"/>
          <w:kern w:val="0"/>
          <w:szCs w:val="21"/>
        </w:rPr>
        <w:t>联合体牵头人的所有承诺均认为代表了联合体各成员。</w:t>
      </w:r>
    </w:p>
    <w:p w14:paraId="3ACE7277">
      <w:pPr>
        <w:autoSpaceDE w:val="0"/>
        <w:autoSpaceDN w:val="0"/>
        <w:adjustRightInd w:val="0"/>
        <w:spacing w:line="500" w:lineRule="exact"/>
        <w:ind w:firstLine="420" w:firstLineChars="200"/>
        <w:jc w:val="left"/>
        <w:rPr>
          <w:rFonts w:ascii="宋体" w:hAnsi="宋体"/>
          <w:kern w:val="0"/>
          <w:szCs w:val="21"/>
        </w:rPr>
      </w:pPr>
      <w:r>
        <w:rPr>
          <w:rFonts w:ascii="宋体" w:hAnsi="宋体"/>
          <w:snapToGrid w:val="0"/>
          <w:kern w:val="0"/>
          <w:szCs w:val="21"/>
        </w:rPr>
        <w:t>5.</w:t>
      </w:r>
      <w:r>
        <w:rPr>
          <w:rFonts w:ascii="宋体" w:hAnsi="宋体"/>
          <w:kern w:val="0"/>
          <w:szCs w:val="21"/>
        </w:rPr>
        <w:t>联合体各成员单位内部的职责分工如下：</w:t>
      </w:r>
    </w:p>
    <w:tbl>
      <w:tblPr>
        <w:tblStyle w:val="46"/>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14:paraId="06FDC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508B5ACA">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单位名称</w:t>
            </w:r>
          </w:p>
        </w:tc>
        <w:tc>
          <w:tcPr>
            <w:tcW w:w="2410" w:type="dxa"/>
          </w:tcPr>
          <w:p w14:paraId="07C588DD">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B90A60B">
            <w:pPr>
              <w:autoSpaceDE w:val="0"/>
              <w:autoSpaceDN w:val="0"/>
              <w:adjustRightInd w:val="0"/>
              <w:snapToGrid w:val="0"/>
              <w:spacing w:line="500" w:lineRule="exact"/>
              <w:jc w:val="center"/>
              <w:rPr>
                <w:rFonts w:ascii="宋体" w:hAnsi="宋体"/>
                <w:snapToGrid w:val="0"/>
                <w:kern w:val="0"/>
                <w:szCs w:val="21"/>
              </w:rPr>
            </w:pPr>
            <w:r>
              <w:rPr>
                <w:rFonts w:ascii="宋体" w:hAnsi="宋体"/>
                <w:snapToGrid w:val="0"/>
                <w:kern w:val="0"/>
                <w:szCs w:val="21"/>
              </w:rPr>
              <w:t>职责分工</w:t>
            </w:r>
          </w:p>
        </w:tc>
      </w:tr>
      <w:tr w14:paraId="5025B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45EB8AFC">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联合体牵头人名称</w:t>
            </w:r>
          </w:p>
        </w:tc>
        <w:tc>
          <w:tcPr>
            <w:tcW w:w="2410" w:type="dxa"/>
          </w:tcPr>
          <w:p w14:paraId="413B35F8">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0615DDC0">
            <w:pPr>
              <w:autoSpaceDE w:val="0"/>
              <w:autoSpaceDN w:val="0"/>
              <w:adjustRightInd w:val="0"/>
              <w:snapToGrid w:val="0"/>
              <w:spacing w:line="500" w:lineRule="exact"/>
              <w:ind w:firstLine="420"/>
              <w:jc w:val="left"/>
              <w:rPr>
                <w:rFonts w:ascii="宋体" w:hAnsi="宋体"/>
                <w:snapToGrid w:val="0"/>
                <w:kern w:val="0"/>
                <w:szCs w:val="21"/>
              </w:rPr>
            </w:pPr>
          </w:p>
        </w:tc>
      </w:tr>
      <w:tr w14:paraId="12EB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774562BD">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联合体其他成员单位一名称</w:t>
            </w:r>
          </w:p>
        </w:tc>
        <w:tc>
          <w:tcPr>
            <w:tcW w:w="2410" w:type="dxa"/>
          </w:tcPr>
          <w:p w14:paraId="379D16B3">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4DD3A588">
            <w:pPr>
              <w:autoSpaceDE w:val="0"/>
              <w:autoSpaceDN w:val="0"/>
              <w:adjustRightInd w:val="0"/>
              <w:snapToGrid w:val="0"/>
              <w:spacing w:line="500" w:lineRule="exact"/>
              <w:ind w:firstLine="420"/>
              <w:jc w:val="left"/>
              <w:rPr>
                <w:rFonts w:ascii="宋体" w:hAnsi="宋体"/>
                <w:snapToGrid w:val="0"/>
                <w:kern w:val="0"/>
                <w:szCs w:val="21"/>
              </w:rPr>
            </w:pPr>
          </w:p>
        </w:tc>
      </w:tr>
      <w:tr w14:paraId="3AD67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27303420">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联合体其他成员单位二名称</w:t>
            </w:r>
          </w:p>
        </w:tc>
        <w:tc>
          <w:tcPr>
            <w:tcW w:w="2410" w:type="dxa"/>
          </w:tcPr>
          <w:p w14:paraId="40023B98">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社会信用代码</w:t>
            </w:r>
          </w:p>
        </w:tc>
        <w:tc>
          <w:tcPr>
            <w:tcW w:w="2885" w:type="dxa"/>
          </w:tcPr>
          <w:p w14:paraId="2FCC2AFE">
            <w:pPr>
              <w:autoSpaceDE w:val="0"/>
              <w:autoSpaceDN w:val="0"/>
              <w:adjustRightInd w:val="0"/>
              <w:snapToGrid w:val="0"/>
              <w:spacing w:line="500" w:lineRule="exact"/>
              <w:ind w:firstLine="420"/>
              <w:jc w:val="left"/>
              <w:rPr>
                <w:rFonts w:ascii="宋体" w:hAnsi="宋体"/>
                <w:snapToGrid w:val="0"/>
                <w:kern w:val="0"/>
                <w:szCs w:val="21"/>
              </w:rPr>
            </w:pPr>
          </w:p>
        </w:tc>
      </w:tr>
      <w:tr w14:paraId="73AB5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14:paraId="2BA2F49A">
            <w:pPr>
              <w:autoSpaceDE w:val="0"/>
              <w:autoSpaceDN w:val="0"/>
              <w:adjustRightInd w:val="0"/>
              <w:snapToGrid w:val="0"/>
              <w:spacing w:line="500" w:lineRule="exact"/>
              <w:ind w:firstLine="420"/>
              <w:jc w:val="left"/>
              <w:rPr>
                <w:rFonts w:ascii="宋体" w:hAnsi="宋体"/>
                <w:snapToGrid w:val="0"/>
                <w:kern w:val="0"/>
                <w:szCs w:val="21"/>
              </w:rPr>
            </w:pPr>
            <w:r>
              <w:rPr>
                <w:rFonts w:ascii="宋体" w:hAnsi="宋体"/>
                <w:snapToGrid w:val="0"/>
                <w:kern w:val="0"/>
                <w:szCs w:val="21"/>
              </w:rPr>
              <w:t>……</w:t>
            </w:r>
          </w:p>
        </w:tc>
        <w:tc>
          <w:tcPr>
            <w:tcW w:w="2410" w:type="dxa"/>
          </w:tcPr>
          <w:p w14:paraId="4666920E">
            <w:pPr>
              <w:autoSpaceDE w:val="0"/>
              <w:autoSpaceDN w:val="0"/>
              <w:adjustRightInd w:val="0"/>
              <w:snapToGrid w:val="0"/>
              <w:spacing w:line="500" w:lineRule="exact"/>
              <w:ind w:firstLine="420"/>
              <w:jc w:val="left"/>
              <w:rPr>
                <w:rFonts w:ascii="宋体" w:hAnsi="宋体"/>
                <w:snapToGrid w:val="0"/>
                <w:kern w:val="0"/>
                <w:szCs w:val="21"/>
              </w:rPr>
            </w:pPr>
          </w:p>
        </w:tc>
        <w:tc>
          <w:tcPr>
            <w:tcW w:w="2885" w:type="dxa"/>
          </w:tcPr>
          <w:p w14:paraId="2050110F">
            <w:pPr>
              <w:autoSpaceDE w:val="0"/>
              <w:autoSpaceDN w:val="0"/>
              <w:adjustRightInd w:val="0"/>
              <w:snapToGrid w:val="0"/>
              <w:spacing w:line="500" w:lineRule="exact"/>
              <w:ind w:firstLine="420"/>
              <w:jc w:val="left"/>
              <w:rPr>
                <w:rFonts w:ascii="宋体" w:hAnsi="宋体"/>
                <w:snapToGrid w:val="0"/>
                <w:kern w:val="0"/>
                <w:szCs w:val="21"/>
              </w:rPr>
            </w:pPr>
          </w:p>
        </w:tc>
      </w:tr>
    </w:tbl>
    <w:p w14:paraId="3C558929">
      <w:pPr>
        <w:tabs>
          <w:tab w:val="left" w:pos="2020"/>
          <w:tab w:val="left" w:pos="4680"/>
          <w:tab w:val="left" w:pos="7640"/>
          <w:tab w:val="left" w:pos="7820"/>
        </w:tabs>
        <w:autoSpaceDE w:val="0"/>
        <w:autoSpaceDN w:val="0"/>
        <w:adjustRightInd w:val="0"/>
        <w:spacing w:line="500" w:lineRule="exact"/>
        <w:ind w:firstLine="420" w:firstLineChars="200"/>
        <w:jc w:val="left"/>
        <w:rPr>
          <w:rFonts w:ascii="宋体" w:hAnsi="宋体"/>
          <w:spacing w:val="7"/>
          <w:kern w:val="0"/>
          <w:szCs w:val="21"/>
        </w:rPr>
      </w:pPr>
      <w:r>
        <w:rPr>
          <w:rFonts w:ascii="宋体" w:hAnsi="宋体"/>
          <w:kern w:val="0"/>
          <w:szCs w:val="21"/>
        </w:rPr>
        <w:t>6</w:t>
      </w:r>
      <w:r>
        <w:rPr>
          <w:rFonts w:ascii="宋体" w:hAnsi="宋体"/>
          <w:spacing w:val="7"/>
          <w:kern w:val="0"/>
          <w:szCs w:val="21"/>
        </w:rPr>
        <w:t>.</w:t>
      </w:r>
      <w:r>
        <w:rPr>
          <w:rFonts w:hint="eastAsia" w:ascii="宋体" w:hAnsi="宋体"/>
          <w:spacing w:val="7"/>
          <w:kern w:val="0"/>
          <w:szCs w:val="21"/>
        </w:rPr>
        <w:t>由联合体牵头人委派本项目的委托代理人。</w:t>
      </w:r>
    </w:p>
    <w:p w14:paraId="23155BF9">
      <w:pPr>
        <w:autoSpaceDE w:val="0"/>
        <w:autoSpaceDN w:val="0"/>
        <w:adjustRightInd w:val="0"/>
        <w:spacing w:line="500" w:lineRule="exact"/>
        <w:ind w:firstLine="448" w:firstLineChars="200"/>
        <w:jc w:val="left"/>
        <w:rPr>
          <w:rFonts w:ascii="宋体" w:hAnsi="宋体"/>
          <w:kern w:val="0"/>
          <w:szCs w:val="21"/>
        </w:rPr>
      </w:pPr>
      <w:r>
        <w:rPr>
          <w:rFonts w:hint="eastAsia" w:ascii="宋体" w:hAnsi="宋体"/>
          <w:spacing w:val="7"/>
          <w:kern w:val="0"/>
          <w:szCs w:val="21"/>
        </w:rPr>
        <w:t>7.</w:t>
      </w:r>
      <w:r>
        <w:rPr>
          <w:rFonts w:ascii="宋体" w:hAnsi="宋体"/>
          <w:spacing w:val="7"/>
          <w:kern w:val="0"/>
          <w:szCs w:val="21"/>
        </w:rPr>
        <w:t>投标工作和联合体</w:t>
      </w:r>
      <w:r>
        <w:rPr>
          <w:rFonts w:ascii="宋体" w:hAnsi="宋体"/>
          <w:spacing w:val="5"/>
          <w:kern w:val="0"/>
          <w:szCs w:val="21"/>
        </w:rPr>
        <w:t>在</w:t>
      </w:r>
      <w:r>
        <w:rPr>
          <w:rFonts w:ascii="宋体" w:hAnsi="宋体"/>
          <w:spacing w:val="7"/>
          <w:kern w:val="0"/>
          <w:szCs w:val="21"/>
        </w:rPr>
        <w:t>中标后工程实施过</w:t>
      </w:r>
      <w:r>
        <w:rPr>
          <w:rFonts w:ascii="宋体" w:hAnsi="宋体"/>
          <w:spacing w:val="5"/>
          <w:kern w:val="0"/>
          <w:szCs w:val="21"/>
        </w:rPr>
        <w:t>程</w:t>
      </w:r>
      <w:r>
        <w:rPr>
          <w:rFonts w:ascii="宋体" w:hAnsi="宋体"/>
          <w:spacing w:val="7"/>
          <w:kern w:val="0"/>
          <w:szCs w:val="21"/>
        </w:rPr>
        <w:t>中的有关费用按各</w:t>
      </w:r>
      <w:r>
        <w:rPr>
          <w:rFonts w:ascii="宋体" w:hAnsi="宋体"/>
          <w:spacing w:val="5"/>
          <w:kern w:val="0"/>
          <w:szCs w:val="21"/>
        </w:rPr>
        <w:t>自</w:t>
      </w:r>
      <w:r>
        <w:rPr>
          <w:rFonts w:ascii="宋体" w:hAnsi="宋体"/>
          <w:spacing w:val="7"/>
          <w:kern w:val="0"/>
          <w:szCs w:val="21"/>
        </w:rPr>
        <w:t>承担的工作</w:t>
      </w:r>
      <w:r>
        <w:rPr>
          <w:rFonts w:ascii="宋体" w:hAnsi="宋体"/>
          <w:kern w:val="0"/>
          <w:szCs w:val="21"/>
        </w:rPr>
        <w:t>量分摊。</w:t>
      </w:r>
    </w:p>
    <w:p w14:paraId="3E508531">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kern w:val="0"/>
          <w:szCs w:val="21"/>
        </w:rPr>
      </w:pPr>
      <w:r>
        <w:rPr>
          <w:rFonts w:hint="eastAsia" w:ascii="宋体" w:hAnsi="宋体"/>
          <w:snapToGrid w:val="0"/>
          <w:kern w:val="0"/>
          <w:szCs w:val="21"/>
        </w:rPr>
        <w:t>8</w:t>
      </w:r>
      <w:r>
        <w:rPr>
          <w:rFonts w:ascii="宋体" w:hAnsi="宋体"/>
          <w:snapToGrid w:val="0"/>
          <w:kern w:val="0"/>
          <w:szCs w:val="21"/>
        </w:rPr>
        <w:t>.本协议书自签署之日起生效，合同履行完毕后自动失效。</w:t>
      </w:r>
    </w:p>
    <w:p w14:paraId="758D6D3A">
      <w:pPr>
        <w:autoSpaceDE w:val="0"/>
        <w:autoSpaceDN w:val="0"/>
        <w:adjustRightInd w:val="0"/>
        <w:snapToGrid w:val="0"/>
        <w:spacing w:line="500" w:lineRule="exact"/>
        <w:ind w:firstLine="390" w:firstLineChars="186"/>
        <w:jc w:val="left"/>
        <w:rPr>
          <w:rFonts w:ascii="宋体" w:hAnsi="宋体"/>
          <w:snapToGrid w:val="0"/>
          <w:kern w:val="0"/>
          <w:szCs w:val="21"/>
        </w:rPr>
      </w:pPr>
      <w:r>
        <w:rPr>
          <w:rFonts w:hint="eastAsia" w:ascii="宋体" w:hAnsi="宋体"/>
          <w:snapToGrid w:val="0"/>
          <w:kern w:val="0"/>
          <w:szCs w:val="21"/>
        </w:rPr>
        <w:t>9</w:t>
      </w:r>
      <w:r>
        <w:rPr>
          <w:rFonts w:ascii="宋体" w:hAnsi="宋体"/>
          <w:snapToGrid w:val="0"/>
          <w:kern w:val="0"/>
          <w:szCs w:val="21"/>
        </w:rPr>
        <w:t>.本协议书一式</w:t>
      </w:r>
      <w:r>
        <w:rPr>
          <w:rFonts w:hint="eastAsia" w:ascii="宋体" w:hAnsi="宋体"/>
          <w:snapToGrid w:val="0"/>
          <w:kern w:val="0"/>
          <w:szCs w:val="21"/>
          <w:u w:val="single"/>
        </w:rPr>
        <w:t xml:space="preserve">    </w:t>
      </w:r>
      <w:r>
        <w:rPr>
          <w:rFonts w:ascii="宋体" w:hAnsi="宋体"/>
          <w:snapToGrid w:val="0"/>
          <w:kern w:val="0"/>
          <w:szCs w:val="21"/>
        </w:rPr>
        <w:t>份，联合体成员和</w:t>
      </w:r>
      <w:r>
        <w:rPr>
          <w:rFonts w:hint="eastAsia" w:ascii="宋体" w:hAnsi="宋体"/>
          <w:snapToGrid w:val="0"/>
          <w:kern w:val="0"/>
          <w:szCs w:val="21"/>
        </w:rPr>
        <w:t>采购</w:t>
      </w:r>
      <w:r>
        <w:rPr>
          <w:rFonts w:ascii="宋体" w:hAnsi="宋体"/>
          <w:snapToGrid w:val="0"/>
          <w:kern w:val="0"/>
          <w:szCs w:val="21"/>
        </w:rPr>
        <w:t>人各执</w:t>
      </w:r>
      <w:r>
        <w:rPr>
          <w:rFonts w:hint="eastAsia" w:ascii="宋体" w:hAnsi="宋体"/>
          <w:snapToGrid w:val="0"/>
          <w:kern w:val="0"/>
          <w:szCs w:val="21"/>
          <w:u w:val="single"/>
        </w:rPr>
        <w:t xml:space="preserve">    </w:t>
      </w:r>
      <w:r>
        <w:rPr>
          <w:rFonts w:ascii="宋体" w:hAnsi="宋体"/>
          <w:snapToGrid w:val="0"/>
          <w:kern w:val="0"/>
          <w:szCs w:val="21"/>
        </w:rPr>
        <w:t>份。</w:t>
      </w:r>
    </w:p>
    <w:p w14:paraId="36C628CB">
      <w:pPr>
        <w:autoSpaceDE w:val="0"/>
        <w:autoSpaceDN w:val="0"/>
        <w:adjustRightInd w:val="0"/>
        <w:snapToGrid w:val="0"/>
        <w:spacing w:line="500" w:lineRule="exact"/>
        <w:ind w:firstLine="390" w:firstLineChars="186"/>
        <w:jc w:val="left"/>
        <w:rPr>
          <w:rFonts w:ascii="宋体" w:hAnsi="宋体"/>
          <w:snapToGrid w:val="0"/>
          <w:kern w:val="0"/>
          <w:szCs w:val="21"/>
        </w:rPr>
      </w:pPr>
    </w:p>
    <w:p w14:paraId="2FC0255F">
      <w:pPr>
        <w:tabs>
          <w:tab w:val="left" w:pos="484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szCs w:val="21"/>
        </w:rPr>
        <w:t>牵头人名称：</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w w:val="200"/>
          <w:kern w:val="0"/>
          <w:szCs w:val="21"/>
          <w:u w:val="single"/>
        </w:rPr>
        <w:t xml:space="preserve">   </w:t>
      </w:r>
      <w:r>
        <w:rPr>
          <w:rFonts w:hint="eastAsia" w:ascii="宋体" w:hAnsi="宋体"/>
          <w:snapToGrid w:val="0"/>
          <w:w w:val="200"/>
          <w:kern w:val="0"/>
          <w:szCs w:val="21"/>
          <w:u w:val="single"/>
        </w:rPr>
        <w:t xml:space="preserve"> </w:t>
      </w:r>
      <w:r>
        <w:rPr>
          <w:rFonts w:ascii="宋体" w:hAnsi="宋体"/>
          <w:snapToGrid w:val="0"/>
          <w:kern w:val="0"/>
          <w:szCs w:val="21"/>
        </w:rPr>
        <w:t>（盖单位法人章）</w:t>
      </w:r>
    </w:p>
    <w:p w14:paraId="0C465E11">
      <w:pPr>
        <w:tabs>
          <w:tab w:val="left" w:pos="5260"/>
        </w:tabs>
        <w:autoSpaceDE w:val="0"/>
        <w:autoSpaceDN w:val="0"/>
        <w:adjustRightInd w:val="0"/>
        <w:snapToGrid w:val="0"/>
        <w:spacing w:line="500" w:lineRule="exact"/>
        <w:ind w:firstLine="420" w:firstLineChars="200"/>
        <w:jc w:val="left"/>
        <w:rPr>
          <w:rFonts w:ascii="宋体" w:hAnsi="宋体"/>
          <w:snapToGrid w:val="0"/>
          <w:kern w:val="0"/>
          <w:szCs w:val="21"/>
        </w:rPr>
      </w:pPr>
      <w:r>
        <w:rPr>
          <w:rFonts w:ascii="宋体" w:hAnsi="宋体"/>
          <w:snapToGrid w:val="0"/>
          <w:kern w:val="0"/>
          <w:position w:val="-2"/>
          <w:szCs w:val="21"/>
        </w:rPr>
        <w:t>法定代表人或其委托代理人：</w:t>
      </w:r>
      <w:r>
        <w:rPr>
          <w:rFonts w:hint="eastAsia" w:ascii="宋体" w:hAnsi="宋体"/>
          <w:snapToGrid w:val="0"/>
          <w:kern w:val="0"/>
          <w:position w:val="-2"/>
          <w:szCs w:val="21"/>
          <w:u w:val="single"/>
        </w:rPr>
        <w:t xml:space="preserve">                                    </w:t>
      </w:r>
      <w:r>
        <w:rPr>
          <w:rFonts w:ascii="宋体" w:hAnsi="宋体"/>
          <w:snapToGrid w:val="0"/>
          <w:kern w:val="0"/>
          <w:position w:val="-2"/>
          <w:szCs w:val="21"/>
        </w:rPr>
        <w:t>（</w:t>
      </w:r>
      <w:r>
        <w:rPr>
          <w:rFonts w:hint="eastAsia" w:ascii="宋体" w:hAnsi="宋体"/>
          <w:snapToGrid w:val="0"/>
          <w:kern w:val="0"/>
          <w:szCs w:val="21"/>
        </w:rPr>
        <w:t>签字</w:t>
      </w:r>
      <w:r>
        <w:rPr>
          <w:rFonts w:ascii="宋体" w:hAnsi="宋体"/>
          <w:snapToGrid w:val="0"/>
          <w:kern w:val="0"/>
          <w:szCs w:val="21"/>
        </w:rPr>
        <w:t>或盖章</w:t>
      </w:r>
      <w:r>
        <w:rPr>
          <w:rFonts w:ascii="宋体" w:hAnsi="宋体"/>
          <w:snapToGrid w:val="0"/>
          <w:kern w:val="0"/>
          <w:position w:val="-2"/>
          <w:szCs w:val="21"/>
        </w:rPr>
        <w:t>）</w:t>
      </w:r>
    </w:p>
    <w:p w14:paraId="598FB937">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w:t>
      </w:r>
      <w:r>
        <w:rPr>
          <w:rFonts w:ascii="宋体" w:hAnsi="宋体"/>
          <w:kern w:val="0"/>
          <w:szCs w:val="21"/>
        </w:rPr>
        <w:t>一名称：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7AA4810B">
      <w:pPr>
        <w:tabs>
          <w:tab w:val="left" w:pos="774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06949AC6">
      <w:pPr>
        <w:tabs>
          <w:tab w:val="left" w:pos="7890"/>
        </w:tabs>
        <w:autoSpaceDE w:val="0"/>
        <w:autoSpaceDN w:val="0"/>
        <w:adjustRightInd w:val="0"/>
        <w:spacing w:line="500" w:lineRule="exact"/>
        <w:ind w:firstLine="420" w:firstLineChars="200"/>
        <w:jc w:val="left"/>
        <w:rPr>
          <w:rFonts w:ascii="宋体" w:hAnsi="宋体"/>
          <w:kern w:val="0"/>
          <w:szCs w:val="21"/>
        </w:rPr>
      </w:pPr>
      <w:r>
        <w:rPr>
          <w:rFonts w:hint="eastAsia" w:ascii="宋体" w:hAnsi="宋体"/>
          <w:kern w:val="0"/>
          <w:szCs w:val="21"/>
        </w:rPr>
        <w:t>联合体其他成员单位二</w:t>
      </w:r>
      <w:r>
        <w:rPr>
          <w:rFonts w:ascii="宋体" w:hAnsi="宋体"/>
          <w:kern w:val="0"/>
          <w:szCs w:val="21"/>
        </w:rPr>
        <w:t>名称：</w:t>
      </w:r>
      <w:r>
        <w:rPr>
          <w:rFonts w:hint="eastAsia" w:ascii="宋体" w:hAnsi="宋体"/>
          <w:kern w:val="0"/>
          <w:szCs w:val="21"/>
          <w:u w:val="single"/>
        </w:rPr>
        <w:t xml:space="preserve">                                    </w:t>
      </w:r>
      <w:r>
        <w:rPr>
          <w:rFonts w:hint="eastAsia" w:ascii="宋体" w:hAnsi="宋体"/>
          <w:kern w:val="0"/>
          <w:szCs w:val="21"/>
        </w:rPr>
        <w:t>（</w:t>
      </w:r>
      <w:r>
        <w:rPr>
          <w:rFonts w:ascii="宋体" w:hAnsi="宋体"/>
          <w:kern w:val="0"/>
          <w:szCs w:val="21"/>
        </w:rPr>
        <w:t>盖单位法人章）</w:t>
      </w:r>
    </w:p>
    <w:p w14:paraId="3461C6E1">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法定代表人或其委托代理人</w:t>
      </w:r>
      <w:r>
        <w:rPr>
          <w:rFonts w:hint="eastAsia" w:ascii="宋体" w:hAnsi="宋体"/>
          <w:kern w:val="0"/>
          <w:szCs w:val="21"/>
        </w:rPr>
        <w:t>：</w:t>
      </w:r>
      <w:r>
        <w:rPr>
          <w:rFonts w:hint="eastAsia" w:ascii="宋体" w:hAnsi="宋体"/>
          <w:kern w:val="0"/>
          <w:szCs w:val="21"/>
          <w:u w:val="single"/>
        </w:rPr>
        <w:t xml:space="preserve">                                    </w:t>
      </w:r>
      <w:r>
        <w:rPr>
          <w:rFonts w:ascii="宋体" w:hAnsi="宋体"/>
          <w:spacing w:val="-1"/>
          <w:kern w:val="0"/>
          <w:szCs w:val="21"/>
        </w:rPr>
        <w:t>（</w:t>
      </w:r>
      <w:r>
        <w:rPr>
          <w:rFonts w:hint="eastAsia" w:ascii="宋体" w:hAnsi="宋体"/>
          <w:kern w:val="0"/>
          <w:szCs w:val="21"/>
        </w:rPr>
        <w:t>签字</w:t>
      </w:r>
      <w:r>
        <w:rPr>
          <w:rFonts w:ascii="宋体" w:hAnsi="宋体"/>
          <w:snapToGrid w:val="0"/>
          <w:kern w:val="0"/>
          <w:szCs w:val="21"/>
        </w:rPr>
        <w:t>或盖章</w:t>
      </w:r>
      <w:r>
        <w:rPr>
          <w:rFonts w:ascii="宋体" w:hAnsi="宋体"/>
          <w:kern w:val="0"/>
          <w:szCs w:val="21"/>
        </w:rPr>
        <w:t>）</w:t>
      </w:r>
    </w:p>
    <w:p w14:paraId="2AA48454">
      <w:pPr>
        <w:tabs>
          <w:tab w:val="left" w:pos="5140"/>
          <w:tab w:val="left" w:pos="6100"/>
          <w:tab w:val="left" w:pos="6820"/>
        </w:tabs>
        <w:autoSpaceDE w:val="0"/>
        <w:autoSpaceDN w:val="0"/>
        <w:adjustRightInd w:val="0"/>
        <w:spacing w:line="500" w:lineRule="exact"/>
        <w:ind w:firstLine="420" w:firstLineChars="200"/>
        <w:jc w:val="left"/>
        <w:rPr>
          <w:rFonts w:ascii="宋体" w:hAnsi="宋体"/>
          <w:kern w:val="0"/>
          <w:szCs w:val="21"/>
        </w:rPr>
      </w:pPr>
      <w:r>
        <w:rPr>
          <w:rFonts w:ascii="宋体" w:hAnsi="宋体"/>
          <w:kern w:val="0"/>
          <w:szCs w:val="21"/>
        </w:rPr>
        <w:t>……</w:t>
      </w:r>
    </w:p>
    <w:p w14:paraId="469829A9">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kern w:val="0"/>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22DB65DD">
      <w:pPr>
        <w:spacing w:line="360" w:lineRule="auto"/>
        <w:jc w:val="center"/>
        <w:rPr>
          <w:rFonts w:ascii="宋体" w:hAnsi="宋体"/>
          <w:snapToGrid w:val="0"/>
          <w:szCs w:val="21"/>
        </w:rPr>
      </w:pPr>
    </w:p>
    <w:p w14:paraId="3A63227B">
      <w:pPr>
        <w:spacing w:line="500" w:lineRule="exact"/>
        <w:ind w:firstLine="420" w:firstLineChars="200"/>
        <w:jc w:val="left"/>
        <w:rPr>
          <w:rFonts w:ascii="宋体" w:hAnsi="宋体"/>
          <w:snapToGrid w:val="0"/>
          <w:szCs w:val="21"/>
        </w:rPr>
      </w:pPr>
      <w:r>
        <w:rPr>
          <w:rFonts w:ascii="宋体" w:hAnsi="宋体"/>
          <w:snapToGrid w:val="0"/>
          <w:szCs w:val="21"/>
        </w:rPr>
        <w:t>注：</w:t>
      </w:r>
      <w:r>
        <w:rPr>
          <w:rFonts w:hint="eastAsia" w:ascii="宋体" w:hAnsi="宋体"/>
          <w:snapToGrid w:val="0"/>
          <w:szCs w:val="21"/>
        </w:rPr>
        <w:t>1.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p w14:paraId="5CE0722C">
      <w:pPr>
        <w:spacing w:line="500" w:lineRule="exact"/>
        <w:ind w:firstLine="420" w:firstLineChars="200"/>
        <w:jc w:val="left"/>
        <w:rPr>
          <w:rFonts w:ascii="宋体" w:hAnsi="宋体"/>
          <w:szCs w:val="21"/>
        </w:rPr>
      </w:pPr>
      <w:r>
        <w:rPr>
          <w:rFonts w:hint="eastAsia" w:ascii="宋体" w:hAnsi="宋体"/>
          <w:snapToGrid w:val="0"/>
          <w:szCs w:val="21"/>
        </w:rPr>
        <w:t>2.</w:t>
      </w:r>
      <w:r>
        <w:rPr>
          <w:rFonts w:ascii="宋体" w:hAnsi="宋体"/>
          <w:snapToGrid w:val="0"/>
          <w:szCs w:val="21"/>
        </w:rPr>
        <w:t>本协议书由委托代理人</w:t>
      </w:r>
      <w:r>
        <w:rPr>
          <w:rFonts w:hint="eastAsia" w:ascii="宋体" w:hAnsi="宋体"/>
          <w:snapToGrid w:val="0"/>
          <w:szCs w:val="21"/>
        </w:rPr>
        <w:t>签字</w:t>
      </w:r>
      <w:r>
        <w:rPr>
          <w:rFonts w:ascii="宋体" w:hAnsi="宋体"/>
          <w:snapToGrid w:val="0"/>
          <w:szCs w:val="21"/>
        </w:rPr>
        <w:t>或盖章的，应附法定代表人</w:t>
      </w:r>
      <w:r>
        <w:rPr>
          <w:rFonts w:hint="eastAsia" w:ascii="宋体" w:hAnsi="宋体"/>
          <w:snapToGrid w:val="0"/>
          <w:szCs w:val="21"/>
        </w:rPr>
        <w:t>签字</w:t>
      </w:r>
      <w:r>
        <w:rPr>
          <w:rFonts w:ascii="宋体" w:hAnsi="宋体"/>
          <w:snapToGrid w:val="0"/>
          <w:szCs w:val="21"/>
        </w:rPr>
        <w:t>或盖章的授权委托书。</w:t>
      </w:r>
    </w:p>
    <w:p w14:paraId="4B244BEE">
      <w:pPr>
        <w:spacing w:line="20" w:lineRule="exact"/>
        <w:jc w:val="center"/>
        <w:rPr>
          <w:rFonts w:ascii="宋体" w:hAnsi="宋体"/>
          <w:szCs w:val="21"/>
        </w:rPr>
      </w:pPr>
    </w:p>
    <w:p w14:paraId="14DBEC28">
      <w:pPr>
        <w:pStyle w:val="5"/>
        <w:spacing w:before="0" w:after="0" w:line="240" w:lineRule="auto"/>
        <w:jc w:val="center"/>
        <w:rPr>
          <w:rFonts w:ascii="宋体" w:hAnsi="宋体"/>
        </w:rPr>
      </w:pPr>
      <w:r>
        <w:rPr>
          <w:rFonts w:ascii="宋体" w:hAnsi="宋体"/>
          <w:szCs w:val="21"/>
        </w:rPr>
        <w:br w:type="page"/>
      </w:r>
      <w:bookmarkStart w:id="2089" w:name="_Toc2293"/>
      <w:r>
        <w:rPr>
          <w:rFonts w:hint="eastAsia" w:ascii="宋体" w:hAnsi="宋体"/>
          <w:b w:val="0"/>
          <w:bCs w:val="0"/>
        </w:rPr>
        <w:t>（三）投标人基本情况表</w:t>
      </w:r>
      <w:bookmarkEnd w:id="2089"/>
    </w:p>
    <w:tbl>
      <w:tblPr>
        <w:tblStyle w:val="4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14:paraId="06D28C1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BC8E09C">
            <w:pPr>
              <w:autoSpaceDE w:val="0"/>
              <w:autoSpaceDN w:val="0"/>
              <w:adjustRightInd w:val="0"/>
              <w:snapToGrid w:val="0"/>
              <w:jc w:val="center"/>
              <w:rPr>
                <w:rFonts w:ascii="宋体" w:hAnsi="宋体"/>
                <w:kern w:val="0"/>
                <w:szCs w:val="21"/>
              </w:rPr>
            </w:pPr>
            <w:r>
              <w:rPr>
                <w:rFonts w:hint="eastAsia" w:ascii="宋体" w:hAnsi="宋体" w:cs="MingLiU"/>
                <w:kern w:val="0"/>
                <w:szCs w:val="21"/>
              </w:rPr>
              <w:t>投标人名称</w:t>
            </w:r>
          </w:p>
        </w:tc>
        <w:tc>
          <w:tcPr>
            <w:tcW w:w="7607" w:type="dxa"/>
            <w:gridSpan w:val="9"/>
            <w:vAlign w:val="center"/>
          </w:tcPr>
          <w:p w14:paraId="1E0FCE73">
            <w:pPr>
              <w:autoSpaceDE w:val="0"/>
              <w:autoSpaceDN w:val="0"/>
              <w:adjustRightInd w:val="0"/>
              <w:snapToGrid w:val="0"/>
              <w:jc w:val="center"/>
              <w:rPr>
                <w:rFonts w:ascii="宋体" w:hAnsi="宋体"/>
                <w:kern w:val="0"/>
                <w:szCs w:val="21"/>
              </w:rPr>
            </w:pPr>
          </w:p>
        </w:tc>
      </w:tr>
      <w:tr w14:paraId="7DED517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7FE5B01C">
            <w:pPr>
              <w:autoSpaceDE w:val="0"/>
              <w:autoSpaceDN w:val="0"/>
              <w:adjustRightInd w:val="0"/>
              <w:snapToGrid w:val="0"/>
              <w:jc w:val="center"/>
              <w:rPr>
                <w:rFonts w:ascii="宋体" w:hAnsi="宋体"/>
                <w:kern w:val="0"/>
                <w:szCs w:val="21"/>
              </w:rPr>
            </w:pPr>
            <w:r>
              <w:rPr>
                <w:rFonts w:hint="eastAsia" w:ascii="宋体" w:hAnsi="宋体" w:cs="MingLiU"/>
                <w:kern w:val="0"/>
                <w:szCs w:val="21"/>
              </w:rPr>
              <w:t>注册地址</w:t>
            </w:r>
          </w:p>
        </w:tc>
        <w:tc>
          <w:tcPr>
            <w:tcW w:w="3450" w:type="dxa"/>
            <w:gridSpan w:val="5"/>
            <w:vAlign w:val="center"/>
          </w:tcPr>
          <w:p w14:paraId="32830ECE">
            <w:pPr>
              <w:autoSpaceDE w:val="0"/>
              <w:autoSpaceDN w:val="0"/>
              <w:adjustRightInd w:val="0"/>
              <w:snapToGrid w:val="0"/>
              <w:jc w:val="center"/>
              <w:rPr>
                <w:rFonts w:ascii="宋体" w:hAnsi="宋体"/>
                <w:kern w:val="0"/>
                <w:szCs w:val="21"/>
              </w:rPr>
            </w:pPr>
          </w:p>
        </w:tc>
        <w:tc>
          <w:tcPr>
            <w:tcW w:w="1392" w:type="dxa"/>
            <w:vAlign w:val="center"/>
          </w:tcPr>
          <w:p w14:paraId="0822A0BE">
            <w:pPr>
              <w:autoSpaceDE w:val="0"/>
              <w:autoSpaceDN w:val="0"/>
              <w:adjustRightInd w:val="0"/>
              <w:snapToGrid w:val="0"/>
              <w:jc w:val="center"/>
              <w:rPr>
                <w:rFonts w:ascii="宋体" w:hAnsi="宋体"/>
                <w:kern w:val="0"/>
                <w:szCs w:val="21"/>
              </w:rPr>
            </w:pPr>
            <w:r>
              <w:rPr>
                <w:rFonts w:hint="eastAsia" w:ascii="宋体" w:hAnsi="宋体" w:cs="MingLiU"/>
                <w:kern w:val="0"/>
                <w:szCs w:val="21"/>
              </w:rPr>
              <w:t>邮政编码</w:t>
            </w:r>
          </w:p>
        </w:tc>
        <w:tc>
          <w:tcPr>
            <w:tcW w:w="2765" w:type="dxa"/>
            <w:gridSpan w:val="3"/>
            <w:vAlign w:val="center"/>
          </w:tcPr>
          <w:p w14:paraId="69B0AE92">
            <w:pPr>
              <w:autoSpaceDE w:val="0"/>
              <w:autoSpaceDN w:val="0"/>
              <w:adjustRightInd w:val="0"/>
              <w:snapToGrid w:val="0"/>
              <w:jc w:val="center"/>
              <w:rPr>
                <w:rFonts w:ascii="宋体" w:hAnsi="宋体"/>
                <w:kern w:val="0"/>
                <w:szCs w:val="21"/>
              </w:rPr>
            </w:pPr>
          </w:p>
        </w:tc>
      </w:tr>
      <w:tr w14:paraId="2715581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14:paraId="2463745A">
            <w:pPr>
              <w:autoSpaceDE w:val="0"/>
              <w:autoSpaceDN w:val="0"/>
              <w:adjustRightInd w:val="0"/>
              <w:snapToGrid w:val="0"/>
              <w:jc w:val="center"/>
              <w:rPr>
                <w:rFonts w:ascii="宋体" w:hAnsi="宋体"/>
                <w:kern w:val="0"/>
                <w:szCs w:val="21"/>
              </w:rPr>
            </w:pPr>
            <w:r>
              <w:rPr>
                <w:rFonts w:hint="eastAsia" w:ascii="宋体" w:hAnsi="宋体" w:cs="MingLiU"/>
                <w:kern w:val="0"/>
                <w:szCs w:val="21"/>
              </w:rPr>
              <w:t>联系方式</w:t>
            </w:r>
          </w:p>
        </w:tc>
        <w:tc>
          <w:tcPr>
            <w:tcW w:w="967" w:type="dxa"/>
            <w:vAlign w:val="center"/>
          </w:tcPr>
          <w:p w14:paraId="542CB24B">
            <w:pPr>
              <w:autoSpaceDE w:val="0"/>
              <w:autoSpaceDN w:val="0"/>
              <w:adjustRightInd w:val="0"/>
              <w:snapToGrid w:val="0"/>
              <w:jc w:val="center"/>
              <w:rPr>
                <w:rFonts w:ascii="宋体" w:hAnsi="宋体"/>
                <w:kern w:val="0"/>
                <w:szCs w:val="21"/>
              </w:rPr>
            </w:pPr>
            <w:r>
              <w:rPr>
                <w:rFonts w:hint="eastAsia" w:ascii="宋体" w:hAnsi="宋体" w:cs="MingLiU"/>
                <w:kern w:val="0"/>
                <w:szCs w:val="21"/>
              </w:rPr>
              <w:t>联系人</w:t>
            </w:r>
          </w:p>
        </w:tc>
        <w:tc>
          <w:tcPr>
            <w:tcW w:w="2483" w:type="dxa"/>
            <w:gridSpan w:val="4"/>
            <w:vAlign w:val="center"/>
          </w:tcPr>
          <w:p w14:paraId="4AE8B2FD">
            <w:pPr>
              <w:autoSpaceDE w:val="0"/>
              <w:autoSpaceDN w:val="0"/>
              <w:adjustRightInd w:val="0"/>
              <w:snapToGrid w:val="0"/>
              <w:jc w:val="center"/>
              <w:rPr>
                <w:rFonts w:ascii="宋体" w:hAnsi="宋体"/>
                <w:kern w:val="0"/>
                <w:szCs w:val="21"/>
              </w:rPr>
            </w:pPr>
          </w:p>
        </w:tc>
        <w:tc>
          <w:tcPr>
            <w:tcW w:w="1392" w:type="dxa"/>
            <w:vAlign w:val="center"/>
          </w:tcPr>
          <w:p w14:paraId="32B6338D">
            <w:pPr>
              <w:autoSpaceDE w:val="0"/>
              <w:autoSpaceDN w:val="0"/>
              <w:adjustRightInd w:val="0"/>
              <w:snapToGrid w:val="0"/>
              <w:jc w:val="center"/>
              <w:rPr>
                <w:rFonts w:ascii="宋体" w:hAnsi="宋体"/>
                <w:kern w:val="0"/>
                <w:szCs w:val="21"/>
              </w:rPr>
            </w:pPr>
            <w:r>
              <w:rPr>
                <w:rFonts w:hint="eastAsia" w:ascii="宋体" w:hAnsi="宋体" w:cs="MingLiU"/>
                <w:kern w:val="0"/>
                <w:szCs w:val="21"/>
              </w:rPr>
              <w:t>电话</w:t>
            </w:r>
          </w:p>
        </w:tc>
        <w:tc>
          <w:tcPr>
            <w:tcW w:w="2765" w:type="dxa"/>
            <w:gridSpan w:val="3"/>
            <w:vAlign w:val="center"/>
          </w:tcPr>
          <w:p w14:paraId="312F8C61">
            <w:pPr>
              <w:autoSpaceDE w:val="0"/>
              <w:autoSpaceDN w:val="0"/>
              <w:adjustRightInd w:val="0"/>
              <w:snapToGrid w:val="0"/>
              <w:jc w:val="center"/>
              <w:rPr>
                <w:rFonts w:ascii="宋体" w:hAnsi="宋体"/>
                <w:kern w:val="0"/>
                <w:szCs w:val="21"/>
              </w:rPr>
            </w:pPr>
          </w:p>
        </w:tc>
      </w:tr>
      <w:tr w14:paraId="0C7556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14:paraId="143665FB">
            <w:pPr>
              <w:autoSpaceDE w:val="0"/>
              <w:autoSpaceDN w:val="0"/>
              <w:adjustRightInd w:val="0"/>
              <w:snapToGrid w:val="0"/>
              <w:jc w:val="center"/>
              <w:rPr>
                <w:rFonts w:ascii="宋体" w:hAnsi="宋体"/>
                <w:kern w:val="0"/>
                <w:szCs w:val="21"/>
              </w:rPr>
            </w:pPr>
          </w:p>
        </w:tc>
        <w:tc>
          <w:tcPr>
            <w:tcW w:w="967" w:type="dxa"/>
            <w:vAlign w:val="center"/>
          </w:tcPr>
          <w:p w14:paraId="6018BFEC">
            <w:pPr>
              <w:tabs>
                <w:tab w:val="left" w:pos="540"/>
              </w:tabs>
              <w:autoSpaceDE w:val="0"/>
              <w:autoSpaceDN w:val="0"/>
              <w:adjustRightInd w:val="0"/>
              <w:snapToGrid w:val="0"/>
              <w:jc w:val="center"/>
              <w:rPr>
                <w:rFonts w:ascii="宋体" w:hAnsi="宋体"/>
                <w:kern w:val="0"/>
                <w:szCs w:val="21"/>
              </w:rPr>
            </w:pPr>
            <w:r>
              <w:rPr>
                <w:rFonts w:hint="eastAsia" w:ascii="宋体" w:hAnsi="宋体" w:cs="MingLiU"/>
                <w:kern w:val="0"/>
                <w:szCs w:val="21"/>
              </w:rPr>
              <w:t>传  真</w:t>
            </w:r>
          </w:p>
        </w:tc>
        <w:tc>
          <w:tcPr>
            <w:tcW w:w="2483" w:type="dxa"/>
            <w:gridSpan w:val="4"/>
            <w:vAlign w:val="center"/>
          </w:tcPr>
          <w:p w14:paraId="0D859F19">
            <w:pPr>
              <w:autoSpaceDE w:val="0"/>
              <w:autoSpaceDN w:val="0"/>
              <w:adjustRightInd w:val="0"/>
              <w:snapToGrid w:val="0"/>
              <w:jc w:val="center"/>
              <w:rPr>
                <w:rFonts w:ascii="宋体" w:hAnsi="宋体"/>
                <w:kern w:val="0"/>
                <w:szCs w:val="21"/>
              </w:rPr>
            </w:pPr>
          </w:p>
        </w:tc>
        <w:tc>
          <w:tcPr>
            <w:tcW w:w="1392" w:type="dxa"/>
            <w:vAlign w:val="center"/>
          </w:tcPr>
          <w:p w14:paraId="50B63BC5">
            <w:pPr>
              <w:autoSpaceDE w:val="0"/>
              <w:autoSpaceDN w:val="0"/>
              <w:adjustRightInd w:val="0"/>
              <w:snapToGrid w:val="0"/>
              <w:jc w:val="center"/>
              <w:rPr>
                <w:rFonts w:ascii="宋体" w:hAnsi="宋体"/>
                <w:kern w:val="0"/>
                <w:szCs w:val="21"/>
              </w:rPr>
            </w:pPr>
            <w:r>
              <w:rPr>
                <w:rFonts w:hint="eastAsia" w:ascii="宋体" w:hAnsi="宋体" w:cs="MingLiU"/>
                <w:kern w:val="0"/>
                <w:szCs w:val="21"/>
              </w:rPr>
              <w:t>网址</w:t>
            </w:r>
          </w:p>
        </w:tc>
        <w:tc>
          <w:tcPr>
            <w:tcW w:w="2765" w:type="dxa"/>
            <w:gridSpan w:val="3"/>
            <w:vAlign w:val="center"/>
          </w:tcPr>
          <w:p w14:paraId="3AC83A71">
            <w:pPr>
              <w:autoSpaceDE w:val="0"/>
              <w:autoSpaceDN w:val="0"/>
              <w:adjustRightInd w:val="0"/>
              <w:snapToGrid w:val="0"/>
              <w:jc w:val="center"/>
              <w:rPr>
                <w:rFonts w:ascii="宋体" w:hAnsi="宋体"/>
                <w:kern w:val="0"/>
                <w:szCs w:val="21"/>
              </w:rPr>
            </w:pPr>
          </w:p>
        </w:tc>
      </w:tr>
      <w:tr w14:paraId="74D478F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07D73659">
            <w:pPr>
              <w:autoSpaceDE w:val="0"/>
              <w:autoSpaceDN w:val="0"/>
              <w:adjustRightInd w:val="0"/>
              <w:snapToGrid w:val="0"/>
              <w:jc w:val="center"/>
              <w:rPr>
                <w:rFonts w:ascii="宋体" w:hAnsi="宋体"/>
                <w:kern w:val="0"/>
                <w:szCs w:val="21"/>
              </w:rPr>
            </w:pPr>
            <w:r>
              <w:rPr>
                <w:rFonts w:hint="eastAsia" w:ascii="宋体" w:hAnsi="宋体" w:cs="MingLiU"/>
                <w:kern w:val="0"/>
                <w:szCs w:val="21"/>
              </w:rPr>
              <w:t>组织结构</w:t>
            </w:r>
          </w:p>
        </w:tc>
        <w:tc>
          <w:tcPr>
            <w:tcW w:w="7607" w:type="dxa"/>
            <w:gridSpan w:val="9"/>
            <w:vAlign w:val="center"/>
          </w:tcPr>
          <w:p w14:paraId="2308A3D4">
            <w:pPr>
              <w:autoSpaceDE w:val="0"/>
              <w:autoSpaceDN w:val="0"/>
              <w:adjustRightInd w:val="0"/>
              <w:snapToGrid w:val="0"/>
              <w:jc w:val="center"/>
              <w:rPr>
                <w:rFonts w:ascii="宋体" w:hAnsi="宋体"/>
                <w:kern w:val="0"/>
                <w:szCs w:val="21"/>
              </w:rPr>
            </w:pPr>
          </w:p>
        </w:tc>
      </w:tr>
      <w:tr w14:paraId="0E4A99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8B75912">
            <w:pPr>
              <w:autoSpaceDE w:val="0"/>
              <w:autoSpaceDN w:val="0"/>
              <w:adjustRightInd w:val="0"/>
              <w:snapToGrid w:val="0"/>
              <w:jc w:val="center"/>
              <w:rPr>
                <w:rFonts w:ascii="宋体" w:hAnsi="宋体"/>
                <w:kern w:val="0"/>
                <w:szCs w:val="21"/>
              </w:rPr>
            </w:pPr>
            <w:r>
              <w:rPr>
                <w:rFonts w:hint="eastAsia" w:ascii="宋体" w:hAnsi="宋体" w:cs="MingLiU"/>
                <w:kern w:val="0"/>
                <w:szCs w:val="21"/>
              </w:rPr>
              <w:t>法定代表人</w:t>
            </w:r>
          </w:p>
        </w:tc>
        <w:tc>
          <w:tcPr>
            <w:tcW w:w="967" w:type="dxa"/>
            <w:vAlign w:val="center"/>
          </w:tcPr>
          <w:p w14:paraId="5EA73229">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4DC4D01">
            <w:pPr>
              <w:autoSpaceDE w:val="0"/>
              <w:autoSpaceDN w:val="0"/>
              <w:adjustRightInd w:val="0"/>
              <w:snapToGrid w:val="0"/>
              <w:jc w:val="center"/>
              <w:rPr>
                <w:rFonts w:ascii="宋体" w:hAnsi="宋体"/>
                <w:kern w:val="0"/>
                <w:szCs w:val="21"/>
              </w:rPr>
            </w:pPr>
          </w:p>
        </w:tc>
        <w:tc>
          <w:tcPr>
            <w:tcW w:w="1356" w:type="dxa"/>
            <w:gridSpan w:val="2"/>
            <w:vAlign w:val="center"/>
          </w:tcPr>
          <w:p w14:paraId="345F501B">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0CD2276D">
            <w:pPr>
              <w:autoSpaceDE w:val="0"/>
              <w:autoSpaceDN w:val="0"/>
              <w:adjustRightInd w:val="0"/>
              <w:snapToGrid w:val="0"/>
              <w:jc w:val="center"/>
              <w:rPr>
                <w:rFonts w:ascii="宋体" w:hAnsi="宋体"/>
                <w:kern w:val="0"/>
                <w:szCs w:val="21"/>
              </w:rPr>
            </w:pPr>
          </w:p>
        </w:tc>
        <w:tc>
          <w:tcPr>
            <w:tcW w:w="925" w:type="dxa"/>
            <w:vAlign w:val="center"/>
          </w:tcPr>
          <w:p w14:paraId="31488162">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6910FC36">
            <w:pPr>
              <w:autoSpaceDE w:val="0"/>
              <w:autoSpaceDN w:val="0"/>
              <w:adjustRightInd w:val="0"/>
              <w:snapToGrid w:val="0"/>
              <w:jc w:val="center"/>
              <w:rPr>
                <w:rFonts w:ascii="宋体" w:hAnsi="宋体"/>
                <w:kern w:val="0"/>
                <w:szCs w:val="21"/>
              </w:rPr>
            </w:pPr>
          </w:p>
        </w:tc>
      </w:tr>
      <w:tr w14:paraId="0113F9F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2D3F8E6B">
            <w:pPr>
              <w:autoSpaceDE w:val="0"/>
              <w:autoSpaceDN w:val="0"/>
              <w:adjustRightInd w:val="0"/>
              <w:snapToGrid w:val="0"/>
              <w:jc w:val="center"/>
              <w:rPr>
                <w:rFonts w:ascii="宋体" w:hAnsi="宋体"/>
                <w:kern w:val="0"/>
                <w:szCs w:val="21"/>
              </w:rPr>
            </w:pPr>
            <w:r>
              <w:rPr>
                <w:rFonts w:hint="eastAsia" w:ascii="宋体" w:hAnsi="宋体" w:cs="MingLiU"/>
                <w:kern w:val="0"/>
                <w:szCs w:val="21"/>
              </w:rPr>
              <w:t>技术负责人</w:t>
            </w:r>
          </w:p>
        </w:tc>
        <w:tc>
          <w:tcPr>
            <w:tcW w:w="967" w:type="dxa"/>
            <w:vAlign w:val="center"/>
          </w:tcPr>
          <w:p w14:paraId="2CC653E9">
            <w:pPr>
              <w:autoSpaceDE w:val="0"/>
              <w:autoSpaceDN w:val="0"/>
              <w:adjustRightInd w:val="0"/>
              <w:snapToGrid w:val="0"/>
              <w:jc w:val="center"/>
              <w:rPr>
                <w:rFonts w:ascii="宋体" w:hAnsi="宋体"/>
                <w:kern w:val="0"/>
                <w:szCs w:val="21"/>
              </w:rPr>
            </w:pPr>
            <w:r>
              <w:rPr>
                <w:rFonts w:hint="eastAsia" w:ascii="宋体" w:hAnsi="宋体" w:cs="MingLiU"/>
                <w:kern w:val="0"/>
                <w:szCs w:val="21"/>
              </w:rPr>
              <w:t>姓  名</w:t>
            </w:r>
          </w:p>
        </w:tc>
        <w:tc>
          <w:tcPr>
            <w:tcW w:w="1024" w:type="dxa"/>
            <w:vAlign w:val="center"/>
          </w:tcPr>
          <w:p w14:paraId="446FA298">
            <w:pPr>
              <w:autoSpaceDE w:val="0"/>
              <w:autoSpaceDN w:val="0"/>
              <w:adjustRightInd w:val="0"/>
              <w:snapToGrid w:val="0"/>
              <w:jc w:val="center"/>
              <w:rPr>
                <w:rFonts w:ascii="宋体" w:hAnsi="宋体"/>
                <w:kern w:val="0"/>
                <w:szCs w:val="21"/>
              </w:rPr>
            </w:pPr>
          </w:p>
        </w:tc>
        <w:tc>
          <w:tcPr>
            <w:tcW w:w="1356" w:type="dxa"/>
            <w:gridSpan w:val="2"/>
            <w:vAlign w:val="center"/>
          </w:tcPr>
          <w:p w14:paraId="1E2A5735">
            <w:pPr>
              <w:autoSpaceDE w:val="0"/>
              <w:autoSpaceDN w:val="0"/>
              <w:adjustRightInd w:val="0"/>
              <w:snapToGrid w:val="0"/>
              <w:jc w:val="center"/>
              <w:rPr>
                <w:rFonts w:ascii="宋体" w:hAnsi="宋体"/>
                <w:kern w:val="0"/>
                <w:szCs w:val="21"/>
              </w:rPr>
            </w:pPr>
            <w:r>
              <w:rPr>
                <w:rFonts w:hint="eastAsia" w:ascii="宋体" w:hAnsi="宋体" w:cs="MingLiU"/>
                <w:kern w:val="0"/>
                <w:szCs w:val="21"/>
              </w:rPr>
              <w:t>技术职称</w:t>
            </w:r>
          </w:p>
        </w:tc>
        <w:tc>
          <w:tcPr>
            <w:tcW w:w="2024" w:type="dxa"/>
            <w:gridSpan w:val="3"/>
            <w:vAlign w:val="center"/>
          </w:tcPr>
          <w:p w14:paraId="20ACF977">
            <w:pPr>
              <w:autoSpaceDE w:val="0"/>
              <w:autoSpaceDN w:val="0"/>
              <w:adjustRightInd w:val="0"/>
              <w:snapToGrid w:val="0"/>
              <w:jc w:val="center"/>
              <w:rPr>
                <w:rFonts w:ascii="宋体" w:hAnsi="宋体"/>
                <w:kern w:val="0"/>
                <w:szCs w:val="21"/>
              </w:rPr>
            </w:pPr>
          </w:p>
        </w:tc>
        <w:tc>
          <w:tcPr>
            <w:tcW w:w="925" w:type="dxa"/>
            <w:vAlign w:val="center"/>
          </w:tcPr>
          <w:p w14:paraId="50AA6CCD">
            <w:pPr>
              <w:autoSpaceDE w:val="0"/>
              <w:autoSpaceDN w:val="0"/>
              <w:adjustRightInd w:val="0"/>
              <w:snapToGrid w:val="0"/>
              <w:jc w:val="center"/>
              <w:rPr>
                <w:rFonts w:ascii="宋体" w:hAnsi="宋体"/>
                <w:kern w:val="0"/>
                <w:szCs w:val="21"/>
              </w:rPr>
            </w:pPr>
            <w:r>
              <w:rPr>
                <w:rFonts w:hint="eastAsia" w:ascii="宋体" w:hAnsi="宋体" w:cs="MingLiU"/>
                <w:kern w:val="0"/>
                <w:szCs w:val="21"/>
              </w:rPr>
              <w:t>电  话</w:t>
            </w:r>
          </w:p>
        </w:tc>
        <w:tc>
          <w:tcPr>
            <w:tcW w:w="1311" w:type="dxa"/>
            <w:vAlign w:val="center"/>
          </w:tcPr>
          <w:p w14:paraId="3073C1E8">
            <w:pPr>
              <w:autoSpaceDE w:val="0"/>
              <w:autoSpaceDN w:val="0"/>
              <w:adjustRightInd w:val="0"/>
              <w:snapToGrid w:val="0"/>
              <w:jc w:val="center"/>
              <w:rPr>
                <w:rFonts w:ascii="宋体" w:hAnsi="宋体"/>
                <w:kern w:val="0"/>
                <w:szCs w:val="21"/>
              </w:rPr>
            </w:pPr>
          </w:p>
        </w:tc>
      </w:tr>
      <w:tr w14:paraId="6FF83D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04858E2">
            <w:pPr>
              <w:autoSpaceDE w:val="0"/>
              <w:autoSpaceDN w:val="0"/>
              <w:adjustRightInd w:val="0"/>
              <w:snapToGrid w:val="0"/>
              <w:jc w:val="center"/>
              <w:rPr>
                <w:rFonts w:ascii="宋体" w:hAnsi="宋体"/>
                <w:kern w:val="0"/>
                <w:szCs w:val="21"/>
              </w:rPr>
            </w:pPr>
            <w:r>
              <w:rPr>
                <w:rFonts w:hint="eastAsia" w:ascii="宋体" w:hAnsi="宋体" w:cs="MingLiU"/>
                <w:kern w:val="0"/>
                <w:szCs w:val="21"/>
              </w:rPr>
              <w:t>成立时间</w:t>
            </w:r>
          </w:p>
        </w:tc>
        <w:tc>
          <w:tcPr>
            <w:tcW w:w="1991" w:type="dxa"/>
            <w:gridSpan w:val="2"/>
            <w:vAlign w:val="center"/>
          </w:tcPr>
          <w:p w14:paraId="163D6A53">
            <w:pPr>
              <w:autoSpaceDE w:val="0"/>
              <w:autoSpaceDN w:val="0"/>
              <w:adjustRightInd w:val="0"/>
              <w:snapToGrid w:val="0"/>
              <w:jc w:val="center"/>
              <w:rPr>
                <w:rFonts w:ascii="宋体" w:hAnsi="宋体"/>
                <w:kern w:val="0"/>
                <w:szCs w:val="21"/>
              </w:rPr>
            </w:pPr>
          </w:p>
        </w:tc>
        <w:tc>
          <w:tcPr>
            <w:tcW w:w="5616" w:type="dxa"/>
            <w:gridSpan w:val="7"/>
            <w:vAlign w:val="center"/>
          </w:tcPr>
          <w:p w14:paraId="1ED57DBD">
            <w:pPr>
              <w:autoSpaceDE w:val="0"/>
              <w:autoSpaceDN w:val="0"/>
              <w:adjustRightInd w:val="0"/>
              <w:snapToGrid w:val="0"/>
              <w:jc w:val="center"/>
              <w:rPr>
                <w:rFonts w:ascii="宋体" w:hAnsi="宋体"/>
                <w:kern w:val="0"/>
                <w:szCs w:val="21"/>
              </w:rPr>
            </w:pPr>
            <w:r>
              <w:rPr>
                <w:rFonts w:hint="eastAsia" w:ascii="宋体" w:hAnsi="宋体" w:cs="MingLiU"/>
                <w:kern w:val="0"/>
                <w:szCs w:val="21"/>
              </w:rPr>
              <w:t>员工总人数：</w:t>
            </w:r>
          </w:p>
        </w:tc>
      </w:tr>
      <w:tr w14:paraId="121248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100C759">
            <w:pPr>
              <w:autoSpaceDE w:val="0"/>
              <w:autoSpaceDN w:val="0"/>
              <w:adjustRightInd w:val="0"/>
              <w:snapToGrid w:val="0"/>
              <w:jc w:val="center"/>
              <w:rPr>
                <w:rFonts w:ascii="宋体" w:hAnsi="宋体"/>
                <w:kern w:val="0"/>
                <w:szCs w:val="21"/>
              </w:rPr>
            </w:pPr>
            <w:r>
              <w:rPr>
                <w:rFonts w:hint="eastAsia" w:ascii="宋体" w:hAnsi="宋体" w:cs="MingLiU"/>
                <w:kern w:val="0"/>
                <w:szCs w:val="21"/>
              </w:rPr>
              <w:t>企业资质等级</w:t>
            </w:r>
          </w:p>
        </w:tc>
        <w:tc>
          <w:tcPr>
            <w:tcW w:w="1991" w:type="dxa"/>
            <w:gridSpan w:val="2"/>
            <w:vAlign w:val="center"/>
          </w:tcPr>
          <w:p w14:paraId="68BD7C05">
            <w:pPr>
              <w:autoSpaceDE w:val="0"/>
              <w:autoSpaceDN w:val="0"/>
              <w:adjustRightInd w:val="0"/>
              <w:snapToGrid w:val="0"/>
              <w:jc w:val="center"/>
              <w:rPr>
                <w:rFonts w:ascii="宋体" w:hAnsi="宋体"/>
                <w:kern w:val="0"/>
                <w:szCs w:val="21"/>
              </w:rPr>
            </w:pPr>
          </w:p>
        </w:tc>
        <w:tc>
          <w:tcPr>
            <w:tcW w:w="904" w:type="dxa"/>
            <w:vMerge w:val="restart"/>
            <w:vAlign w:val="center"/>
          </w:tcPr>
          <w:p w14:paraId="6BF365C0">
            <w:pPr>
              <w:autoSpaceDE w:val="0"/>
              <w:autoSpaceDN w:val="0"/>
              <w:adjustRightInd w:val="0"/>
              <w:snapToGrid w:val="0"/>
              <w:jc w:val="center"/>
              <w:rPr>
                <w:rFonts w:ascii="宋体" w:hAnsi="宋体"/>
                <w:kern w:val="0"/>
                <w:szCs w:val="21"/>
              </w:rPr>
            </w:pPr>
            <w:r>
              <w:rPr>
                <w:rFonts w:hint="eastAsia" w:ascii="宋体" w:hAnsi="宋体" w:cs="MingLiU"/>
                <w:kern w:val="0"/>
                <w:szCs w:val="21"/>
              </w:rPr>
              <w:t>其中</w:t>
            </w:r>
          </w:p>
        </w:tc>
        <w:tc>
          <w:tcPr>
            <w:tcW w:w="2476" w:type="dxa"/>
            <w:gridSpan w:val="4"/>
            <w:vAlign w:val="center"/>
          </w:tcPr>
          <w:p w14:paraId="0DCE881B">
            <w:pPr>
              <w:autoSpaceDE w:val="0"/>
              <w:autoSpaceDN w:val="0"/>
              <w:adjustRightInd w:val="0"/>
              <w:snapToGrid w:val="0"/>
              <w:jc w:val="center"/>
              <w:rPr>
                <w:rFonts w:ascii="宋体" w:hAnsi="宋体"/>
                <w:kern w:val="0"/>
                <w:szCs w:val="21"/>
              </w:rPr>
            </w:pPr>
            <w:r>
              <w:rPr>
                <w:rFonts w:hint="eastAsia" w:ascii="宋体" w:hAnsi="宋体" w:cs="MingLiU"/>
                <w:kern w:val="0"/>
                <w:szCs w:val="21"/>
              </w:rPr>
              <w:t>项目经理</w:t>
            </w:r>
          </w:p>
        </w:tc>
        <w:tc>
          <w:tcPr>
            <w:tcW w:w="2236" w:type="dxa"/>
            <w:gridSpan w:val="2"/>
            <w:vAlign w:val="center"/>
          </w:tcPr>
          <w:p w14:paraId="36113A31">
            <w:pPr>
              <w:autoSpaceDE w:val="0"/>
              <w:autoSpaceDN w:val="0"/>
              <w:adjustRightInd w:val="0"/>
              <w:snapToGrid w:val="0"/>
              <w:jc w:val="center"/>
              <w:rPr>
                <w:rFonts w:ascii="宋体" w:hAnsi="宋体"/>
                <w:kern w:val="0"/>
                <w:szCs w:val="21"/>
              </w:rPr>
            </w:pPr>
          </w:p>
        </w:tc>
      </w:tr>
      <w:tr w14:paraId="26A1E82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5DAB6C42">
            <w:pPr>
              <w:autoSpaceDE w:val="0"/>
              <w:autoSpaceDN w:val="0"/>
              <w:adjustRightInd w:val="0"/>
              <w:snapToGrid w:val="0"/>
              <w:jc w:val="center"/>
              <w:rPr>
                <w:rFonts w:ascii="宋体" w:hAnsi="宋体"/>
                <w:kern w:val="0"/>
                <w:szCs w:val="21"/>
              </w:rPr>
            </w:pPr>
            <w:r>
              <w:rPr>
                <w:rFonts w:hint="eastAsia" w:ascii="宋体" w:hAnsi="宋体" w:cs="MingLiU"/>
                <w:kern w:val="0"/>
                <w:szCs w:val="21"/>
              </w:rPr>
              <w:t>营业执照号</w:t>
            </w:r>
          </w:p>
        </w:tc>
        <w:tc>
          <w:tcPr>
            <w:tcW w:w="1991" w:type="dxa"/>
            <w:gridSpan w:val="2"/>
            <w:vAlign w:val="center"/>
          </w:tcPr>
          <w:p w14:paraId="3580AA6D">
            <w:pPr>
              <w:autoSpaceDE w:val="0"/>
              <w:autoSpaceDN w:val="0"/>
              <w:adjustRightInd w:val="0"/>
              <w:snapToGrid w:val="0"/>
              <w:jc w:val="center"/>
              <w:rPr>
                <w:rFonts w:ascii="宋体" w:hAnsi="宋体"/>
                <w:kern w:val="0"/>
                <w:szCs w:val="21"/>
              </w:rPr>
            </w:pPr>
          </w:p>
        </w:tc>
        <w:tc>
          <w:tcPr>
            <w:tcW w:w="904" w:type="dxa"/>
            <w:vMerge w:val="continue"/>
            <w:vAlign w:val="center"/>
          </w:tcPr>
          <w:p w14:paraId="0C7C524E">
            <w:pPr>
              <w:autoSpaceDE w:val="0"/>
              <w:autoSpaceDN w:val="0"/>
              <w:adjustRightInd w:val="0"/>
              <w:snapToGrid w:val="0"/>
              <w:jc w:val="center"/>
              <w:rPr>
                <w:rFonts w:ascii="宋体" w:hAnsi="宋体"/>
                <w:kern w:val="0"/>
                <w:szCs w:val="21"/>
              </w:rPr>
            </w:pPr>
          </w:p>
        </w:tc>
        <w:tc>
          <w:tcPr>
            <w:tcW w:w="2476" w:type="dxa"/>
            <w:gridSpan w:val="4"/>
            <w:vAlign w:val="center"/>
          </w:tcPr>
          <w:p w14:paraId="28A910CC">
            <w:pPr>
              <w:autoSpaceDE w:val="0"/>
              <w:autoSpaceDN w:val="0"/>
              <w:adjustRightInd w:val="0"/>
              <w:snapToGrid w:val="0"/>
              <w:jc w:val="center"/>
              <w:rPr>
                <w:rFonts w:ascii="宋体" w:hAnsi="宋体"/>
                <w:kern w:val="0"/>
                <w:szCs w:val="21"/>
              </w:rPr>
            </w:pPr>
            <w:r>
              <w:rPr>
                <w:rFonts w:hint="eastAsia" w:ascii="宋体" w:hAnsi="宋体" w:cs="MingLiU"/>
                <w:kern w:val="0"/>
                <w:szCs w:val="21"/>
              </w:rPr>
              <w:t>高级职称人员</w:t>
            </w:r>
          </w:p>
        </w:tc>
        <w:tc>
          <w:tcPr>
            <w:tcW w:w="2236" w:type="dxa"/>
            <w:gridSpan w:val="2"/>
            <w:vAlign w:val="center"/>
          </w:tcPr>
          <w:p w14:paraId="67CF0BCE">
            <w:pPr>
              <w:autoSpaceDE w:val="0"/>
              <w:autoSpaceDN w:val="0"/>
              <w:adjustRightInd w:val="0"/>
              <w:snapToGrid w:val="0"/>
              <w:jc w:val="center"/>
              <w:rPr>
                <w:rFonts w:ascii="宋体" w:hAnsi="宋体"/>
                <w:kern w:val="0"/>
                <w:szCs w:val="21"/>
              </w:rPr>
            </w:pPr>
          </w:p>
        </w:tc>
      </w:tr>
      <w:tr w14:paraId="776EBC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3F7FFFA">
            <w:pPr>
              <w:autoSpaceDE w:val="0"/>
              <w:autoSpaceDN w:val="0"/>
              <w:adjustRightInd w:val="0"/>
              <w:snapToGrid w:val="0"/>
              <w:jc w:val="center"/>
              <w:rPr>
                <w:rFonts w:ascii="宋体" w:hAnsi="宋体"/>
                <w:kern w:val="0"/>
                <w:szCs w:val="21"/>
              </w:rPr>
            </w:pPr>
            <w:r>
              <w:rPr>
                <w:rFonts w:hint="eastAsia" w:ascii="宋体" w:hAnsi="宋体" w:cs="MingLiU"/>
                <w:kern w:val="0"/>
                <w:szCs w:val="21"/>
              </w:rPr>
              <w:t>注册资金</w:t>
            </w:r>
          </w:p>
        </w:tc>
        <w:tc>
          <w:tcPr>
            <w:tcW w:w="1991" w:type="dxa"/>
            <w:gridSpan w:val="2"/>
            <w:vAlign w:val="center"/>
          </w:tcPr>
          <w:p w14:paraId="7120BE4C">
            <w:pPr>
              <w:autoSpaceDE w:val="0"/>
              <w:autoSpaceDN w:val="0"/>
              <w:adjustRightInd w:val="0"/>
              <w:snapToGrid w:val="0"/>
              <w:jc w:val="center"/>
              <w:rPr>
                <w:rFonts w:ascii="宋体" w:hAnsi="宋体"/>
                <w:kern w:val="0"/>
                <w:szCs w:val="21"/>
              </w:rPr>
            </w:pPr>
          </w:p>
        </w:tc>
        <w:tc>
          <w:tcPr>
            <w:tcW w:w="904" w:type="dxa"/>
            <w:vMerge w:val="continue"/>
            <w:vAlign w:val="center"/>
          </w:tcPr>
          <w:p w14:paraId="74F16BFD">
            <w:pPr>
              <w:autoSpaceDE w:val="0"/>
              <w:autoSpaceDN w:val="0"/>
              <w:adjustRightInd w:val="0"/>
              <w:snapToGrid w:val="0"/>
              <w:jc w:val="center"/>
              <w:rPr>
                <w:rFonts w:ascii="宋体" w:hAnsi="宋体"/>
                <w:kern w:val="0"/>
                <w:szCs w:val="21"/>
              </w:rPr>
            </w:pPr>
          </w:p>
        </w:tc>
        <w:tc>
          <w:tcPr>
            <w:tcW w:w="2476" w:type="dxa"/>
            <w:gridSpan w:val="4"/>
            <w:vAlign w:val="center"/>
          </w:tcPr>
          <w:p w14:paraId="365EAC4D">
            <w:pPr>
              <w:autoSpaceDE w:val="0"/>
              <w:autoSpaceDN w:val="0"/>
              <w:adjustRightInd w:val="0"/>
              <w:snapToGrid w:val="0"/>
              <w:jc w:val="center"/>
              <w:rPr>
                <w:rFonts w:ascii="宋体" w:hAnsi="宋体"/>
                <w:kern w:val="0"/>
                <w:szCs w:val="21"/>
              </w:rPr>
            </w:pPr>
            <w:r>
              <w:rPr>
                <w:rFonts w:hint="eastAsia" w:ascii="宋体" w:hAnsi="宋体" w:cs="MingLiU"/>
                <w:kern w:val="0"/>
                <w:szCs w:val="21"/>
              </w:rPr>
              <w:t>中级职称人员</w:t>
            </w:r>
          </w:p>
        </w:tc>
        <w:tc>
          <w:tcPr>
            <w:tcW w:w="2236" w:type="dxa"/>
            <w:gridSpan w:val="2"/>
            <w:vAlign w:val="center"/>
          </w:tcPr>
          <w:p w14:paraId="28211A61">
            <w:pPr>
              <w:autoSpaceDE w:val="0"/>
              <w:autoSpaceDN w:val="0"/>
              <w:adjustRightInd w:val="0"/>
              <w:snapToGrid w:val="0"/>
              <w:jc w:val="center"/>
              <w:rPr>
                <w:rFonts w:ascii="宋体" w:hAnsi="宋体"/>
                <w:kern w:val="0"/>
                <w:szCs w:val="21"/>
              </w:rPr>
            </w:pPr>
          </w:p>
        </w:tc>
      </w:tr>
      <w:tr w14:paraId="5871864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18278128">
            <w:pPr>
              <w:autoSpaceDE w:val="0"/>
              <w:autoSpaceDN w:val="0"/>
              <w:adjustRightInd w:val="0"/>
              <w:snapToGrid w:val="0"/>
              <w:jc w:val="center"/>
              <w:rPr>
                <w:rFonts w:ascii="宋体" w:hAnsi="宋体"/>
                <w:kern w:val="0"/>
                <w:szCs w:val="21"/>
              </w:rPr>
            </w:pPr>
            <w:r>
              <w:rPr>
                <w:rFonts w:hint="eastAsia" w:ascii="宋体" w:hAnsi="宋体" w:cs="MingLiU"/>
                <w:kern w:val="0"/>
                <w:szCs w:val="21"/>
              </w:rPr>
              <w:t>开户银行</w:t>
            </w:r>
          </w:p>
        </w:tc>
        <w:tc>
          <w:tcPr>
            <w:tcW w:w="1991" w:type="dxa"/>
            <w:gridSpan w:val="2"/>
            <w:vAlign w:val="center"/>
          </w:tcPr>
          <w:p w14:paraId="6C248CBF">
            <w:pPr>
              <w:autoSpaceDE w:val="0"/>
              <w:autoSpaceDN w:val="0"/>
              <w:adjustRightInd w:val="0"/>
              <w:snapToGrid w:val="0"/>
              <w:jc w:val="center"/>
              <w:rPr>
                <w:rFonts w:ascii="宋体" w:hAnsi="宋体"/>
                <w:kern w:val="0"/>
                <w:szCs w:val="21"/>
              </w:rPr>
            </w:pPr>
          </w:p>
        </w:tc>
        <w:tc>
          <w:tcPr>
            <w:tcW w:w="904" w:type="dxa"/>
            <w:vMerge w:val="continue"/>
            <w:vAlign w:val="center"/>
          </w:tcPr>
          <w:p w14:paraId="14DC545F">
            <w:pPr>
              <w:autoSpaceDE w:val="0"/>
              <w:autoSpaceDN w:val="0"/>
              <w:adjustRightInd w:val="0"/>
              <w:snapToGrid w:val="0"/>
              <w:jc w:val="center"/>
              <w:rPr>
                <w:rFonts w:ascii="宋体" w:hAnsi="宋体"/>
                <w:kern w:val="0"/>
                <w:szCs w:val="21"/>
              </w:rPr>
            </w:pPr>
          </w:p>
        </w:tc>
        <w:tc>
          <w:tcPr>
            <w:tcW w:w="2476" w:type="dxa"/>
            <w:gridSpan w:val="4"/>
            <w:vAlign w:val="center"/>
          </w:tcPr>
          <w:p w14:paraId="3189609F">
            <w:pPr>
              <w:autoSpaceDE w:val="0"/>
              <w:autoSpaceDN w:val="0"/>
              <w:adjustRightInd w:val="0"/>
              <w:snapToGrid w:val="0"/>
              <w:jc w:val="center"/>
              <w:rPr>
                <w:rFonts w:ascii="宋体" w:hAnsi="宋体"/>
                <w:kern w:val="0"/>
                <w:szCs w:val="21"/>
              </w:rPr>
            </w:pPr>
            <w:r>
              <w:rPr>
                <w:rFonts w:hint="eastAsia" w:ascii="宋体" w:hAnsi="宋体" w:cs="MingLiU"/>
                <w:kern w:val="0"/>
                <w:szCs w:val="21"/>
              </w:rPr>
              <w:t>初级职称人员</w:t>
            </w:r>
          </w:p>
        </w:tc>
        <w:tc>
          <w:tcPr>
            <w:tcW w:w="2236" w:type="dxa"/>
            <w:gridSpan w:val="2"/>
            <w:vAlign w:val="center"/>
          </w:tcPr>
          <w:p w14:paraId="551E9BCD">
            <w:pPr>
              <w:autoSpaceDE w:val="0"/>
              <w:autoSpaceDN w:val="0"/>
              <w:adjustRightInd w:val="0"/>
              <w:snapToGrid w:val="0"/>
              <w:jc w:val="center"/>
              <w:rPr>
                <w:rFonts w:ascii="宋体" w:hAnsi="宋体"/>
                <w:kern w:val="0"/>
                <w:szCs w:val="21"/>
              </w:rPr>
            </w:pPr>
          </w:p>
        </w:tc>
      </w:tr>
      <w:tr w14:paraId="76134E2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4221722">
            <w:pPr>
              <w:autoSpaceDE w:val="0"/>
              <w:autoSpaceDN w:val="0"/>
              <w:adjustRightInd w:val="0"/>
              <w:snapToGrid w:val="0"/>
              <w:jc w:val="center"/>
              <w:rPr>
                <w:rFonts w:ascii="宋体" w:hAnsi="宋体"/>
                <w:kern w:val="0"/>
                <w:szCs w:val="21"/>
              </w:rPr>
            </w:pPr>
            <w:r>
              <w:rPr>
                <w:rFonts w:hint="eastAsia" w:ascii="宋体" w:hAnsi="宋体"/>
                <w:kern w:val="0"/>
                <w:szCs w:val="21"/>
              </w:rPr>
              <w:t>账号</w:t>
            </w:r>
          </w:p>
        </w:tc>
        <w:tc>
          <w:tcPr>
            <w:tcW w:w="1991" w:type="dxa"/>
            <w:gridSpan w:val="2"/>
            <w:vAlign w:val="center"/>
          </w:tcPr>
          <w:p w14:paraId="77979744">
            <w:pPr>
              <w:autoSpaceDE w:val="0"/>
              <w:autoSpaceDN w:val="0"/>
              <w:adjustRightInd w:val="0"/>
              <w:snapToGrid w:val="0"/>
              <w:jc w:val="center"/>
              <w:rPr>
                <w:rFonts w:ascii="宋体" w:hAnsi="宋体"/>
                <w:kern w:val="0"/>
                <w:szCs w:val="21"/>
              </w:rPr>
            </w:pPr>
          </w:p>
        </w:tc>
        <w:tc>
          <w:tcPr>
            <w:tcW w:w="904" w:type="dxa"/>
            <w:vMerge w:val="continue"/>
            <w:vAlign w:val="center"/>
          </w:tcPr>
          <w:p w14:paraId="1DBC770F">
            <w:pPr>
              <w:autoSpaceDE w:val="0"/>
              <w:autoSpaceDN w:val="0"/>
              <w:adjustRightInd w:val="0"/>
              <w:snapToGrid w:val="0"/>
              <w:jc w:val="center"/>
              <w:rPr>
                <w:rFonts w:ascii="宋体" w:hAnsi="宋体"/>
                <w:kern w:val="0"/>
                <w:szCs w:val="21"/>
              </w:rPr>
            </w:pPr>
          </w:p>
        </w:tc>
        <w:tc>
          <w:tcPr>
            <w:tcW w:w="2476" w:type="dxa"/>
            <w:gridSpan w:val="4"/>
            <w:vAlign w:val="center"/>
          </w:tcPr>
          <w:p w14:paraId="4928CE08">
            <w:pPr>
              <w:tabs>
                <w:tab w:val="left" w:pos="1240"/>
              </w:tabs>
              <w:autoSpaceDE w:val="0"/>
              <w:autoSpaceDN w:val="0"/>
              <w:adjustRightInd w:val="0"/>
              <w:snapToGrid w:val="0"/>
              <w:jc w:val="center"/>
              <w:rPr>
                <w:rFonts w:ascii="宋体" w:hAnsi="宋体"/>
                <w:kern w:val="0"/>
                <w:szCs w:val="21"/>
              </w:rPr>
            </w:pPr>
            <w:r>
              <w:rPr>
                <w:rFonts w:hint="eastAsia" w:ascii="宋体" w:hAnsi="宋体" w:cs="MingLiU"/>
                <w:kern w:val="0"/>
                <w:szCs w:val="21"/>
              </w:rPr>
              <w:t>技</w:t>
            </w:r>
            <w:r>
              <w:rPr>
                <w:rFonts w:ascii="宋体" w:hAnsi="宋体"/>
                <w:kern w:val="0"/>
                <w:szCs w:val="21"/>
              </w:rPr>
              <w:tab/>
            </w:r>
            <w:r>
              <w:rPr>
                <w:rFonts w:hint="eastAsia" w:ascii="宋体" w:hAnsi="宋体" w:cs="MingLiU"/>
                <w:kern w:val="0"/>
                <w:szCs w:val="21"/>
              </w:rPr>
              <w:t>工</w:t>
            </w:r>
          </w:p>
        </w:tc>
        <w:tc>
          <w:tcPr>
            <w:tcW w:w="2236" w:type="dxa"/>
            <w:gridSpan w:val="2"/>
            <w:vAlign w:val="center"/>
          </w:tcPr>
          <w:p w14:paraId="6B897FB7">
            <w:pPr>
              <w:autoSpaceDE w:val="0"/>
              <w:autoSpaceDN w:val="0"/>
              <w:adjustRightInd w:val="0"/>
              <w:snapToGrid w:val="0"/>
              <w:jc w:val="center"/>
              <w:rPr>
                <w:rFonts w:ascii="宋体" w:hAnsi="宋体"/>
                <w:kern w:val="0"/>
                <w:szCs w:val="21"/>
              </w:rPr>
            </w:pPr>
          </w:p>
        </w:tc>
      </w:tr>
      <w:tr w14:paraId="2A4E03B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60E365F1">
            <w:pPr>
              <w:autoSpaceDE w:val="0"/>
              <w:autoSpaceDN w:val="0"/>
              <w:adjustRightInd w:val="0"/>
              <w:snapToGrid w:val="0"/>
              <w:jc w:val="center"/>
              <w:rPr>
                <w:rFonts w:ascii="宋体" w:hAnsi="宋体"/>
                <w:kern w:val="0"/>
                <w:szCs w:val="21"/>
              </w:rPr>
            </w:pPr>
            <w:r>
              <w:rPr>
                <w:rFonts w:hint="eastAsia" w:ascii="宋体" w:hAnsi="宋体" w:cs="MingLiU"/>
                <w:kern w:val="0"/>
                <w:szCs w:val="21"/>
              </w:rPr>
              <w:t>经营范围</w:t>
            </w:r>
          </w:p>
        </w:tc>
        <w:tc>
          <w:tcPr>
            <w:tcW w:w="7607" w:type="dxa"/>
            <w:gridSpan w:val="9"/>
            <w:vAlign w:val="center"/>
          </w:tcPr>
          <w:p w14:paraId="35985E83">
            <w:pPr>
              <w:autoSpaceDE w:val="0"/>
              <w:autoSpaceDN w:val="0"/>
              <w:adjustRightInd w:val="0"/>
              <w:snapToGrid w:val="0"/>
              <w:jc w:val="center"/>
              <w:rPr>
                <w:rFonts w:ascii="宋体" w:hAnsi="宋体"/>
                <w:kern w:val="0"/>
                <w:szCs w:val="21"/>
              </w:rPr>
            </w:pPr>
          </w:p>
        </w:tc>
      </w:tr>
      <w:tr w14:paraId="7181481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14:paraId="4C03961E">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c>
          <w:tcPr>
            <w:tcW w:w="7607" w:type="dxa"/>
            <w:gridSpan w:val="9"/>
            <w:vAlign w:val="center"/>
          </w:tcPr>
          <w:p w14:paraId="47446A48">
            <w:pPr>
              <w:autoSpaceDE w:val="0"/>
              <w:autoSpaceDN w:val="0"/>
              <w:adjustRightInd w:val="0"/>
              <w:snapToGrid w:val="0"/>
              <w:jc w:val="center"/>
              <w:rPr>
                <w:rFonts w:ascii="宋体" w:hAnsi="宋体"/>
                <w:kern w:val="0"/>
                <w:szCs w:val="21"/>
              </w:rPr>
            </w:pPr>
          </w:p>
        </w:tc>
      </w:tr>
    </w:tbl>
    <w:p w14:paraId="1CB27B4A">
      <w:pPr>
        <w:spacing w:line="360" w:lineRule="auto"/>
        <w:jc w:val="center"/>
        <w:rPr>
          <w:rFonts w:ascii="宋体" w:hAnsi="宋体"/>
          <w:szCs w:val="21"/>
        </w:rPr>
      </w:pPr>
    </w:p>
    <w:p w14:paraId="1F3668CE">
      <w:pPr>
        <w:pStyle w:val="5"/>
        <w:spacing w:before="0" w:after="0" w:line="240" w:lineRule="auto"/>
        <w:jc w:val="center"/>
        <w:rPr>
          <w:rFonts w:ascii="宋体" w:hAnsi="宋体"/>
          <w:b w:val="0"/>
          <w:bCs w:val="0"/>
        </w:rPr>
      </w:pPr>
      <w:r>
        <w:rPr>
          <w:rFonts w:ascii="宋体" w:hAnsi="宋体"/>
          <w:szCs w:val="21"/>
        </w:rPr>
        <w:br w:type="page"/>
      </w:r>
      <w:bookmarkStart w:id="2090" w:name="_Toc509218863"/>
      <w:bookmarkStart w:id="2091" w:name="_Toc6097"/>
      <w:bookmarkStart w:id="2092" w:name="_Toc534185840"/>
      <w:r>
        <w:rPr>
          <w:rFonts w:hint="eastAsia" w:ascii="宋体" w:hAnsi="宋体"/>
          <w:b w:val="0"/>
          <w:bCs w:val="0"/>
        </w:rPr>
        <w:t>（四）项目管理机构</w:t>
      </w:r>
      <w:bookmarkEnd w:id="2090"/>
      <w:bookmarkEnd w:id="2091"/>
      <w:bookmarkEnd w:id="2092"/>
    </w:p>
    <w:p w14:paraId="21353F41">
      <w:pPr>
        <w:spacing w:line="360" w:lineRule="auto"/>
        <w:rPr>
          <w:rFonts w:ascii="宋体" w:hAnsi="宋体"/>
        </w:rPr>
      </w:pPr>
    </w:p>
    <w:p w14:paraId="443D776C">
      <w:pPr>
        <w:autoSpaceDE w:val="0"/>
        <w:autoSpaceDN w:val="0"/>
        <w:adjustRightInd w:val="0"/>
        <w:snapToGrid w:val="0"/>
        <w:spacing w:line="360" w:lineRule="auto"/>
        <w:jc w:val="center"/>
        <w:rPr>
          <w:rFonts w:ascii="宋体" w:hAnsi="宋体" w:cs="MingLiU"/>
          <w:kern w:val="0"/>
          <w:sz w:val="28"/>
          <w:szCs w:val="28"/>
        </w:rPr>
      </w:pPr>
      <w:r>
        <w:rPr>
          <w:rFonts w:hint="eastAsia" w:ascii="宋体" w:hAnsi="宋体" w:cs="MingLiU"/>
          <w:kern w:val="0"/>
          <w:sz w:val="28"/>
          <w:szCs w:val="28"/>
        </w:rPr>
        <w:t>项目管理机构组成表</w:t>
      </w:r>
    </w:p>
    <w:tbl>
      <w:tblPr>
        <w:tblStyle w:val="4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14:paraId="2B8C94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14:paraId="571E3E5B">
            <w:pPr>
              <w:autoSpaceDE w:val="0"/>
              <w:autoSpaceDN w:val="0"/>
              <w:adjustRightInd w:val="0"/>
              <w:snapToGrid w:val="0"/>
              <w:jc w:val="center"/>
              <w:rPr>
                <w:rFonts w:ascii="宋体" w:hAnsi="宋体"/>
                <w:kern w:val="0"/>
                <w:szCs w:val="21"/>
              </w:rPr>
            </w:pPr>
            <w:r>
              <w:rPr>
                <w:rFonts w:hint="eastAsia" w:ascii="宋体" w:hAnsi="宋体" w:cs="MingLiU"/>
                <w:kern w:val="0"/>
                <w:szCs w:val="21"/>
              </w:rPr>
              <w:t>职务</w:t>
            </w:r>
          </w:p>
        </w:tc>
        <w:tc>
          <w:tcPr>
            <w:tcW w:w="734" w:type="dxa"/>
            <w:vMerge w:val="restart"/>
            <w:vAlign w:val="center"/>
          </w:tcPr>
          <w:p w14:paraId="74A1E8A8">
            <w:pPr>
              <w:autoSpaceDE w:val="0"/>
              <w:autoSpaceDN w:val="0"/>
              <w:adjustRightInd w:val="0"/>
              <w:snapToGrid w:val="0"/>
              <w:jc w:val="center"/>
              <w:rPr>
                <w:rFonts w:ascii="宋体" w:hAnsi="宋体"/>
                <w:kern w:val="0"/>
                <w:szCs w:val="21"/>
              </w:rPr>
            </w:pPr>
            <w:r>
              <w:rPr>
                <w:rFonts w:hint="eastAsia" w:ascii="宋体" w:hAnsi="宋体" w:cs="MingLiU"/>
                <w:kern w:val="0"/>
                <w:szCs w:val="21"/>
              </w:rPr>
              <w:t>姓名</w:t>
            </w:r>
          </w:p>
        </w:tc>
        <w:tc>
          <w:tcPr>
            <w:tcW w:w="776" w:type="dxa"/>
            <w:vMerge w:val="restart"/>
            <w:vAlign w:val="center"/>
          </w:tcPr>
          <w:p w14:paraId="5E0EF82B">
            <w:pPr>
              <w:autoSpaceDE w:val="0"/>
              <w:autoSpaceDN w:val="0"/>
              <w:adjustRightInd w:val="0"/>
              <w:snapToGrid w:val="0"/>
              <w:jc w:val="center"/>
              <w:rPr>
                <w:rFonts w:ascii="宋体" w:hAnsi="宋体"/>
                <w:kern w:val="0"/>
                <w:szCs w:val="21"/>
              </w:rPr>
            </w:pPr>
            <w:r>
              <w:rPr>
                <w:rFonts w:hint="eastAsia" w:ascii="宋体" w:hAnsi="宋体" w:cs="MingLiU"/>
                <w:kern w:val="0"/>
                <w:szCs w:val="21"/>
              </w:rPr>
              <w:t>职称</w:t>
            </w:r>
          </w:p>
        </w:tc>
        <w:tc>
          <w:tcPr>
            <w:tcW w:w="6220" w:type="dxa"/>
            <w:gridSpan w:val="5"/>
            <w:vAlign w:val="center"/>
          </w:tcPr>
          <w:p w14:paraId="0E4E4085">
            <w:pPr>
              <w:autoSpaceDE w:val="0"/>
              <w:autoSpaceDN w:val="0"/>
              <w:adjustRightInd w:val="0"/>
              <w:snapToGrid w:val="0"/>
              <w:jc w:val="center"/>
              <w:rPr>
                <w:rFonts w:ascii="宋体" w:hAnsi="宋体"/>
                <w:kern w:val="0"/>
                <w:szCs w:val="21"/>
              </w:rPr>
            </w:pPr>
            <w:r>
              <w:rPr>
                <w:rFonts w:hint="eastAsia" w:ascii="宋体" w:hAnsi="宋体" w:cs="MingLiU"/>
                <w:kern w:val="0"/>
                <w:szCs w:val="21"/>
              </w:rPr>
              <w:t>执业或职业资格证明</w:t>
            </w:r>
          </w:p>
        </w:tc>
        <w:tc>
          <w:tcPr>
            <w:tcW w:w="896" w:type="dxa"/>
            <w:vAlign w:val="center"/>
          </w:tcPr>
          <w:p w14:paraId="290B2F41">
            <w:pPr>
              <w:autoSpaceDE w:val="0"/>
              <w:autoSpaceDN w:val="0"/>
              <w:adjustRightInd w:val="0"/>
              <w:snapToGrid w:val="0"/>
              <w:jc w:val="center"/>
              <w:rPr>
                <w:rFonts w:ascii="宋体" w:hAnsi="宋体"/>
                <w:kern w:val="0"/>
                <w:szCs w:val="21"/>
              </w:rPr>
            </w:pPr>
            <w:r>
              <w:rPr>
                <w:rFonts w:hint="eastAsia" w:ascii="宋体" w:hAnsi="宋体" w:cs="MingLiU"/>
                <w:kern w:val="0"/>
                <w:szCs w:val="21"/>
              </w:rPr>
              <w:t>备注</w:t>
            </w:r>
          </w:p>
        </w:tc>
      </w:tr>
      <w:tr w14:paraId="4BE1B7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tcPr>
          <w:p w14:paraId="53D19724">
            <w:pPr>
              <w:autoSpaceDE w:val="0"/>
              <w:autoSpaceDN w:val="0"/>
              <w:adjustRightInd w:val="0"/>
              <w:snapToGrid w:val="0"/>
              <w:jc w:val="left"/>
              <w:rPr>
                <w:rFonts w:ascii="宋体" w:hAnsi="宋体"/>
                <w:kern w:val="0"/>
                <w:szCs w:val="21"/>
              </w:rPr>
            </w:pPr>
          </w:p>
        </w:tc>
        <w:tc>
          <w:tcPr>
            <w:tcW w:w="734" w:type="dxa"/>
            <w:vMerge w:val="continue"/>
          </w:tcPr>
          <w:p w14:paraId="605306D4">
            <w:pPr>
              <w:autoSpaceDE w:val="0"/>
              <w:autoSpaceDN w:val="0"/>
              <w:adjustRightInd w:val="0"/>
              <w:snapToGrid w:val="0"/>
              <w:jc w:val="left"/>
              <w:rPr>
                <w:rFonts w:ascii="宋体" w:hAnsi="宋体"/>
                <w:kern w:val="0"/>
                <w:szCs w:val="21"/>
              </w:rPr>
            </w:pPr>
          </w:p>
        </w:tc>
        <w:tc>
          <w:tcPr>
            <w:tcW w:w="776" w:type="dxa"/>
            <w:vMerge w:val="continue"/>
          </w:tcPr>
          <w:p w14:paraId="2FA8A162">
            <w:pPr>
              <w:autoSpaceDE w:val="0"/>
              <w:autoSpaceDN w:val="0"/>
              <w:adjustRightInd w:val="0"/>
              <w:snapToGrid w:val="0"/>
              <w:jc w:val="left"/>
              <w:rPr>
                <w:rFonts w:ascii="宋体" w:hAnsi="宋体"/>
                <w:kern w:val="0"/>
                <w:szCs w:val="21"/>
              </w:rPr>
            </w:pPr>
          </w:p>
        </w:tc>
        <w:tc>
          <w:tcPr>
            <w:tcW w:w="1167" w:type="dxa"/>
            <w:vAlign w:val="center"/>
          </w:tcPr>
          <w:p w14:paraId="5A33FEC1">
            <w:pPr>
              <w:autoSpaceDE w:val="0"/>
              <w:autoSpaceDN w:val="0"/>
              <w:adjustRightInd w:val="0"/>
              <w:snapToGrid w:val="0"/>
              <w:jc w:val="center"/>
              <w:rPr>
                <w:rFonts w:ascii="宋体" w:hAnsi="宋体"/>
                <w:kern w:val="0"/>
                <w:szCs w:val="21"/>
              </w:rPr>
            </w:pPr>
            <w:r>
              <w:rPr>
                <w:rFonts w:hint="eastAsia" w:ascii="宋体" w:hAnsi="宋体" w:cs="MingLiU"/>
                <w:kern w:val="0"/>
                <w:szCs w:val="21"/>
              </w:rPr>
              <w:t>证书名称</w:t>
            </w:r>
          </w:p>
        </w:tc>
        <w:tc>
          <w:tcPr>
            <w:tcW w:w="776" w:type="dxa"/>
            <w:vAlign w:val="center"/>
          </w:tcPr>
          <w:p w14:paraId="3815675D">
            <w:pPr>
              <w:autoSpaceDE w:val="0"/>
              <w:autoSpaceDN w:val="0"/>
              <w:adjustRightInd w:val="0"/>
              <w:snapToGrid w:val="0"/>
              <w:jc w:val="center"/>
              <w:rPr>
                <w:rFonts w:ascii="宋体" w:hAnsi="宋体"/>
                <w:kern w:val="0"/>
                <w:szCs w:val="21"/>
              </w:rPr>
            </w:pPr>
            <w:r>
              <w:rPr>
                <w:rFonts w:hint="eastAsia" w:ascii="宋体" w:hAnsi="宋体" w:cs="MingLiU"/>
                <w:kern w:val="0"/>
                <w:szCs w:val="21"/>
              </w:rPr>
              <w:t>级别</w:t>
            </w:r>
          </w:p>
        </w:tc>
        <w:tc>
          <w:tcPr>
            <w:tcW w:w="778" w:type="dxa"/>
            <w:vAlign w:val="center"/>
          </w:tcPr>
          <w:p w14:paraId="6300F175">
            <w:pPr>
              <w:autoSpaceDE w:val="0"/>
              <w:autoSpaceDN w:val="0"/>
              <w:adjustRightInd w:val="0"/>
              <w:snapToGrid w:val="0"/>
              <w:jc w:val="center"/>
              <w:rPr>
                <w:rFonts w:ascii="宋体" w:hAnsi="宋体"/>
                <w:kern w:val="0"/>
                <w:szCs w:val="21"/>
              </w:rPr>
            </w:pPr>
            <w:r>
              <w:rPr>
                <w:rFonts w:hint="eastAsia" w:ascii="宋体" w:hAnsi="宋体" w:cs="MingLiU"/>
                <w:kern w:val="0"/>
                <w:szCs w:val="21"/>
              </w:rPr>
              <w:t>证号</w:t>
            </w:r>
          </w:p>
        </w:tc>
        <w:tc>
          <w:tcPr>
            <w:tcW w:w="776" w:type="dxa"/>
            <w:vAlign w:val="center"/>
          </w:tcPr>
          <w:p w14:paraId="11D33926">
            <w:pPr>
              <w:autoSpaceDE w:val="0"/>
              <w:autoSpaceDN w:val="0"/>
              <w:adjustRightInd w:val="0"/>
              <w:snapToGrid w:val="0"/>
              <w:jc w:val="center"/>
              <w:rPr>
                <w:rFonts w:ascii="宋体" w:hAnsi="宋体"/>
                <w:kern w:val="0"/>
                <w:szCs w:val="21"/>
              </w:rPr>
            </w:pPr>
            <w:r>
              <w:rPr>
                <w:rFonts w:hint="eastAsia" w:ascii="宋体" w:hAnsi="宋体" w:cs="MingLiU"/>
                <w:kern w:val="0"/>
                <w:szCs w:val="21"/>
              </w:rPr>
              <w:t>专业</w:t>
            </w:r>
          </w:p>
        </w:tc>
        <w:tc>
          <w:tcPr>
            <w:tcW w:w="2723" w:type="dxa"/>
            <w:vAlign w:val="center"/>
          </w:tcPr>
          <w:p w14:paraId="4744A423">
            <w:pPr>
              <w:autoSpaceDE w:val="0"/>
              <w:autoSpaceDN w:val="0"/>
              <w:adjustRightInd w:val="0"/>
              <w:snapToGrid w:val="0"/>
              <w:jc w:val="center"/>
              <w:rPr>
                <w:rFonts w:ascii="宋体" w:hAnsi="宋体"/>
                <w:kern w:val="0"/>
                <w:szCs w:val="21"/>
              </w:rPr>
            </w:pPr>
            <w:r>
              <w:rPr>
                <w:rFonts w:hint="eastAsia" w:ascii="宋体" w:hAnsi="宋体" w:cs="MingLiU"/>
                <w:kern w:val="0"/>
                <w:szCs w:val="21"/>
              </w:rPr>
              <w:t>养老保险</w:t>
            </w:r>
          </w:p>
        </w:tc>
        <w:tc>
          <w:tcPr>
            <w:tcW w:w="896" w:type="dxa"/>
          </w:tcPr>
          <w:p w14:paraId="4FFD0273">
            <w:pPr>
              <w:autoSpaceDE w:val="0"/>
              <w:autoSpaceDN w:val="0"/>
              <w:adjustRightInd w:val="0"/>
              <w:snapToGrid w:val="0"/>
              <w:jc w:val="left"/>
              <w:rPr>
                <w:rFonts w:ascii="宋体" w:hAnsi="宋体"/>
                <w:kern w:val="0"/>
                <w:szCs w:val="21"/>
              </w:rPr>
            </w:pPr>
          </w:p>
        </w:tc>
      </w:tr>
      <w:tr w14:paraId="7486C5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14:paraId="2E84729B">
            <w:pPr>
              <w:autoSpaceDE w:val="0"/>
              <w:autoSpaceDN w:val="0"/>
              <w:adjustRightInd w:val="0"/>
              <w:snapToGrid w:val="0"/>
              <w:jc w:val="center"/>
              <w:rPr>
                <w:rFonts w:ascii="宋体" w:hAnsi="宋体"/>
                <w:kern w:val="0"/>
                <w:szCs w:val="21"/>
              </w:rPr>
            </w:pPr>
            <w:r>
              <w:rPr>
                <w:rFonts w:hint="eastAsia" w:ascii="宋体" w:hAnsi="宋体"/>
                <w:kern w:val="0"/>
                <w:szCs w:val="21"/>
              </w:rPr>
              <w:t>项目经理</w:t>
            </w:r>
          </w:p>
        </w:tc>
        <w:tc>
          <w:tcPr>
            <w:tcW w:w="734" w:type="dxa"/>
          </w:tcPr>
          <w:p w14:paraId="13EBD160">
            <w:pPr>
              <w:autoSpaceDE w:val="0"/>
              <w:autoSpaceDN w:val="0"/>
              <w:adjustRightInd w:val="0"/>
              <w:snapToGrid w:val="0"/>
              <w:jc w:val="left"/>
              <w:rPr>
                <w:rFonts w:ascii="宋体" w:hAnsi="宋体"/>
                <w:kern w:val="0"/>
                <w:szCs w:val="21"/>
              </w:rPr>
            </w:pPr>
          </w:p>
        </w:tc>
        <w:tc>
          <w:tcPr>
            <w:tcW w:w="776" w:type="dxa"/>
          </w:tcPr>
          <w:p w14:paraId="0BDC4229">
            <w:pPr>
              <w:autoSpaceDE w:val="0"/>
              <w:autoSpaceDN w:val="0"/>
              <w:adjustRightInd w:val="0"/>
              <w:snapToGrid w:val="0"/>
              <w:jc w:val="left"/>
              <w:rPr>
                <w:rFonts w:ascii="宋体" w:hAnsi="宋体"/>
                <w:kern w:val="0"/>
                <w:szCs w:val="21"/>
              </w:rPr>
            </w:pPr>
          </w:p>
        </w:tc>
        <w:tc>
          <w:tcPr>
            <w:tcW w:w="1167" w:type="dxa"/>
          </w:tcPr>
          <w:p w14:paraId="35C8E4BD">
            <w:pPr>
              <w:autoSpaceDE w:val="0"/>
              <w:autoSpaceDN w:val="0"/>
              <w:adjustRightInd w:val="0"/>
              <w:snapToGrid w:val="0"/>
              <w:jc w:val="left"/>
              <w:rPr>
                <w:rFonts w:ascii="宋体" w:hAnsi="宋体"/>
                <w:kern w:val="0"/>
                <w:szCs w:val="21"/>
              </w:rPr>
            </w:pPr>
          </w:p>
        </w:tc>
        <w:tc>
          <w:tcPr>
            <w:tcW w:w="776" w:type="dxa"/>
          </w:tcPr>
          <w:p w14:paraId="28365781">
            <w:pPr>
              <w:autoSpaceDE w:val="0"/>
              <w:autoSpaceDN w:val="0"/>
              <w:adjustRightInd w:val="0"/>
              <w:snapToGrid w:val="0"/>
              <w:jc w:val="left"/>
              <w:rPr>
                <w:rFonts w:ascii="宋体" w:hAnsi="宋体"/>
                <w:kern w:val="0"/>
                <w:szCs w:val="21"/>
              </w:rPr>
            </w:pPr>
          </w:p>
        </w:tc>
        <w:tc>
          <w:tcPr>
            <w:tcW w:w="778" w:type="dxa"/>
          </w:tcPr>
          <w:p w14:paraId="62C1CBA7">
            <w:pPr>
              <w:autoSpaceDE w:val="0"/>
              <w:autoSpaceDN w:val="0"/>
              <w:adjustRightInd w:val="0"/>
              <w:snapToGrid w:val="0"/>
              <w:jc w:val="left"/>
              <w:rPr>
                <w:rFonts w:ascii="宋体" w:hAnsi="宋体"/>
                <w:kern w:val="0"/>
                <w:szCs w:val="21"/>
              </w:rPr>
            </w:pPr>
          </w:p>
        </w:tc>
        <w:tc>
          <w:tcPr>
            <w:tcW w:w="776" w:type="dxa"/>
          </w:tcPr>
          <w:p w14:paraId="00C22C3A">
            <w:pPr>
              <w:autoSpaceDE w:val="0"/>
              <w:autoSpaceDN w:val="0"/>
              <w:adjustRightInd w:val="0"/>
              <w:snapToGrid w:val="0"/>
              <w:jc w:val="left"/>
              <w:rPr>
                <w:rFonts w:ascii="宋体" w:hAnsi="宋体"/>
                <w:kern w:val="0"/>
                <w:szCs w:val="21"/>
              </w:rPr>
            </w:pPr>
          </w:p>
        </w:tc>
        <w:tc>
          <w:tcPr>
            <w:tcW w:w="2723" w:type="dxa"/>
          </w:tcPr>
          <w:p w14:paraId="59D6D9EF">
            <w:pPr>
              <w:autoSpaceDE w:val="0"/>
              <w:autoSpaceDN w:val="0"/>
              <w:adjustRightInd w:val="0"/>
              <w:snapToGrid w:val="0"/>
              <w:jc w:val="left"/>
              <w:rPr>
                <w:rFonts w:ascii="宋体" w:hAnsi="宋体"/>
                <w:kern w:val="0"/>
                <w:szCs w:val="21"/>
              </w:rPr>
            </w:pPr>
          </w:p>
        </w:tc>
        <w:tc>
          <w:tcPr>
            <w:tcW w:w="896" w:type="dxa"/>
          </w:tcPr>
          <w:p w14:paraId="781717AE">
            <w:pPr>
              <w:autoSpaceDE w:val="0"/>
              <w:autoSpaceDN w:val="0"/>
              <w:adjustRightInd w:val="0"/>
              <w:snapToGrid w:val="0"/>
              <w:jc w:val="left"/>
              <w:rPr>
                <w:rFonts w:ascii="宋体" w:hAnsi="宋体"/>
                <w:kern w:val="0"/>
                <w:szCs w:val="21"/>
              </w:rPr>
            </w:pPr>
          </w:p>
        </w:tc>
      </w:tr>
      <w:tr w14:paraId="4E1FE5F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14:paraId="7672B788">
            <w:pPr>
              <w:autoSpaceDE w:val="0"/>
              <w:autoSpaceDN w:val="0"/>
              <w:adjustRightInd w:val="0"/>
              <w:snapToGrid w:val="0"/>
              <w:jc w:val="center"/>
              <w:rPr>
                <w:rFonts w:ascii="宋体" w:hAnsi="宋体"/>
                <w:kern w:val="0"/>
                <w:szCs w:val="21"/>
              </w:rPr>
            </w:pPr>
            <w:r>
              <w:rPr>
                <w:rFonts w:hint="eastAsia" w:ascii="宋体" w:hAnsi="宋体"/>
                <w:kern w:val="0"/>
                <w:szCs w:val="21"/>
              </w:rPr>
              <w:t>项目技术负责人</w:t>
            </w:r>
          </w:p>
        </w:tc>
        <w:tc>
          <w:tcPr>
            <w:tcW w:w="734" w:type="dxa"/>
          </w:tcPr>
          <w:p w14:paraId="46D0E6A9">
            <w:pPr>
              <w:autoSpaceDE w:val="0"/>
              <w:autoSpaceDN w:val="0"/>
              <w:adjustRightInd w:val="0"/>
              <w:snapToGrid w:val="0"/>
              <w:jc w:val="left"/>
              <w:rPr>
                <w:rFonts w:ascii="宋体" w:hAnsi="宋体"/>
                <w:kern w:val="0"/>
                <w:szCs w:val="21"/>
              </w:rPr>
            </w:pPr>
          </w:p>
        </w:tc>
        <w:tc>
          <w:tcPr>
            <w:tcW w:w="776" w:type="dxa"/>
          </w:tcPr>
          <w:p w14:paraId="66572E60">
            <w:pPr>
              <w:autoSpaceDE w:val="0"/>
              <w:autoSpaceDN w:val="0"/>
              <w:adjustRightInd w:val="0"/>
              <w:snapToGrid w:val="0"/>
              <w:jc w:val="left"/>
              <w:rPr>
                <w:rFonts w:ascii="宋体" w:hAnsi="宋体"/>
                <w:kern w:val="0"/>
                <w:szCs w:val="21"/>
              </w:rPr>
            </w:pPr>
          </w:p>
        </w:tc>
        <w:tc>
          <w:tcPr>
            <w:tcW w:w="1167" w:type="dxa"/>
          </w:tcPr>
          <w:p w14:paraId="32C3CBDD">
            <w:pPr>
              <w:autoSpaceDE w:val="0"/>
              <w:autoSpaceDN w:val="0"/>
              <w:adjustRightInd w:val="0"/>
              <w:snapToGrid w:val="0"/>
              <w:jc w:val="left"/>
              <w:rPr>
                <w:rFonts w:ascii="宋体" w:hAnsi="宋体"/>
                <w:kern w:val="0"/>
                <w:szCs w:val="21"/>
              </w:rPr>
            </w:pPr>
          </w:p>
        </w:tc>
        <w:tc>
          <w:tcPr>
            <w:tcW w:w="776" w:type="dxa"/>
          </w:tcPr>
          <w:p w14:paraId="28692DF4">
            <w:pPr>
              <w:autoSpaceDE w:val="0"/>
              <w:autoSpaceDN w:val="0"/>
              <w:adjustRightInd w:val="0"/>
              <w:snapToGrid w:val="0"/>
              <w:jc w:val="left"/>
              <w:rPr>
                <w:rFonts w:ascii="宋体" w:hAnsi="宋体"/>
                <w:kern w:val="0"/>
                <w:szCs w:val="21"/>
              </w:rPr>
            </w:pPr>
          </w:p>
        </w:tc>
        <w:tc>
          <w:tcPr>
            <w:tcW w:w="778" w:type="dxa"/>
          </w:tcPr>
          <w:p w14:paraId="3E8256A5">
            <w:pPr>
              <w:autoSpaceDE w:val="0"/>
              <w:autoSpaceDN w:val="0"/>
              <w:adjustRightInd w:val="0"/>
              <w:snapToGrid w:val="0"/>
              <w:jc w:val="left"/>
              <w:rPr>
                <w:rFonts w:ascii="宋体" w:hAnsi="宋体"/>
                <w:kern w:val="0"/>
                <w:szCs w:val="21"/>
              </w:rPr>
            </w:pPr>
          </w:p>
        </w:tc>
        <w:tc>
          <w:tcPr>
            <w:tcW w:w="776" w:type="dxa"/>
          </w:tcPr>
          <w:p w14:paraId="1E93BBF7">
            <w:pPr>
              <w:autoSpaceDE w:val="0"/>
              <w:autoSpaceDN w:val="0"/>
              <w:adjustRightInd w:val="0"/>
              <w:snapToGrid w:val="0"/>
              <w:jc w:val="left"/>
              <w:rPr>
                <w:rFonts w:ascii="宋体" w:hAnsi="宋体"/>
                <w:kern w:val="0"/>
                <w:szCs w:val="21"/>
              </w:rPr>
            </w:pPr>
          </w:p>
        </w:tc>
        <w:tc>
          <w:tcPr>
            <w:tcW w:w="2723" w:type="dxa"/>
          </w:tcPr>
          <w:p w14:paraId="54808B6F">
            <w:pPr>
              <w:autoSpaceDE w:val="0"/>
              <w:autoSpaceDN w:val="0"/>
              <w:adjustRightInd w:val="0"/>
              <w:snapToGrid w:val="0"/>
              <w:jc w:val="left"/>
              <w:rPr>
                <w:rFonts w:ascii="宋体" w:hAnsi="宋体"/>
                <w:kern w:val="0"/>
                <w:szCs w:val="21"/>
              </w:rPr>
            </w:pPr>
          </w:p>
        </w:tc>
        <w:tc>
          <w:tcPr>
            <w:tcW w:w="896" w:type="dxa"/>
          </w:tcPr>
          <w:p w14:paraId="38FDC4BA">
            <w:pPr>
              <w:autoSpaceDE w:val="0"/>
              <w:autoSpaceDN w:val="0"/>
              <w:adjustRightInd w:val="0"/>
              <w:snapToGrid w:val="0"/>
              <w:jc w:val="left"/>
              <w:rPr>
                <w:rFonts w:ascii="宋体" w:hAnsi="宋体"/>
                <w:kern w:val="0"/>
                <w:szCs w:val="21"/>
              </w:rPr>
            </w:pPr>
          </w:p>
        </w:tc>
      </w:tr>
      <w:tr w14:paraId="00C25E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7E38043">
            <w:pPr>
              <w:autoSpaceDE w:val="0"/>
              <w:autoSpaceDN w:val="0"/>
              <w:adjustRightInd w:val="0"/>
              <w:snapToGrid w:val="0"/>
              <w:jc w:val="left"/>
              <w:rPr>
                <w:rFonts w:ascii="宋体" w:hAnsi="宋体"/>
                <w:kern w:val="0"/>
                <w:szCs w:val="21"/>
              </w:rPr>
            </w:pPr>
          </w:p>
        </w:tc>
        <w:tc>
          <w:tcPr>
            <w:tcW w:w="734" w:type="dxa"/>
          </w:tcPr>
          <w:p w14:paraId="2BEB7AED">
            <w:pPr>
              <w:autoSpaceDE w:val="0"/>
              <w:autoSpaceDN w:val="0"/>
              <w:adjustRightInd w:val="0"/>
              <w:snapToGrid w:val="0"/>
              <w:jc w:val="left"/>
              <w:rPr>
                <w:rFonts w:ascii="宋体" w:hAnsi="宋体"/>
                <w:kern w:val="0"/>
                <w:szCs w:val="21"/>
              </w:rPr>
            </w:pPr>
          </w:p>
        </w:tc>
        <w:tc>
          <w:tcPr>
            <w:tcW w:w="776" w:type="dxa"/>
          </w:tcPr>
          <w:p w14:paraId="65035DF5">
            <w:pPr>
              <w:autoSpaceDE w:val="0"/>
              <w:autoSpaceDN w:val="0"/>
              <w:adjustRightInd w:val="0"/>
              <w:snapToGrid w:val="0"/>
              <w:jc w:val="left"/>
              <w:rPr>
                <w:rFonts w:ascii="宋体" w:hAnsi="宋体"/>
                <w:kern w:val="0"/>
                <w:szCs w:val="21"/>
              </w:rPr>
            </w:pPr>
          </w:p>
        </w:tc>
        <w:tc>
          <w:tcPr>
            <w:tcW w:w="1167" w:type="dxa"/>
          </w:tcPr>
          <w:p w14:paraId="022D87F2">
            <w:pPr>
              <w:autoSpaceDE w:val="0"/>
              <w:autoSpaceDN w:val="0"/>
              <w:adjustRightInd w:val="0"/>
              <w:snapToGrid w:val="0"/>
              <w:jc w:val="left"/>
              <w:rPr>
                <w:rFonts w:ascii="宋体" w:hAnsi="宋体"/>
                <w:kern w:val="0"/>
                <w:szCs w:val="21"/>
              </w:rPr>
            </w:pPr>
          </w:p>
        </w:tc>
        <w:tc>
          <w:tcPr>
            <w:tcW w:w="776" w:type="dxa"/>
          </w:tcPr>
          <w:p w14:paraId="23B988A1">
            <w:pPr>
              <w:autoSpaceDE w:val="0"/>
              <w:autoSpaceDN w:val="0"/>
              <w:adjustRightInd w:val="0"/>
              <w:snapToGrid w:val="0"/>
              <w:jc w:val="left"/>
              <w:rPr>
                <w:rFonts w:ascii="宋体" w:hAnsi="宋体"/>
                <w:kern w:val="0"/>
                <w:szCs w:val="21"/>
              </w:rPr>
            </w:pPr>
          </w:p>
        </w:tc>
        <w:tc>
          <w:tcPr>
            <w:tcW w:w="778" w:type="dxa"/>
          </w:tcPr>
          <w:p w14:paraId="4BCCEA6E">
            <w:pPr>
              <w:autoSpaceDE w:val="0"/>
              <w:autoSpaceDN w:val="0"/>
              <w:adjustRightInd w:val="0"/>
              <w:snapToGrid w:val="0"/>
              <w:jc w:val="left"/>
              <w:rPr>
                <w:rFonts w:ascii="宋体" w:hAnsi="宋体"/>
                <w:kern w:val="0"/>
                <w:szCs w:val="21"/>
              </w:rPr>
            </w:pPr>
          </w:p>
        </w:tc>
        <w:tc>
          <w:tcPr>
            <w:tcW w:w="776" w:type="dxa"/>
          </w:tcPr>
          <w:p w14:paraId="75530971">
            <w:pPr>
              <w:autoSpaceDE w:val="0"/>
              <w:autoSpaceDN w:val="0"/>
              <w:adjustRightInd w:val="0"/>
              <w:snapToGrid w:val="0"/>
              <w:jc w:val="left"/>
              <w:rPr>
                <w:rFonts w:ascii="宋体" w:hAnsi="宋体"/>
                <w:kern w:val="0"/>
                <w:szCs w:val="21"/>
              </w:rPr>
            </w:pPr>
          </w:p>
        </w:tc>
        <w:tc>
          <w:tcPr>
            <w:tcW w:w="2723" w:type="dxa"/>
          </w:tcPr>
          <w:p w14:paraId="21E20AF8">
            <w:pPr>
              <w:autoSpaceDE w:val="0"/>
              <w:autoSpaceDN w:val="0"/>
              <w:adjustRightInd w:val="0"/>
              <w:snapToGrid w:val="0"/>
              <w:jc w:val="left"/>
              <w:rPr>
                <w:rFonts w:ascii="宋体" w:hAnsi="宋体"/>
                <w:kern w:val="0"/>
                <w:szCs w:val="21"/>
              </w:rPr>
            </w:pPr>
          </w:p>
        </w:tc>
        <w:tc>
          <w:tcPr>
            <w:tcW w:w="896" w:type="dxa"/>
          </w:tcPr>
          <w:p w14:paraId="42D2A7BA">
            <w:pPr>
              <w:autoSpaceDE w:val="0"/>
              <w:autoSpaceDN w:val="0"/>
              <w:adjustRightInd w:val="0"/>
              <w:snapToGrid w:val="0"/>
              <w:jc w:val="left"/>
              <w:rPr>
                <w:rFonts w:ascii="宋体" w:hAnsi="宋体"/>
                <w:kern w:val="0"/>
                <w:szCs w:val="21"/>
              </w:rPr>
            </w:pPr>
          </w:p>
        </w:tc>
      </w:tr>
      <w:tr w14:paraId="562021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BF61540">
            <w:pPr>
              <w:autoSpaceDE w:val="0"/>
              <w:autoSpaceDN w:val="0"/>
              <w:adjustRightInd w:val="0"/>
              <w:snapToGrid w:val="0"/>
              <w:jc w:val="left"/>
              <w:rPr>
                <w:rFonts w:ascii="宋体" w:hAnsi="宋体"/>
                <w:kern w:val="0"/>
                <w:szCs w:val="21"/>
              </w:rPr>
            </w:pPr>
          </w:p>
        </w:tc>
        <w:tc>
          <w:tcPr>
            <w:tcW w:w="734" w:type="dxa"/>
          </w:tcPr>
          <w:p w14:paraId="2A6B2A75">
            <w:pPr>
              <w:autoSpaceDE w:val="0"/>
              <w:autoSpaceDN w:val="0"/>
              <w:adjustRightInd w:val="0"/>
              <w:snapToGrid w:val="0"/>
              <w:jc w:val="left"/>
              <w:rPr>
                <w:rFonts w:ascii="宋体" w:hAnsi="宋体"/>
                <w:kern w:val="0"/>
                <w:szCs w:val="21"/>
              </w:rPr>
            </w:pPr>
          </w:p>
        </w:tc>
        <w:tc>
          <w:tcPr>
            <w:tcW w:w="776" w:type="dxa"/>
          </w:tcPr>
          <w:p w14:paraId="37C4045A">
            <w:pPr>
              <w:autoSpaceDE w:val="0"/>
              <w:autoSpaceDN w:val="0"/>
              <w:adjustRightInd w:val="0"/>
              <w:snapToGrid w:val="0"/>
              <w:jc w:val="left"/>
              <w:rPr>
                <w:rFonts w:ascii="宋体" w:hAnsi="宋体"/>
                <w:kern w:val="0"/>
                <w:szCs w:val="21"/>
              </w:rPr>
            </w:pPr>
          </w:p>
        </w:tc>
        <w:tc>
          <w:tcPr>
            <w:tcW w:w="1167" w:type="dxa"/>
          </w:tcPr>
          <w:p w14:paraId="7F3FD7E2">
            <w:pPr>
              <w:autoSpaceDE w:val="0"/>
              <w:autoSpaceDN w:val="0"/>
              <w:adjustRightInd w:val="0"/>
              <w:snapToGrid w:val="0"/>
              <w:jc w:val="left"/>
              <w:rPr>
                <w:rFonts w:ascii="宋体" w:hAnsi="宋体"/>
                <w:kern w:val="0"/>
                <w:szCs w:val="21"/>
              </w:rPr>
            </w:pPr>
          </w:p>
        </w:tc>
        <w:tc>
          <w:tcPr>
            <w:tcW w:w="776" w:type="dxa"/>
          </w:tcPr>
          <w:p w14:paraId="7873309E">
            <w:pPr>
              <w:autoSpaceDE w:val="0"/>
              <w:autoSpaceDN w:val="0"/>
              <w:adjustRightInd w:val="0"/>
              <w:snapToGrid w:val="0"/>
              <w:jc w:val="left"/>
              <w:rPr>
                <w:rFonts w:ascii="宋体" w:hAnsi="宋体"/>
                <w:kern w:val="0"/>
                <w:szCs w:val="21"/>
              </w:rPr>
            </w:pPr>
          </w:p>
        </w:tc>
        <w:tc>
          <w:tcPr>
            <w:tcW w:w="778" w:type="dxa"/>
          </w:tcPr>
          <w:p w14:paraId="24B5932F">
            <w:pPr>
              <w:autoSpaceDE w:val="0"/>
              <w:autoSpaceDN w:val="0"/>
              <w:adjustRightInd w:val="0"/>
              <w:snapToGrid w:val="0"/>
              <w:jc w:val="left"/>
              <w:rPr>
                <w:rFonts w:ascii="宋体" w:hAnsi="宋体"/>
                <w:kern w:val="0"/>
                <w:szCs w:val="21"/>
              </w:rPr>
            </w:pPr>
          </w:p>
        </w:tc>
        <w:tc>
          <w:tcPr>
            <w:tcW w:w="776" w:type="dxa"/>
          </w:tcPr>
          <w:p w14:paraId="0CD262FB">
            <w:pPr>
              <w:autoSpaceDE w:val="0"/>
              <w:autoSpaceDN w:val="0"/>
              <w:adjustRightInd w:val="0"/>
              <w:snapToGrid w:val="0"/>
              <w:jc w:val="left"/>
              <w:rPr>
                <w:rFonts w:ascii="宋体" w:hAnsi="宋体"/>
                <w:kern w:val="0"/>
                <w:szCs w:val="21"/>
              </w:rPr>
            </w:pPr>
          </w:p>
        </w:tc>
        <w:tc>
          <w:tcPr>
            <w:tcW w:w="2723" w:type="dxa"/>
          </w:tcPr>
          <w:p w14:paraId="11E28ABD">
            <w:pPr>
              <w:autoSpaceDE w:val="0"/>
              <w:autoSpaceDN w:val="0"/>
              <w:adjustRightInd w:val="0"/>
              <w:snapToGrid w:val="0"/>
              <w:jc w:val="left"/>
              <w:rPr>
                <w:rFonts w:ascii="宋体" w:hAnsi="宋体"/>
                <w:kern w:val="0"/>
                <w:szCs w:val="21"/>
              </w:rPr>
            </w:pPr>
          </w:p>
        </w:tc>
        <w:tc>
          <w:tcPr>
            <w:tcW w:w="896" w:type="dxa"/>
          </w:tcPr>
          <w:p w14:paraId="2AE049B7">
            <w:pPr>
              <w:autoSpaceDE w:val="0"/>
              <w:autoSpaceDN w:val="0"/>
              <w:adjustRightInd w:val="0"/>
              <w:snapToGrid w:val="0"/>
              <w:jc w:val="left"/>
              <w:rPr>
                <w:rFonts w:ascii="宋体" w:hAnsi="宋体"/>
                <w:kern w:val="0"/>
                <w:szCs w:val="21"/>
              </w:rPr>
            </w:pPr>
          </w:p>
        </w:tc>
      </w:tr>
      <w:tr w14:paraId="6554DB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3FA4DFF">
            <w:pPr>
              <w:autoSpaceDE w:val="0"/>
              <w:autoSpaceDN w:val="0"/>
              <w:adjustRightInd w:val="0"/>
              <w:snapToGrid w:val="0"/>
              <w:jc w:val="left"/>
              <w:rPr>
                <w:rFonts w:ascii="宋体" w:hAnsi="宋体"/>
                <w:kern w:val="0"/>
                <w:szCs w:val="21"/>
              </w:rPr>
            </w:pPr>
          </w:p>
        </w:tc>
        <w:tc>
          <w:tcPr>
            <w:tcW w:w="734" w:type="dxa"/>
          </w:tcPr>
          <w:p w14:paraId="7C686C0B">
            <w:pPr>
              <w:autoSpaceDE w:val="0"/>
              <w:autoSpaceDN w:val="0"/>
              <w:adjustRightInd w:val="0"/>
              <w:snapToGrid w:val="0"/>
              <w:jc w:val="left"/>
              <w:rPr>
                <w:rFonts w:ascii="宋体" w:hAnsi="宋体"/>
                <w:kern w:val="0"/>
                <w:szCs w:val="21"/>
              </w:rPr>
            </w:pPr>
          </w:p>
        </w:tc>
        <w:tc>
          <w:tcPr>
            <w:tcW w:w="776" w:type="dxa"/>
          </w:tcPr>
          <w:p w14:paraId="270BE7B7">
            <w:pPr>
              <w:autoSpaceDE w:val="0"/>
              <w:autoSpaceDN w:val="0"/>
              <w:adjustRightInd w:val="0"/>
              <w:snapToGrid w:val="0"/>
              <w:jc w:val="left"/>
              <w:rPr>
                <w:rFonts w:ascii="宋体" w:hAnsi="宋体"/>
                <w:kern w:val="0"/>
                <w:szCs w:val="21"/>
              </w:rPr>
            </w:pPr>
          </w:p>
        </w:tc>
        <w:tc>
          <w:tcPr>
            <w:tcW w:w="1167" w:type="dxa"/>
          </w:tcPr>
          <w:p w14:paraId="6D3092DE">
            <w:pPr>
              <w:autoSpaceDE w:val="0"/>
              <w:autoSpaceDN w:val="0"/>
              <w:adjustRightInd w:val="0"/>
              <w:snapToGrid w:val="0"/>
              <w:jc w:val="left"/>
              <w:rPr>
                <w:rFonts w:ascii="宋体" w:hAnsi="宋体"/>
                <w:kern w:val="0"/>
                <w:szCs w:val="21"/>
              </w:rPr>
            </w:pPr>
          </w:p>
        </w:tc>
        <w:tc>
          <w:tcPr>
            <w:tcW w:w="776" w:type="dxa"/>
          </w:tcPr>
          <w:p w14:paraId="0A30CAFC">
            <w:pPr>
              <w:autoSpaceDE w:val="0"/>
              <w:autoSpaceDN w:val="0"/>
              <w:adjustRightInd w:val="0"/>
              <w:snapToGrid w:val="0"/>
              <w:jc w:val="left"/>
              <w:rPr>
                <w:rFonts w:ascii="宋体" w:hAnsi="宋体"/>
                <w:kern w:val="0"/>
                <w:szCs w:val="21"/>
              </w:rPr>
            </w:pPr>
          </w:p>
        </w:tc>
        <w:tc>
          <w:tcPr>
            <w:tcW w:w="778" w:type="dxa"/>
          </w:tcPr>
          <w:p w14:paraId="4DDC6968">
            <w:pPr>
              <w:autoSpaceDE w:val="0"/>
              <w:autoSpaceDN w:val="0"/>
              <w:adjustRightInd w:val="0"/>
              <w:snapToGrid w:val="0"/>
              <w:jc w:val="left"/>
              <w:rPr>
                <w:rFonts w:ascii="宋体" w:hAnsi="宋体"/>
                <w:kern w:val="0"/>
                <w:szCs w:val="21"/>
              </w:rPr>
            </w:pPr>
          </w:p>
        </w:tc>
        <w:tc>
          <w:tcPr>
            <w:tcW w:w="776" w:type="dxa"/>
          </w:tcPr>
          <w:p w14:paraId="1934DC19">
            <w:pPr>
              <w:autoSpaceDE w:val="0"/>
              <w:autoSpaceDN w:val="0"/>
              <w:adjustRightInd w:val="0"/>
              <w:snapToGrid w:val="0"/>
              <w:jc w:val="left"/>
              <w:rPr>
                <w:rFonts w:ascii="宋体" w:hAnsi="宋体"/>
                <w:kern w:val="0"/>
                <w:szCs w:val="21"/>
              </w:rPr>
            </w:pPr>
          </w:p>
        </w:tc>
        <w:tc>
          <w:tcPr>
            <w:tcW w:w="2723" w:type="dxa"/>
          </w:tcPr>
          <w:p w14:paraId="3E574F2D">
            <w:pPr>
              <w:autoSpaceDE w:val="0"/>
              <w:autoSpaceDN w:val="0"/>
              <w:adjustRightInd w:val="0"/>
              <w:snapToGrid w:val="0"/>
              <w:jc w:val="left"/>
              <w:rPr>
                <w:rFonts w:ascii="宋体" w:hAnsi="宋体"/>
                <w:kern w:val="0"/>
                <w:szCs w:val="21"/>
              </w:rPr>
            </w:pPr>
          </w:p>
        </w:tc>
        <w:tc>
          <w:tcPr>
            <w:tcW w:w="896" w:type="dxa"/>
          </w:tcPr>
          <w:p w14:paraId="557D67BE">
            <w:pPr>
              <w:autoSpaceDE w:val="0"/>
              <w:autoSpaceDN w:val="0"/>
              <w:adjustRightInd w:val="0"/>
              <w:snapToGrid w:val="0"/>
              <w:jc w:val="left"/>
              <w:rPr>
                <w:rFonts w:ascii="宋体" w:hAnsi="宋体"/>
                <w:kern w:val="0"/>
                <w:szCs w:val="21"/>
              </w:rPr>
            </w:pPr>
          </w:p>
        </w:tc>
      </w:tr>
      <w:tr w14:paraId="3279E2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4A13E01C">
            <w:pPr>
              <w:autoSpaceDE w:val="0"/>
              <w:autoSpaceDN w:val="0"/>
              <w:adjustRightInd w:val="0"/>
              <w:snapToGrid w:val="0"/>
              <w:jc w:val="left"/>
              <w:rPr>
                <w:rFonts w:ascii="宋体" w:hAnsi="宋体"/>
                <w:kern w:val="0"/>
                <w:szCs w:val="21"/>
              </w:rPr>
            </w:pPr>
          </w:p>
        </w:tc>
        <w:tc>
          <w:tcPr>
            <w:tcW w:w="734" w:type="dxa"/>
          </w:tcPr>
          <w:p w14:paraId="78B855ED">
            <w:pPr>
              <w:autoSpaceDE w:val="0"/>
              <w:autoSpaceDN w:val="0"/>
              <w:adjustRightInd w:val="0"/>
              <w:snapToGrid w:val="0"/>
              <w:jc w:val="left"/>
              <w:rPr>
                <w:rFonts w:ascii="宋体" w:hAnsi="宋体"/>
                <w:kern w:val="0"/>
                <w:szCs w:val="21"/>
              </w:rPr>
            </w:pPr>
          </w:p>
        </w:tc>
        <w:tc>
          <w:tcPr>
            <w:tcW w:w="776" w:type="dxa"/>
          </w:tcPr>
          <w:p w14:paraId="4301CF77">
            <w:pPr>
              <w:autoSpaceDE w:val="0"/>
              <w:autoSpaceDN w:val="0"/>
              <w:adjustRightInd w:val="0"/>
              <w:snapToGrid w:val="0"/>
              <w:jc w:val="left"/>
              <w:rPr>
                <w:rFonts w:ascii="宋体" w:hAnsi="宋体"/>
                <w:kern w:val="0"/>
                <w:szCs w:val="21"/>
              </w:rPr>
            </w:pPr>
          </w:p>
        </w:tc>
        <w:tc>
          <w:tcPr>
            <w:tcW w:w="1167" w:type="dxa"/>
          </w:tcPr>
          <w:p w14:paraId="5FA189B1">
            <w:pPr>
              <w:autoSpaceDE w:val="0"/>
              <w:autoSpaceDN w:val="0"/>
              <w:adjustRightInd w:val="0"/>
              <w:snapToGrid w:val="0"/>
              <w:jc w:val="left"/>
              <w:rPr>
                <w:rFonts w:ascii="宋体" w:hAnsi="宋体"/>
                <w:kern w:val="0"/>
                <w:szCs w:val="21"/>
              </w:rPr>
            </w:pPr>
          </w:p>
        </w:tc>
        <w:tc>
          <w:tcPr>
            <w:tcW w:w="776" w:type="dxa"/>
          </w:tcPr>
          <w:p w14:paraId="2E76B1DD">
            <w:pPr>
              <w:autoSpaceDE w:val="0"/>
              <w:autoSpaceDN w:val="0"/>
              <w:adjustRightInd w:val="0"/>
              <w:snapToGrid w:val="0"/>
              <w:jc w:val="left"/>
              <w:rPr>
                <w:rFonts w:ascii="宋体" w:hAnsi="宋体"/>
                <w:kern w:val="0"/>
                <w:szCs w:val="21"/>
              </w:rPr>
            </w:pPr>
          </w:p>
        </w:tc>
        <w:tc>
          <w:tcPr>
            <w:tcW w:w="778" w:type="dxa"/>
          </w:tcPr>
          <w:p w14:paraId="32780ADB">
            <w:pPr>
              <w:autoSpaceDE w:val="0"/>
              <w:autoSpaceDN w:val="0"/>
              <w:adjustRightInd w:val="0"/>
              <w:snapToGrid w:val="0"/>
              <w:jc w:val="left"/>
              <w:rPr>
                <w:rFonts w:ascii="宋体" w:hAnsi="宋体"/>
                <w:kern w:val="0"/>
                <w:szCs w:val="21"/>
              </w:rPr>
            </w:pPr>
          </w:p>
        </w:tc>
        <w:tc>
          <w:tcPr>
            <w:tcW w:w="776" w:type="dxa"/>
          </w:tcPr>
          <w:p w14:paraId="682A5F29">
            <w:pPr>
              <w:autoSpaceDE w:val="0"/>
              <w:autoSpaceDN w:val="0"/>
              <w:adjustRightInd w:val="0"/>
              <w:snapToGrid w:val="0"/>
              <w:jc w:val="left"/>
              <w:rPr>
                <w:rFonts w:ascii="宋体" w:hAnsi="宋体"/>
                <w:kern w:val="0"/>
                <w:szCs w:val="21"/>
              </w:rPr>
            </w:pPr>
          </w:p>
        </w:tc>
        <w:tc>
          <w:tcPr>
            <w:tcW w:w="2723" w:type="dxa"/>
          </w:tcPr>
          <w:p w14:paraId="0C5CEC3D">
            <w:pPr>
              <w:autoSpaceDE w:val="0"/>
              <w:autoSpaceDN w:val="0"/>
              <w:adjustRightInd w:val="0"/>
              <w:snapToGrid w:val="0"/>
              <w:jc w:val="left"/>
              <w:rPr>
                <w:rFonts w:ascii="宋体" w:hAnsi="宋体"/>
                <w:kern w:val="0"/>
                <w:szCs w:val="21"/>
              </w:rPr>
            </w:pPr>
          </w:p>
        </w:tc>
        <w:tc>
          <w:tcPr>
            <w:tcW w:w="896" w:type="dxa"/>
          </w:tcPr>
          <w:p w14:paraId="3E1FFBA8">
            <w:pPr>
              <w:autoSpaceDE w:val="0"/>
              <w:autoSpaceDN w:val="0"/>
              <w:adjustRightInd w:val="0"/>
              <w:snapToGrid w:val="0"/>
              <w:jc w:val="left"/>
              <w:rPr>
                <w:rFonts w:ascii="宋体" w:hAnsi="宋体"/>
                <w:kern w:val="0"/>
                <w:szCs w:val="21"/>
              </w:rPr>
            </w:pPr>
          </w:p>
        </w:tc>
      </w:tr>
      <w:tr w14:paraId="5D6066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AEAE393">
            <w:pPr>
              <w:autoSpaceDE w:val="0"/>
              <w:autoSpaceDN w:val="0"/>
              <w:adjustRightInd w:val="0"/>
              <w:snapToGrid w:val="0"/>
              <w:jc w:val="left"/>
              <w:rPr>
                <w:rFonts w:ascii="宋体" w:hAnsi="宋体"/>
                <w:kern w:val="0"/>
                <w:szCs w:val="21"/>
              </w:rPr>
            </w:pPr>
          </w:p>
        </w:tc>
        <w:tc>
          <w:tcPr>
            <w:tcW w:w="734" w:type="dxa"/>
          </w:tcPr>
          <w:p w14:paraId="5015AA43">
            <w:pPr>
              <w:autoSpaceDE w:val="0"/>
              <w:autoSpaceDN w:val="0"/>
              <w:adjustRightInd w:val="0"/>
              <w:snapToGrid w:val="0"/>
              <w:jc w:val="left"/>
              <w:rPr>
                <w:rFonts w:ascii="宋体" w:hAnsi="宋体"/>
                <w:kern w:val="0"/>
                <w:szCs w:val="21"/>
              </w:rPr>
            </w:pPr>
          </w:p>
        </w:tc>
        <w:tc>
          <w:tcPr>
            <w:tcW w:w="776" w:type="dxa"/>
          </w:tcPr>
          <w:p w14:paraId="564A53C4">
            <w:pPr>
              <w:autoSpaceDE w:val="0"/>
              <w:autoSpaceDN w:val="0"/>
              <w:adjustRightInd w:val="0"/>
              <w:snapToGrid w:val="0"/>
              <w:jc w:val="left"/>
              <w:rPr>
                <w:rFonts w:ascii="宋体" w:hAnsi="宋体"/>
                <w:kern w:val="0"/>
                <w:szCs w:val="21"/>
              </w:rPr>
            </w:pPr>
          </w:p>
        </w:tc>
        <w:tc>
          <w:tcPr>
            <w:tcW w:w="1167" w:type="dxa"/>
          </w:tcPr>
          <w:p w14:paraId="6D063457">
            <w:pPr>
              <w:autoSpaceDE w:val="0"/>
              <w:autoSpaceDN w:val="0"/>
              <w:adjustRightInd w:val="0"/>
              <w:snapToGrid w:val="0"/>
              <w:jc w:val="left"/>
              <w:rPr>
                <w:rFonts w:ascii="宋体" w:hAnsi="宋体"/>
                <w:kern w:val="0"/>
                <w:szCs w:val="21"/>
              </w:rPr>
            </w:pPr>
          </w:p>
        </w:tc>
        <w:tc>
          <w:tcPr>
            <w:tcW w:w="776" w:type="dxa"/>
          </w:tcPr>
          <w:p w14:paraId="04C8C2AC">
            <w:pPr>
              <w:autoSpaceDE w:val="0"/>
              <w:autoSpaceDN w:val="0"/>
              <w:adjustRightInd w:val="0"/>
              <w:snapToGrid w:val="0"/>
              <w:jc w:val="left"/>
              <w:rPr>
                <w:rFonts w:ascii="宋体" w:hAnsi="宋体"/>
                <w:kern w:val="0"/>
                <w:szCs w:val="21"/>
              </w:rPr>
            </w:pPr>
          </w:p>
        </w:tc>
        <w:tc>
          <w:tcPr>
            <w:tcW w:w="778" w:type="dxa"/>
          </w:tcPr>
          <w:p w14:paraId="3EBA8EF0">
            <w:pPr>
              <w:autoSpaceDE w:val="0"/>
              <w:autoSpaceDN w:val="0"/>
              <w:adjustRightInd w:val="0"/>
              <w:snapToGrid w:val="0"/>
              <w:jc w:val="left"/>
              <w:rPr>
                <w:rFonts w:ascii="宋体" w:hAnsi="宋体"/>
                <w:kern w:val="0"/>
                <w:szCs w:val="21"/>
              </w:rPr>
            </w:pPr>
          </w:p>
        </w:tc>
        <w:tc>
          <w:tcPr>
            <w:tcW w:w="776" w:type="dxa"/>
          </w:tcPr>
          <w:p w14:paraId="3181090E">
            <w:pPr>
              <w:autoSpaceDE w:val="0"/>
              <w:autoSpaceDN w:val="0"/>
              <w:adjustRightInd w:val="0"/>
              <w:snapToGrid w:val="0"/>
              <w:jc w:val="left"/>
              <w:rPr>
                <w:rFonts w:ascii="宋体" w:hAnsi="宋体"/>
                <w:kern w:val="0"/>
                <w:szCs w:val="21"/>
              </w:rPr>
            </w:pPr>
          </w:p>
        </w:tc>
        <w:tc>
          <w:tcPr>
            <w:tcW w:w="2723" w:type="dxa"/>
          </w:tcPr>
          <w:p w14:paraId="1EB00603">
            <w:pPr>
              <w:autoSpaceDE w:val="0"/>
              <w:autoSpaceDN w:val="0"/>
              <w:adjustRightInd w:val="0"/>
              <w:snapToGrid w:val="0"/>
              <w:jc w:val="left"/>
              <w:rPr>
                <w:rFonts w:ascii="宋体" w:hAnsi="宋体"/>
                <w:kern w:val="0"/>
                <w:szCs w:val="21"/>
              </w:rPr>
            </w:pPr>
          </w:p>
        </w:tc>
        <w:tc>
          <w:tcPr>
            <w:tcW w:w="896" w:type="dxa"/>
          </w:tcPr>
          <w:p w14:paraId="27D79C07">
            <w:pPr>
              <w:autoSpaceDE w:val="0"/>
              <w:autoSpaceDN w:val="0"/>
              <w:adjustRightInd w:val="0"/>
              <w:snapToGrid w:val="0"/>
              <w:jc w:val="left"/>
              <w:rPr>
                <w:rFonts w:ascii="宋体" w:hAnsi="宋体"/>
                <w:kern w:val="0"/>
                <w:szCs w:val="21"/>
              </w:rPr>
            </w:pPr>
          </w:p>
        </w:tc>
      </w:tr>
      <w:tr w14:paraId="475E02C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C0415ED">
            <w:pPr>
              <w:autoSpaceDE w:val="0"/>
              <w:autoSpaceDN w:val="0"/>
              <w:adjustRightInd w:val="0"/>
              <w:snapToGrid w:val="0"/>
              <w:jc w:val="left"/>
              <w:rPr>
                <w:rFonts w:ascii="宋体" w:hAnsi="宋体"/>
                <w:kern w:val="0"/>
                <w:szCs w:val="21"/>
              </w:rPr>
            </w:pPr>
          </w:p>
        </w:tc>
        <w:tc>
          <w:tcPr>
            <w:tcW w:w="734" w:type="dxa"/>
          </w:tcPr>
          <w:p w14:paraId="1B48955F">
            <w:pPr>
              <w:autoSpaceDE w:val="0"/>
              <w:autoSpaceDN w:val="0"/>
              <w:adjustRightInd w:val="0"/>
              <w:snapToGrid w:val="0"/>
              <w:jc w:val="left"/>
              <w:rPr>
                <w:rFonts w:ascii="宋体" w:hAnsi="宋体"/>
                <w:kern w:val="0"/>
                <w:szCs w:val="21"/>
              </w:rPr>
            </w:pPr>
          </w:p>
        </w:tc>
        <w:tc>
          <w:tcPr>
            <w:tcW w:w="776" w:type="dxa"/>
          </w:tcPr>
          <w:p w14:paraId="716E299F">
            <w:pPr>
              <w:autoSpaceDE w:val="0"/>
              <w:autoSpaceDN w:val="0"/>
              <w:adjustRightInd w:val="0"/>
              <w:snapToGrid w:val="0"/>
              <w:jc w:val="left"/>
              <w:rPr>
                <w:rFonts w:ascii="宋体" w:hAnsi="宋体"/>
                <w:kern w:val="0"/>
                <w:szCs w:val="21"/>
              </w:rPr>
            </w:pPr>
          </w:p>
        </w:tc>
        <w:tc>
          <w:tcPr>
            <w:tcW w:w="1167" w:type="dxa"/>
          </w:tcPr>
          <w:p w14:paraId="1534E8F5">
            <w:pPr>
              <w:autoSpaceDE w:val="0"/>
              <w:autoSpaceDN w:val="0"/>
              <w:adjustRightInd w:val="0"/>
              <w:snapToGrid w:val="0"/>
              <w:jc w:val="left"/>
              <w:rPr>
                <w:rFonts w:ascii="宋体" w:hAnsi="宋体"/>
                <w:kern w:val="0"/>
                <w:szCs w:val="21"/>
              </w:rPr>
            </w:pPr>
          </w:p>
        </w:tc>
        <w:tc>
          <w:tcPr>
            <w:tcW w:w="776" w:type="dxa"/>
          </w:tcPr>
          <w:p w14:paraId="09A079DC">
            <w:pPr>
              <w:autoSpaceDE w:val="0"/>
              <w:autoSpaceDN w:val="0"/>
              <w:adjustRightInd w:val="0"/>
              <w:snapToGrid w:val="0"/>
              <w:jc w:val="left"/>
              <w:rPr>
                <w:rFonts w:ascii="宋体" w:hAnsi="宋体"/>
                <w:kern w:val="0"/>
                <w:szCs w:val="21"/>
              </w:rPr>
            </w:pPr>
          </w:p>
        </w:tc>
        <w:tc>
          <w:tcPr>
            <w:tcW w:w="778" w:type="dxa"/>
          </w:tcPr>
          <w:p w14:paraId="3AA70178">
            <w:pPr>
              <w:autoSpaceDE w:val="0"/>
              <w:autoSpaceDN w:val="0"/>
              <w:adjustRightInd w:val="0"/>
              <w:snapToGrid w:val="0"/>
              <w:jc w:val="left"/>
              <w:rPr>
                <w:rFonts w:ascii="宋体" w:hAnsi="宋体"/>
                <w:kern w:val="0"/>
                <w:szCs w:val="21"/>
              </w:rPr>
            </w:pPr>
          </w:p>
        </w:tc>
        <w:tc>
          <w:tcPr>
            <w:tcW w:w="776" w:type="dxa"/>
          </w:tcPr>
          <w:p w14:paraId="51E24A14">
            <w:pPr>
              <w:autoSpaceDE w:val="0"/>
              <w:autoSpaceDN w:val="0"/>
              <w:adjustRightInd w:val="0"/>
              <w:snapToGrid w:val="0"/>
              <w:jc w:val="left"/>
              <w:rPr>
                <w:rFonts w:ascii="宋体" w:hAnsi="宋体"/>
                <w:kern w:val="0"/>
                <w:szCs w:val="21"/>
              </w:rPr>
            </w:pPr>
          </w:p>
        </w:tc>
        <w:tc>
          <w:tcPr>
            <w:tcW w:w="2723" w:type="dxa"/>
          </w:tcPr>
          <w:p w14:paraId="450A1E7E">
            <w:pPr>
              <w:autoSpaceDE w:val="0"/>
              <w:autoSpaceDN w:val="0"/>
              <w:adjustRightInd w:val="0"/>
              <w:snapToGrid w:val="0"/>
              <w:jc w:val="left"/>
              <w:rPr>
                <w:rFonts w:ascii="宋体" w:hAnsi="宋体"/>
                <w:kern w:val="0"/>
                <w:szCs w:val="21"/>
              </w:rPr>
            </w:pPr>
          </w:p>
        </w:tc>
        <w:tc>
          <w:tcPr>
            <w:tcW w:w="896" w:type="dxa"/>
          </w:tcPr>
          <w:p w14:paraId="1034D8DE">
            <w:pPr>
              <w:autoSpaceDE w:val="0"/>
              <w:autoSpaceDN w:val="0"/>
              <w:adjustRightInd w:val="0"/>
              <w:snapToGrid w:val="0"/>
              <w:jc w:val="left"/>
              <w:rPr>
                <w:rFonts w:ascii="宋体" w:hAnsi="宋体"/>
                <w:kern w:val="0"/>
                <w:szCs w:val="21"/>
              </w:rPr>
            </w:pPr>
          </w:p>
        </w:tc>
      </w:tr>
      <w:tr w14:paraId="7097FD0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9896CB0">
            <w:pPr>
              <w:autoSpaceDE w:val="0"/>
              <w:autoSpaceDN w:val="0"/>
              <w:adjustRightInd w:val="0"/>
              <w:snapToGrid w:val="0"/>
              <w:jc w:val="left"/>
              <w:rPr>
                <w:rFonts w:ascii="宋体" w:hAnsi="宋体"/>
                <w:kern w:val="0"/>
                <w:szCs w:val="21"/>
              </w:rPr>
            </w:pPr>
          </w:p>
        </w:tc>
        <w:tc>
          <w:tcPr>
            <w:tcW w:w="734" w:type="dxa"/>
          </w:tcPr>
          <w:p w14:paraId="6D4E80C7">
            <w:pPr>
              <w:autoSpaceDE w:val="0"/>
              <w:autoSpaceDN w:val="0"/>
              <w:adjustRightInd w:val="0"/>
              <w:snapToGrid w:val="0"/>
              <w:jc w:val="left"/>
              <w:rPr>
                <w:rFonts w:ascii="宋体" w:hAnsi="宋体"/>
                <w:kern w:val="0"/>
                <w:szCs w:val="21"/>
              </w:rPr>
            </w:pPr>
          </w:p>
        </w:tc>
        <w:tc>
          <w:tcPr>
            <w:tcW w:w="776" w:type="dxa"/>
          </w:tcPr>
          <w:p w14:paraId="7052FF20">
            <w:pPr>
              <w:autoSpaceDE w:val="0"/>
              <w:autoSpaceDN w:val="0"/>
              <w:adjustRightInd w:val="0"/>
              <w:snapToGrid w:val="0"/>
              <w:jc w:val="left"/>
              <w:rPr>
                <w:rFonts w:ascii="宋体" w:hAnsi="宋体"/>
                <w:kern w:val="0"/>
                <w:szCs w:val="21"/>
              </w:rPr>
            </w:pPr>
          </w:p>
        </w:tc>
        <w:tc>
          <w:tcPr>
            <w:tcW w:w="1167" w:type="dxa"/>
          </w:tcPr>
          <w:p w14:paraId="003AD5E7">
            <w:pPr>
              <w:autoSpaceDE w:val="0"/>
              <w:autoSpaceDN w:val="0"/>
              <w:adjustRightInd w:val="0"/>
              <w:snapToGrid w:val="0"/>
              <w:jc w:val="left"/>
              <w:rPr>
                <w:rFonts w:ascii="宋体" w:hAnsi="宋体"/>
                <w:kern w:val="0"/>
                <w:szCs w:val="21"/>
              </w:rPr>
            </w:pPr>
          </w:p>
        </w:tc>
        <w:tc>
          <w:tcPr>
            <w:tcW w:w="776" w:type="dxa"/>
          </w:tcPr>
          <w:p w14:paraId="7C611649">
            <w:pPr>
              <w:autoSpaceDE w:val="0"/>
              <w:autoSpaceDN w:val="0"/>
              <w:adjustRightInd w:val="0"/>
              <w:snapToGrid w:val="0"/>
              <w:jc w:val="left"/>
              <w:rPr>
                <w:rFonts w:ascii="宋体" w:hAnsi="宋体"/>
                <w:kern w:val="0"/>
                <w:szCs w:val="21"/>
              </w:rPr>
            </w:pPr>
          </w:p>
        </w:tc>
        <w:tc>
          <w:tcPr>
            <w:tcW w:w="778" w:type="dxa"/>
          </w:tcPr>
          <w:p w14:paraId="04C6221F">
            <w:pPr>
              <w:autoSpaceDE w:val="0"/>
              <w:autoSpaceDN w:val="0"/>
              <w:adjustRightInd w:val="0"/>
              <w:snapToGrid w:val="0"/>
              <w:jc w:val="left"/>
              <w:rPr>
                <w:rFonts w:ascii="宋体" w:hAnsi="宋体"/>
                <w:kern w:val="0"/>
                <w:szCs w:val="21"/>
              </w:rPr>
            </w:pPr>
          </w:p>
        </w:tc>
        <w:tc>
          <w:tcPr>
            <w:tcW w:w="776" w:type="dxa"/>
          </w:tcPr>
          <w:p w14:paraId="6F915408">
            <w:pPr>
              <w:autoSpaceDE w:val="0"/>
              <w:autoSpaceDN w:val="0"/>
              <w:adjustRightInd w:val="0"/>
              <w:snapToGrid w:val="0"/>
              <w:jc w:val="left"/>
              <w:rPr>
                <w:rFonts w:ascii="宋体" w:hAnsi="宋体"/>
                <w:kern w:val="0"/>
                <w:szCs w:val="21"/>
              </w:rPr>
            </w:pPr>
          </w:p>
        </w:tc>
        <w:tc>
          <w:tcPr>
            <w:tcW w:w="2723" w:type="dxa"/>
          </w:tcPr>
          <w:p w14:paraId="4BA37960">
            <w:pPr>
              <w:autoSpaceDE w:val="0"/>
              <w:autoSpaceDN w:val="0"/>
              <w:adjustRightInd w:val="0"/>
              <w:snapToGrid w:val="0"/>
              <w:jc w:val="left"/>
              <w:rPr>
                <w:rFonts w:ascii="宋体" w:hAnsi="宋体"/>
                <w:kern w:val="0"/>
                <w:szCs w:val="21"/>
              </w:rPr>
            </w:pPr>
          </w:p>
        </w:tc>
        <w:tc>
          <w:tcPr>
            <w:tcW w:w="896" w:type="dxa"/>
          </w:tcPr>
          <w:p w14:paraId="4ABCC87C">
            <w:pPr>
              <w:autoSpaceDE w:val="0"/>
              <w:autoSpaceDN w:val="0"/>
              <w:adjustRightInd w:val="0"/>
              <w:snapToGrid w:val="0"/>
              <w:jc w:val="left"/>
              <w:rPr>
                <w:rFonts w:ascii="宋体" w:hAnsi="宋体"/>
                <w:kern w:val="0"/>
                <w:szCs w:val="21"/>
              </w:rPr>
            </w:pPr>
          </w:p>
        </w:tc>
      </w:tr>
      <w:tr w14:paraId="6C35C1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6FBBFB0">
            <w:pPr>
              <w:autoSpaceDE w:val="0"/>
              <w:autoSpaceDN w:val="0"/>
              <w:adjustRightInd w:val="0"/>
              <w:snapToGrid w:val="0"/>
              <w:jc w:val="left"/>
              <w:rPr>
                <w:rFonts w:ascii="宋体" w:hAnsi="宋体"/>
                <w:kern w:val="0"/>
                <w:szCs w:val="21"/>
              </w:rPr>
            </w:pPr>
          </w:p>
        </w:tc>
        <w:tc>
          <w:tcPr>
            <w:tcW w:w="734" w:type="dxa"/>
          </w:tcPr>
          <w:p w14:paraId="7632A800">
            <w:pPr>
              <w:autoSpaceDE w:val="0"/>
              <w:autoSpaceDN w:val="0"/>
              <w:adjustRightInd w:val="0"/>
              <w:snapToGrid w:val="0"/>
              <w:jc w:val="left"/>
              <w:rPr>
                <w:rFonts w:ascii="宋体" w:hAnsi="宋体"/>
                <w:kern w:val="0"/>
                <w:szCs w:val="21"/>
              </w:rPr>
            </w:pPr>
          </w:p>
        </w:tc>
        <w:tc>
          <w:tcPr>
            <w:tcW w:w="776" w:type="dxa"/>
          </w:tcPr>
          <w:p w14:paraId="2395183E">
            <w:pPr>
              <w:autoSpaceDE w:val="0"/>
              <w:autoSpaceDN w:val="0"/>
              <w:adjustRightInd w:val="0"/>
              <w:snapToGrid w:val="0"/>
              <w:jc w:val="left"/>
              <w:rPr>
                <w:rFonts w:ascii="宋体" w:hAnsi="宋体"/>
                <w:kern w:val="0"/>
                <w:szCs w:val="21"/>
              </w:rPr>
            </w:pPr>
          </w:p>
        </w:tc>
        <w:tc>
          <w:tcPr>
            <w:tcW w:w="1167" w:type="dxa"/>
          </w:tcPr>
          <w:p w14:paraId="72B401F1">
            <w:pPr>
              <w:autoSpaceDE w:val="0"/>
              <w:autoSpaceDN w:val="0"/>
              <w:adjustRightInd w:val="0"/>
              <w:snapToGrid w:val="0"/>
              <w:jc w:val="left"/>
              <w:rPr>
                <w:rFonts w:ascii="宋体" w:hAnsi="宋体"/>
                <w:kern w:val="0"/>
                <w:szCs w:val="21"/>
              </w:rPr>
            </w:pPr>
          </w:p>
        </w:tc>
        <w:tc>
          <w:tcPr>
            <w:tcW w:w="776" w:type="dxa"/>
          </w:tcPr>
          <w:p w14:paraId="617A68BA">
            <w:pPr>
              <w:autoSpaceDE w:val="0"/>
              <w:autoSpaceDN w:val="0"/>
              <w:adjustRightInd w:val="0"/>
              <w:snapToGrid w:val="0"/>
              <w:jc w:val="left"/>
              <w:rPr>
                <w:rFonts w:ascii="宋体" w:hAnsi="宋体"/>
                <w:kern w:val="0"/>
                <w:szCs w:val="21"/>
              </w:rPr>
            </w:pPr>
          </w:p>
        </w:tc>
        <w:tc>
          <w:tcPr>
            <w:tcW w:w="778" w:type="dxa"/>
          </w:tcPr>
          <w:p w14:paraId="38E8A38C">
            <w:pPr>
              <w:autoSpaceDE w:val="0"/>
              <w:autoSpaceDN w:val="0"/>
              <w:adjustRightInd w:val="0"/>
              <w:snapToGrid w:val="0"/>
              <w:jc w:val="left"/>
              <w:rPr>
                <w:rFonts w:ascii="宋体" w:hAnsi="宋体"/>
                <w:kern w:val="0"/>
                <w:szCs w:val="21"/>
              </w:rPr>
            </w:pPr>
          </w:p>
        </w:tc>
        <w:tc>
          <w:tcPr>
            <w:tcW w:w="776" w:type="dxa"/>
          </w:tcPr>
          <w:p w14:paraId="7CDD69E5">
            <w:pPr>
              <w:autoSpaceDE w:val="0"/>
              <w:autoSpaceDN w:val="0"/>
              <w:adjustRightInd w:val="0"/>
              <w:snapToGrid w:val="0"/>
              <w:jc w:val="left"/>
              <w:rPr>
                <w:rFonts w:ascii="宋体" w:hAnsi="宋体"/>
                <w:kern w:val="0"/>
                <w:szCs w:val="21"/>
              </w:rPr>
            </w:pPr>
          </w:p>
        </w:tc>
        <w:tc>
          <w:tcPr>
            <w:tcW w:w="2723" w:type="dxa"/>
          </w:tcPr>
          <w:p w14:paraId="2129C1D2">
            <w:pPr>
              <w:autoSpaceDE w:val="0"/>
              <w:autoSpaceDN w:val="0"/>
              <w:adjustRightInd w:val="0"/>
              <w:snapToGrid w:val="0"/>
              <w:jc w:val="left"/>
              <w:rPr>
                <w:rFonts w:ascii="宋体" w:hAnsi="宋体"/>
                <w:kern w:val="0"/>
                <w:szCs w:val="21"/>
              </w:rPr>
            </w:pPr>
          </w:p>
        </w:tc>
        <w:tc>
          <w:tcPr>
            <w:tcW w:w="896" w:type="dxa"/>
          </w:tcPr>
          <w:p w14:paraId="6026322A">
            <w:pPr>
              <w:autoSpaceDE w:val="0"/>
              <w:autoSpaceDN w:val="0"/>
              <w:adjustRightInd w:val="0"/>
              <w:snapToGrid w:val="0"/>
              <w:jc w:val="left"/>
              <w:rPr>
                <w:rFonts w:ascii="宋体" w:hAnsi="宋体"/>
                <w:kern w:val="0"/>
                <w:szCs w:val="21"/>
              </w:rPr>
            </w:pPr>
          </w:p>
        </w:tc>
      </w:tr>
      <w:tr w14:paraId="319527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307245A">
            <w:pPr>
              <w:autoSpaceDE w:val="0"/>
              <w:autoSpaceDN w:val="0"/>
              <w:adjustRightInd w:val="0"/>
              <w:snapToGrid w:val="0"/>
              <w:jc w:val="left"/>
              <w:rPr>
                <w:rFonts w:ascii="宋体" w:hAnsi="宋体"/>
                <w:kern w:val="0"/>
                <w:szCs w:val="21"/>
              </w:rPr>
            </w:pPr>
          </w:p>
        </w:tc>
        <w:tc>
          <w:tcPr>
            <w:tcW w:w="734" w:type="dxa"/>
          </w:tcPr>
          <w:p w14:paraId="3A3B02B6">
            <w:pPr>
              <w:autoSpaceDE w:val="0"/>
              <w:autoSpaceDN w:val="0"/>
              <w:adjustRightInd w:val="0"/>
              <w:snapToGrid w:val="0"/>
              <w:jc w:val="left"/>
              <w:rPr>
                <w:rFonts w:ascii="宋体" w:hAnsi="宋体"/>
                <w:kern w:val="0"/>
                <w:szCs w:val="21"/>
              </w:rPr>
            </w:pPr>
          </w:p>
        </w:tc>
        <w:tc>
          <w:tcPr>
            <w:tcW w:w="776" w:type="dxa"/>
          </w:tcPr>
          <w:p w14:paraId="765A88D9">
            <w:pPr>
              <w:autoSpaceDE w:val="0"/>
              <w:autoSpaceDN w:val="0"/>
              <w:adjustRightInd w:val="0"/>
              <w:snapToGrid w:val="0"/>
              <w:jc w:val="left"/>
              <w:rPr>
                <w:rFonts w:ascii="宋体" w:hAnsi="宋体"/>
                <w:kern w:val="0"/>
                <w:szCs w:val="21"/>
              </w:rPr>
            </w:pPr>
          </w:p>
        </w:tc>
        <w:tc>
          <w:tcPr>
            <w:tcW w:w="1167" w:type="dxa"/>
          </w:tcPr>
          <w:p w14:paraId="11B01D6C">
            <w:pPr>
              <w:autoSpaceDE w:val="0"/>
              <w:autoSpaceDN w:val="0"/>
              <w:adjustRightInd w:val="0"/>
              <w:snapToGrid w:val="0"/>
              <w:jc w:val="left"/>
              <w:rPr>
                <w:rFonts w:ascii="宋体" w:hAnsi="宋体"/>
                <w:kern w:val="0"/>
                <w:szCs w:val="21"/>
              </w:rPr>
            </w:pPr>
          </w:p>
        </w:tc>
        <w:tc>
          <w:tcPr>
            <w:tcW w:w="776" w:type="dxa"/>
          </w:tcPr>
          <w:p w14:paraId="3F7289BC">
            <w:pPr>
              <w:autoSpaceDE w:val="0"/>
              <w:autoSpaceDN w:val="0"/>
              <w:adjustRightInd w:val="0"/>
              <w:snapToGrid w:val="0"/>
              <w:jc w:val="left"/>
              <w:rPr>
                <w:rFonts w:ascii="宋体" w:hAnsi="宋体"/>
                <w:kern w:val="0"/>
                <w:szCs w:val="21"/>
              </w:rPr>
            </w:pPr>
          </w:p>
        </w:tc>
        <w:tc>
          <w:tcPr>
            <w:tcW w:w="778" w:type="dxa"/>
          </w:tcPr>
          <w:p w14:paraId="7DA78DA2">
            <w:pPr>
              <w:autoSpaceDE w:val="0"/>
              <w:autoSpaceDN w:val="0"/>
              <w:adjustRightInd w:val="0"/>
              <w:snapToGrid w:val="0"/>
              <w:jc w:val="left"/>
              <w:rPr>
                <w:rFonts w:ascii="宋体" w:hAnsi="宋体"/>
                <w:kern w:val="0"/>
                <w:szCs w:val="21"/>
              </w:rPr>
            </w:pPr>
          </w:p>
        </w:tc>
        <w:tc>
          <w:tcPr>
            <w:tcW w:w="776" w:type="dxa"/>
          </w:tcPr>
          <w:p w14:paraId="6B07B889">
            <w:pPr>
              <w:autoSpaceDE w:val="0"/>
              <w:autoSpaceDN w:val="0"/>
              <w:adjustRightInd w:val="0"/>
              <w:snapToGrid w:val="0"/>
              <w:jc w:val="left"/>
              <w:rPr>
                <w:rFonts w:ascii="宋体" w:hAnsi="宋体"/>
                <w:kern w:val="0"/>
                <w:szCs w:val="21"/>
              </w:rPr>
            </w:pPr>
          </w:p>
        </w:tc>
        <w:tc>
          <w:tcPr>
            <w:tcW w:w="2723" w:type="dxa"/>
          </w:tcPr>
          <w:p w14:paraId="3EC8F10C">
            <w:pPr>
              <w:autoSpaceDE w:val="0"/>
              <w:autoSpaceDN w:val="0"/>
              <w:adjustRightInd w:val="0"/>
              <w:snapToGrid w:val="0"/>
              <w:jc w:val="left"/>
              <w:rPr>
                <w:rFonts w:ascii="宋体" w:hAnsi="宋体"/>
                <w:kern w:val="0"/>
                <w:szCs w:val="21"/>
              </w:rPr>
            </w:pPr>
          </w:p>
        </w:tc>
        <w:tc>
          <w:tcPr>
            <w:tcW w:w="896" w:type="dxa"/>
          </w:tcPr>
          <w:p w14:paraId="196FE009">
            <w:pPr>
              <w:autoSpaceDE w:val="0"/>
              <w:autoSpaceDN w:val="0"/>
              <w:adjustRightInd w:val="0"/>
              <w:snapToGrid w:val="0"/>
              <w:jc w:val="left"/>
              <w:rPr>
                <w:rFonts w:ascii="宋体" w:hAnsi="宋体"/>
                <w:kern w:val="0"/>
                <w:szCs w:val="21"/>
              </w:rPr>
            </w:pPr>
          </w:p>
        </w:tc>
      </w:tr>
      <w:tr w14:paraId="1294BBB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EA528CF">
            <w:pPr>
              <w:autoSpaceDE w:val="0"/>
              <w:autoSpaceDN w:val="0"/>
              <w:adjustRightInd w:val="0"/>
              <w:snapToGrid w:val="0"/>
              <w:jc w:val="left"/>
              <w:rPr>
                <w:rFonts w:ascii="宋体" w:hAnsi="宋体"/>
                <w:kern w:val="0"/>
                <w:szCs w:val="21"/>
              </w:rPr>
            </w:pPr>
          </w:p>
        </w:tc>
        <w:tc>
          <w:tcPr>
            <w:tcW w:w="734" w:type="dxa"/>
          </w:tcPr>
          <w:p w14:paraId="5A7BF24F">
            <w:pPr>
              <w:autoSpaceDE w:val="0"/>
              <w:autoSpaceDN w:val="0"/>
              <w:adjustRightInd w:val="0"/>
              <w:snapToGrid w:val="0"/>
              <w:jc w:val="left"/>
              <w:rPr>
                <w:rFonts w:ascii="宋体" w:hAnsi="宋体"/>
                <w:kern w:val="0"/>
                <w:szCs w:val="21"/>
              </w:rPr>
            </w:pPr>
          </w:p>
        </w:tc>
        <w:tc>
          <w:tcPr>
            <w:tcW w:w="776" w:type="dxa"/>
          </w:tcPr>
          <w:p w14:paraId="2E9C7A34">
            <w:pPr>
              <w:autoSpaceDE w:val="0"/>
              <w:autoSpaceDN w:val="0"/>
              <w:adjustRightInd w:val="0"/>
              <w:snapToGrid w:val="0"/>
              <w:jc w:val="left"/>
              <w:rPr>
                <w:rFonts w:ascii="宋体" w:hAnsi="宋体"/>
                <w:kern w:val="0"/>
                <w:szCs w:val="21"/>
              </w:rPr>
            </w:pPr>
          </w:p>
        </w:tc>
        <w:tc>
          <w:tcPr>
            <w:tcW w:w="1167" w:type="dxa"/>
          </w:tcPr>
          <w:p w14:paraId="444ADFF5">
            <w:pPr>
              <w:autoSpaceDE w:val="0"/>
              <w:autoSpaceDN w:val="0"/>
              <w:adjustRightInd w:val="0"/>
              <w:snapToGrid w:val="0"/>
              <w:jc w:val="left"/>
              <w:rPr>
                <w:rFonts w:ascii="宋体" w:hAnsi="宋体"/>
                <w:kern w:val="0"/>
                <w:szCs w:val="21"/>
              </w:rPr>
            </w:pPr>
          </w:p>
        </w:tc>
        <w:tc>
          <w:tcPr>
            <w:tcW w:w="776" w:type="dxa"/>
          </w:tcPr>
          <w:p w14:paraId="6E65F859">
            <w:pPr>
              <w:autoSpaceDE w:val="0"/>
              <w:autoSpaceDN w:val="0"/>
              <w:adjustRightInd w:val="0"/>
              <w:snapToGrid w:val="0"/>
              <w:jc w:val="left"/>
              <w:rPr>
                <w:rFonts w:ascii="宋体" w:hAnsi="宋体"/>
                <w:kern w:val="0"/>
                <w:szCs w:val="21"/>
              </w:rPr>
            </w:pPr>
          </w:p>
        </w:tc>
        <w:tc>
          <w:tcPr>
            <w:tcW w:w="778" w:type="dxa"/>
          </w:tcPr>
          <w:p w14:paraId="7EB20ED6">
            <w:pPr>
              <w:autoSpaceDE w:val="0"/>
              <w:autoSpaceDN w:val="0"/>
              <w:adjustRightInd w:val="0"/>
              <w:snapToGrid w:val="0"/>
              <w:jc w:val="left"/>
              <w:rPr>
                <w:rFonts w:ascii="宋体" w:hAnsi="宋体"/>
                <w:kern w:val="0"/>
                <w:szCs w:val="21"/>
              </w:rPr>
            </w:pPr>
          </w:p>
        </w:tc>
        <w:tc>
          <w:tcPr>
            <w:tcW w:w="776" w:type="dxa"/>
          </w:tcPr>
          <w:p w14:paraId="30A7ECA0">
            <w:pPr>
              <w:autoSpaceDE w:val="0"/>
              <w:autoSpaceDN w:val="0"/>
              <w:adjustRightInd w:val="0"/>
              <w:snapToGrid w:val="0"/>
              <w:jc w:val="left"/>
              <w:rPr>
                <w:rFonts w:ascii="宋体" w:hAnsi="宋体"/>
                <w:kern w:val="0"/>
                <w:szCs w:val="21"/>
              </w:rPr>
            </w:pPr>
          </w:p>
        </w:tc>
        <w:tc>
          <w:tcPr>
            <w:tcW w:w="2723" w:type="dxa"/>
          </w:tcPr>
          <w:p w14:paraId="6871E447">
            <w:pPr>
              <w:autoSpaceDE w:val="0"/>
              <w:autoSpaceDN w:val="0"/>
              <w:adjustRightInd w:val="0"/>
              <w:snapToGrid w:val="0"/>
              <w:jc w:val="left"/>
              <w:rPr>
                <w:rFonts w:ascii="宋体" w:hAnsi="宋体"/>
                <w:kern w:val="0"/>
                <w:szCs w:val="21"/>
              </w:rPr>
            </w:pPr>
          </w:p>
        </w:tc>
        <w:tc>
          <w:tcPr>
            <w:tcW w:w="896" w:type="dxa"/>
          </w:tcPr>
          <w:p w14:paraId="53C69334">
            <w:pPr>
              <w:autoSpaceDE w:val="0"/>
              <w:autoSpaceDN w:val="0"/>
              <w:adjustRightInd w:val="0"/>
              <w:snapToGrid w:val="0"/>
              <w:jc w:val="left"/>
              <w:rPr>
                <w:rFonts w:ascii="宋体" w:hAnsi="宋体"/>
                <w:kern w:val="0"/>
                <w:szCs w:val="21"/>
              </w:rPr>
            </w:pPr>
          </w:p>
        </w:tc>
      </w:tr>
      <w:tr w14:paraId="6BEF78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56297838">
            <w:pPr>
              <w:autoSpaceDE w:val="0"/>
              <w:autoSpaceDN w:val="0"/>
              <w:adjustRightInd w:val="0"/>
              <w:snapToGrid w:val="0"/>
              <w:jc w:val="left"/>
              <w:rPr>
                <w:rFonts w:ascii="宋体" w:hAnsi="宋体"/>
                <w:kern w:val="0"/>
                <w:szCs w:val="21"/>
              </w:rPr>
            </w:pPr>
          </w:p>
        </w:tc>
        <w:tc>
          <w:tcPr>
            <w:tcW w:w="734" w:type="dxa"/>
          </w:tcPr>
          <w:p w14:paraId="28ACE9BC">
            <w:pPr>
              <w:autoSpaceDE w:val="0"/>
              <w:autoSpaceDN w:val="0"/>
              <w:adjustRightInd w:val="0"/>
              <w:snapToGrid w:val="0"/>
              <w:jc w:val="left"/>
              <w:rPr>
                <w:rFonts w:ascii="宋体" w:hAnsi="宋体"/>
                <w:kern w:val="0"/>
                <w:szCs w:val="21"/>
              </w:rPr>
            </w:pPr>
          </w:p>
        </w:tc>
        <w:tc>
          <w:tcPr>
            <w:tcW w:w="776" w:type="dxa"/>
          </w:tcPr>
          <w:p w14:paraId="3568382C">
            <w:pPr>
              <w:autoSpaceDE w:val="0"/>
              <w:autoSpaceDN w:val="0"/>
              <w:adjustRightInd w:val="0"/>
              <w:snapToGrid w:val="0"/>
              <w:jc w:val="left"/>
              <w:rPr>
                <w:rFonts w:ascii="宋体" w:hAnsi="宋体"/>
                <w:kern w:val="0"/>
                <w:szCs w:val="21"/>
              </w:rPr>
            </w:pPr>
          </w:p>
        </w:tc>
        <w:tc>
          <w:tcPr>
            <w:tcW w:w="1167" w:type="dxa"/>
          </w:tcPr>
          <w:p w14:paraId="510F8CF7">
            <w:pPr>
              <w:autoSpaceDE w:val="0"/>
              <w:autoSpaceDN w:val="0"/>
              <w:adjustRightInd w:val="0"/>
              <w:snapToGrid w:val="0"/>
              <w:jc w:val="left"/>
              <w:rPr>
                <w:rFonts w:ascii="宋体" w:hAnsi="宋体"/>
                <w:kern w:val="0"/>
                <w:szCs w:val="21"/>
              </w:rPr>
            </w:pPr>
          </w:p>
        </w:tc>
        <w:tc>
          <w:tcPr>
            <w:tcW w:w="776" w:type="dxa"/>
          </w:tcPr>
          <w:p w14:paraId="66C33F46">
            <w:pPr>
              <w:autoSpaceDE w:val="0"/>
              <w:autoSpaceDN w:val="0"/>
              <w:adjustRightInd w:val="0"/>
              <w:snapToGrid w:val="0"/>
              <w:jc w:val="left"/>
              <w:rPr>
                <w:rFonts w:ascii="宋体" w:hAnsi="宋体"/>
                <w:kern w:val="0"/>
                <w:szCs w:val="21"/>
              </w:rPr>
            </w:pPr>
          </w:p>
        </w:tc>
        <w:tc>
          <w:tcPr>
            <w:tcW w:w="778" w:type="dxa"/>
          </w:tcPr>
          <w:p w14:paraId="043DA467">
            <w:pPr>
              <w:autoSpaceDE w:val="0"/>
              <w:autoSpaceDN w:val="0"/>
              <w:adjustRightInd w:val="0"/>
              <w:snapToGrid w:val="0"/>
              <w:jc w:val="left"/>
              <w:rPr>
                <w:rFonts w:ascii="宋体" w:hAnsi="宋体"/>
                <w:kern w:val="0"/>
                <w:szCs w:val="21"/>
              </w:rPr>
            </w:pPr>
          </w:p>
        </w:tc>
        <w:tc>
          <w:tcPr>
            <w:tcW w:w="776" w:type="dxa"/>
          </w:tcPr>
          <w:p w14:paraId="5AEFFADB">
            <w:pPr>
              <w:autoSpaceDE w:val="0"/>
              <w:autoSpaceDN w:val="0"/>
              <w:adjustRightInd w:val="0"/>
              <w:snapToGrid w:val="0"/>
              <w:jc w:val="left"/>
              <w:rPr>
                <w:rFonts w:ascii="宋体" w:hAnsi="宋体"/>
                <w:kern w:val="0"/>
                <w:szCs w:val="21"/>
              </w:rPr>
            </w:pPr>
          </w:p>
        </w:tc>
        <w:tc>
          <w:tcPr>
            <w:tcW w:w="2723" w:type="dxa"/>
          </w:tcPr>
          <w:p w14:paraId="627FBE99">
            <w:pPr>
              <w:autoSpaceDE w:val="0"/>
              <w:autoSpaceDN w:val="0"/>
              <w:adjustRightInd w:val="0"/>
              <w:snapToGrid w:val="0"/>
              <w:jc w:val="left"/>
              <w:rPr>
                <w:rFonts w:ascii="宋体" w:hAnsi="宋体"/>
                <w:kern w:val="0"/>
                <w:szCs w:val="21"/>
              </w:rPr>
            </w:pPr>
          </w:p>
        </w:tc>
        <w:tc>
          <w:tcPr>
            <w:tcW w:w="896" w:type="dxa"/>
          </w:tcPr>
          <w:p w14:paraId="1467F0DA">
            <w:pPr>
              <w:autoSpaceDE w:val="0"/>
              <w:autoSpaceDN w:val="0"/>
              <w:adjustRightInd w:val="0"/>
              <w:snapToGrid w:val="0"/>
              <w:jc w:val="left"/>
              <w:rPr>
                <w:rFonts w:ascii="宋体" w:hAnsi="宋体"/>
                <w:kern w:val="0"/>
                <w:szCs w:val="21"/>
              </w:rPr>
            </w:pPr>
          </w:p>
        </w:tc>
      </w:tr>
      <w:tr w14:paraId="4290086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3BD86A2F">
            <w:pPr>
              <w:autoSpaceDE w:val="0"/>
              <w:autoSpaceDN w:val="0"/>
              <w:adjustRightInd w:val="0"/>
              <w:snapToGrid w:val="0"/>
              <w:jc w:val="left"/>
              <w:rPr>
                <w:rFonts w:ascii="宋体" w:hAnsi="宋体"/>
                <w:kern w:val="0"/>
                <w:szCs w:val="21"/>
              </w:rPr>
            </w:pPr>
          </w:p>
        </w:tc>
        <w:tc>
          <w:tcPr>
            <w:tcW w:w="734" w:type="dxa"/>
          </w:tcPr>
          <w:p w14:paraId="7FB80E9E">
            <w:pPr>
              <w:autoSpaceDE w:val="0"/>
              <w:autoSpaceDN w:val="0"/>
              <w:adjustRightInd w:val="0"/>
              <w:snapToGrid w:val="0"/>
              <w:jc w:val="left"/>
              <w:rPr>
                <w:rFonts w:ascii="宋体" w:hAnsi="宋体"/>
                <w:kern w:val="0"/>
                <w:szCs w:val="21"/>
              </w:rPr>
            </w:pPr>
          </w:p>
        </w:tc>
        <w:tc>
          <w:tcPr>
            <w:tcW w:w="776" w:type="dxa"/>
          </w:tcPr>
          <w:p w14:paraId="5F183AF0">
            <w:pPr>
              <w:autoSpaceDE w:val="0"/>
              <w:autoSpaceDN w:val="0"/>
              <w:adjustRightInd w:val="0"/>
              <w:snapToGrid w:val="0"/>
              <w:jc w:val="left"/>
              <w:rPr>
                <w:rFonts w:ascii="宋体" w:hAnsi="宋体"/>
                <w:kern w:val="0"/>
                <w:szCs w:val="21"/>
              </w:rPr>
            </w:pPr>
          </w:p>
        </w:tc>
        <w:tc>
          <w:tcPr>
            <w:tcW w:w="1167" w:type="dxa"/>
          </w:tcPr>
          <w:p w14:paraId="3C0BCA1F">
            <w:pPr>
              <w:autoSpaceDE w:val="0"/>
              <w:autoSpaceDN w:val="0"/>
              <w:adjustRightInd w:val="0"/>
              <w:snapToGrid w:val="0"/>
              <w:jc w:val="left"/>
              <w:rPr>
                <w:rFonts w:ascii="宋体" w:hAnsi="宋体"/>
                <w:kern w:val="0"/>
                <w:szCs w:val="21"/>
              </w:rPr>
            </w:pPr>
          </w:p>
        </w:tc>
        <w:tc>
          <w:tcPr>
            <w:tcW w:w="776" w:type="dxa"/>
          </w:tcPr>
          <w:p w14:paraId="4CECD917">
            <w:pPr>
              <w:autoSpaceDE w:val="0"/>
              <w:autoSpaceDN w:val="0"/>
              <w:adjustRightInd w:val="0"/>
              <w:snapToGrid w:val="0"/>
              <w:jc w:val="left"/>
              <w:rPr>
                <w:rFonts w:ascii="宋体" w:hAnsi="宋体"/>
                <w:kern w:val="0"/>
                <w:szCs w:val="21"/>
              </w:rPr>
            </w:pPr>
          </w:p>
        </w:tc>
        <w:tc>
          <w:tcPr>
            <w:tcW w:w="778" w:type="dxa"/>
          </w:tcPr>
          <w:p w14:paraId="376EA601">
            <w:pPr>
              <w:autoSpaceDE w:val="0"/>
              <w:autoSpaceDN w:val="0"/>
              <w:adjustRightInd w:val="0"/>
              <w:snapToGrid w:val="0"/>
              <w:jc w:val="left"/>
              <w:rPr>
                <w:rFonts w:ascii="宋体" w:hAnsi="宋体"/>
                <w:kern w:val="0"/>
                <w:szCs w:val="21"/>
              </w:rPr>
            </w:pPr>
          </w:p>
        </w:tc>
        <w:tc>
          <w:tcPr>
            <w:tcW w:w="776" w:type="dxa"/>
          </w:tcPr>
          <w:p w14:paraId="44F998CC">
            <w:pPr>
              <w:autoSpaceDE w:val="0"/>
              <w:autoSpaceDN w:val="0"/>
              <w:adjustRightInd w:val="0"/>
              <w:snapToGrid w:val="0"/>
              <w:jc w:val="left"/>
              <w:rPr>
                <w:rFonts w:ascii="宋体" w:hAnsi="宋体"/>
                <w:kern w:val="0"/>
                <w:szCs w:val="21"/>
              </w:rPr>
            </w:pPr>
          </w:p>
        </w:tc>
        <w:tc>
          <w:tcPr>
            <w:tcW w:w="2723" w:type="dxa"/>
          </w:tcPr>
          <w:p w14:paraId="730E3499">
            <w:pPr>
              <w:autoSpaceDE w:val="0"/>
              <w:autoSpaceDN w:val="0"/>
              <w:adjustRightInd w:val="0"/>
              <w:snapToGrid w:val="0"/>
              <w:jc w:val="left"/>
              <w:rPr>
                <w:rFonts w:ascii="宋体" w:hAnsi="宋体"/>
                <w:kern w:val="0"/>
                <w:szCs w:val="21"/>
              </w:rPr>
            </w:pPr>
          </w:p>
        </w:tc>
        <w:tc>
          <w:tcPr>
            <w:tcW w:w="896" w:type="dxa"/>
          </w:tcPr>
          <w:p w14:paraId="3EEFEB17">
            <w:pPr>
              <w:autoSpaceDE w:val="0"/>
              <w:autoSpaceDN w:val="0"/>
              <w:adjustRightInd w:val="0"/>
              <w:snapToGrid w:val="0"/>
              <w:jc w:val="left"/>
              <w:rPr>
                <w:rFonts w:ascii="宋体" w:hAnsi="宋体"/>
                <w:kern w:val="0"/>
                <w:szCs w:val="21"/>
              </w:rPr>
            </w:pPr>
          </w:p>
        </w:tc>
      </w:tr>
      <w:tr w14:paraId="272769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0DF5DE0A">
            <w:pPr>
              <w:autoSpaceDE w:val="0"/>
              <w:autoSpaceDN w:val="0"/>
              <w:adjustRightInd w:val="0"/>
              <w:snapToGrid w:val="0"/>
              <w:jc w:val="left"/>
              <w:rPr>
                <w:rFonts w:ascii="宋体" w:hAnsi="宋体"/>
                <w:kern w:val="0"/>
                <w:szCs w:val="21"/>
              </w:rPr>
            </w:pPr>
          </w:p>
        </w:tc>
        <w:tc>
          <w:tcPr>
            <w:tcW w:w="734" w:type="dxa"/>
          </w:tcPr>
          <w:p w14:paraId="58CC1863">
            <w:pPr>
              <w:autoSpaceDE w:val="0"/>
              <w:autoSpaceDN w:val="0"/>
              <w:adjustRightInd w:val="0"/>
              <w:snapToGrid w:val="0"/>
              <w:jc w:val="left"/>
              <w:rPr>
                <w:rFonts w:ascii="宋体" w:hAnsi="宋体"/>
                <w:kern w:val="0"/>
                <w:szCs w:val="21"/>
              </w:rPr>
            </w:pPr>
          </w:p>
        </w:tc>
        <w:tc>
          <w:tcPr>
            <w:tcW w:w="776" w:type="dxa"/>
          </w:tcPr>
          <w:p w14:paraId="7A2B6298">
            <w:pPr>
              <w:autoSpaceDE w:val="0"/>
              <w:autoSpaceDN w:val="0"/>
              <w:adjustRightInd w:val="0"/>
              <w:snapToGrid w:val="0"/>
              <w:jc w:val="left"/>
              <w:rPr>
                <w:rFonts w:ascii="宋体" w:hAnsi="宋体"/>
                <w:kern w:val="0"/>
                <w:szCs w:val="21"/>
              </w:rPr>
            </w:pPr>
          </w:p>
        </w:tc>
        <w:tc>
          <w:tcPr>
            <w:tcW w:w="1167" w:type="dxa"/>
          </w:tcPr>
          <w:p w14:paraId="79B5106C">
            <w:pPr>
              <w:autoSpaceDE w:val="0"/>
              <w:autoSpaceDN w:val="0"/>
              <w:adjustRightInd w:val="0"/>
              <w:snapToGrid w:val="0"/>
              <w:jc w:val="left"/>
              <w:rPr>
                <w:rFonts w:ascii="宋体" w:hAnsi="宋体"/>
                <w:kern w:val="0"/>
                <w:szCs w:val="21"/>
              </w:rPr>
            </w:pPr>
          </w:p>
        </w:tc>
        <w:tc>
          <w:tcPr>
            <w:tcW w:w="776" w:type="dxa"/>
          </w:tcPr>
          <w:p w14:paraId="1E08F75B">
            <w:pPr>
              <w:autoSpaceDE w:val="0"/>
              <w:autoSpaceDN w:val="0"/>
              <w:adjustRightInd w:val="0"/>
              <w:snapToGrid w:val="0"/>
              <w:jc w:val="left"/>
              <w:rPr>
                <w:rFonts w:ascii="宋体" w:hAnsi="宋体"/>
                <w:kern w:val="0"/>
                <w:szCs w:val="21"/>
              </w:rPr>
            </w:pPr>
          </w:p>
        </w:tc>
        <w:tc>
          <w:tcPr>
            <w:tcW w:w="778" w:type="dxa"/>
          </w:tcPr>
          <w:p w14:paraId="06494933">
            <w:pPr>
              <w:autoSpaceDE w:val="0"/>
              <w:autoSpaceDN w:val="0"/>
              <w:adjustRightInd w:val="0"/>
              <w:snapToGrid w:val="0"/>
              <w:jc w:val="left"/>
              <w:rPr>
                <w:rFonts w:ascii="宋体" w:hAnsi="宋体"/>
                <w:kern w:val="0"/>
                <w:szCs w:val="21"/>
              </w:rPr>
            </w:pPr>
          </w:p>
        </w:tc>
        <w:tc>
          <w:tcPr>
            <w:tcW w:w="776" w:type="dxa"/>
          </w:tcPr>
          <w:p w14:paraId="1A42F7B2">
            <w:pPr>
              <w:autoSpaceDE w:val="0"/>
              <w:autoSpaceDN w:val="0"/>
              <w:adjustRightInd w:val="0"/>
              <w:snapToGrid w:val="0"/>
              <w:jc w:val="left"/>
              <w:rPr>
                <w:rFonts w:ascii="宋体" w:hAnsi="宋体"/>
                <w:kern w:val="0"/>
                <w:szCs w:val="21"/>
              </w:rPr>
            </w:pPr>
          </w:p>
        </w:tc>
        <w:tc>
          <w:tcPr>
            <w:tcW w:w="2723" w:type="dxa"/>
          </w:tcPr>
          <w:p w14:paraId="100E6E2F">
            <w:pPr>
              <w:autoSpaceDE w:val="0"/>
              <w:autoSpaceDN w:val="0"/>
              <w:adjustRightInd w:val="0"/>
              <w:snapToGrid w:val="0"/>
              <w:jc w:val="left"/>
              <w:rPr>
                <w:rFonts w:ascii="宋体" w:hAnsi="宋体"/>
                <w:kern w:val="0"/>
                <w:szCs w:val="21"/>
              </w:rPr>
            </w:pPr>
          </w:p>
        </w:tc>
        <w:tc>
          <w:tcPr>
            <w:tcW w:w="896" w:type="dxa"/>
          </w:tcPr>
          <w:p w14:paraId="0D1F3451">
            <w:pPr>
              <w:autoSpaceDE w:val="0"/>
              <w:autoSpaceDN w:val="0"/>
              <w:adjustRightInd w:val="0"/>
              <w:snapToGrid w:val="0"/>
              <w:jc w:val="left"/>
              <w:rPr>
                <w:rFonts w:ascii="宋体" w:hAnsi="宋体"/>
                <w:kern w:val="0"/>
                <w:szCs w:val="21"/>
              </w:rPr>
            </w:pPr>
          </w:p>
        </w:tc>
      </w:tr>
      <w:tr w14:paraId="111720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7C78D5D6">
            <w:pPr>
              <w:autoSpaceDE w:val="0"/>
              <w:autoSpaceDN w:val="0"/>
              <w:adjustRightInd w:val="0"/>
              <w:snapToGrid w:val="0"/>
              <w:jc w:val="left"/>
              <w:rPr>
                <w:rFonts w:ascii="宋体" w:hAnsi="宋体"/>
                <w:kern w:val="0"/>
                <w:szCs w:val="21"/>
              </w:rPr>
            </w:pPr>
          </w:p>
        </w:tc>
        <w:tc>
          <w:tcPr>
            <w:tcW w:w="734" w:type="dxa"/>
          </w:tcPr>
          <w:p w14:paraId="0D33B129">
            <w:pPr>
              <w:autoSpaceDE w:val="0"/>
              <w:autoSpaceDN w:val="0"/>
              <w:adjustRightInd w:val="0"/>
              <w:snapToGrid w:val="0"/>
              <w:jc w:val="left"/>
              <w:rPr>
                <w:rFonts w:ascii="宋体" w:hAnsi="宋体"/>
                <w:kern w:val="0"/>
                <w:szCs w:val="21"/>
              </w:rPr>
            </w:pPr>
          </w:p>
        </w:tc>
        <w:tc>
          <w:tcPr>
            <w:tcW w:w="776" w:type="dxa"/>
          </w:tcPr>
          <w:p w14:paraId="6B397848">
            <w:pPr>
              <w:autoSpaceDE w:val="0"/>
              <w:autoSpaceDN w:val="0"/>
              <w:adjustRightInd w:val="0"/>
              <w:snapToGrid w:val="0"/>
              <w:jc w:val="left"/>
              <w:rPr>
                <w:rFonts w:ascii="宋体" w:hAnsi="宋体"/>
                <w:kern w:val="0"/>
                <w:szCs w:val="21"/>
              </w:rPr>
            </w:pPr>
          </w:p>
        </w:tc>
        <w:tc>
          <w:tcPr>
            <w:tcW w:w="1167" w:type="dxa"/>
          </w:tcPr>
          <w:p w14:paraId="11C88709">
            <w:pPr>
              <w:autoSpaceDE w:val="0"/>
              <w:autoSpaceDN w:val="0"/>
              <w:adjustRightInd w:val="0"/>
              <w:snapToGrid w:val="0"/>
              <w:jc w:val="left"/>
              <w:rPr>
                <w:rFonts w:ascii="宋体" w:hAnsi="宋体"/>
                <w:kern w:val="0"/>
                <w:szCs w:val="21"/>
              </w:rPr>
            </w:pPr>
          </w:p>
        </w:tc>
        <w:tc>
          <w:tcPr>
            <w:tcW w:w="776" w:type="dxa"/>
          </w:tcPr>
          <w:p w14:paraId="2FDB7C93">
            <w:pPr>
              <w:autoSpaceDE w:val="0"/>
              <w:autoSpaceDN w:val="0"/>
              <w:adjustRightInd w:val="0"/>
              <w:snapToGrid w:val="0"/>
              <w:jc w:val="left"/>
              <w:rPr>
                <w:rFonts w:ascii="宋体" w:hAnsi="宋体"/>
                <w:kern w:val="0"/>
                <w:szCs w:val="21"/>
              </w:rPr>
            </w:pPr>
          </w:p>
        </w:tc>
        <w:tc>
          <w:tcPr>
            <w:tcW w:w="778" w:type="dxa"/>
          </w:tcPr>
          <w:p w14:paraId="23FC19C3">
            <w:pPr>
              <w:autoSpaceDE w:val="0"/>
              <w:autoSpaceDN w:val="0"/>
              <w:adjustRightInd w:val="0"/>
              <w:snapToGrid w:val="0"/>
              <w:jc w:val="left"/>
              <w:rPr>
                <w:rFonts w:ascii="宋体" w:hAnsi="宋体"/>
                <w:kern w:val="0"/>
                <w:szCs w:val="21"/>
              </w:rPr>
            </w:pPr>
          </w:p>
        </w:tc>
        <w:tc>
          <w:tcPr>
            <w:tcW w:w="776" w:type="dxa"/>
          </w:tcPr>
          <w:p w14:paraId="7FB14316">
            <w:pPr>
              <w:autoSpaceDE w:val="0"/>
              <w:autoSpaceDN w:val="0"/>
              <w:adjustRightInd w:val="0"/>
              <w:snapToGrid w:val="0"/>
              <w:jc w:val="left"/>
              <w:rPr>
                <w:rFonts w:ascii="宋体" w:hAnsi="宋体"/>
                <w:kern w:val="0"/>
                <w:szCs w:val="21"/>
              </w:rPr>
            </w:pPr>
          </w:p>
        </w:tc>
        <w:tc>
          <w:tcPr>
            <w:tcW w:w="2723" w:type="dxa"/>
          </w:tcPr>
          <w:p w14:paraId="054C443D">
            <w:pPr>
              <w:autoSpaceDE w:val="0"/>
              <w:autoSpaceDN w:val="0"/>
              <w:adjustRightInd w:val="0"/>
              <w:snapToGrid w:val="0"/>
              <w:jc w:val="left"/>
              <w:rPr>
                <w:rFonts w:ascii="宋体" w:hAnsi="宋体"/>
                <w:kern w:val="0"/>
                <w:szCs w:val="21"/>
              </w:rPr>
            </w:pPr>
          </w:p>
        </w:tc>
        <w:tc>
          <w:tcPr>
            <w:tcW w:w="896" w:type="dxa"/>
          </w:tcPr>
          <w:p w14:paraId="0105B769">
            <w:pPr>
              <w:autoSpaceDE w:val="0"/>
              <w:autoSpaceDN w:val="0"/>
              <w:adjustRightInd w:val="0"/>
              <w:snapToGrid w:val="0"/>
              <w:jc w:val="left"/>
              <w:rPr>
                <w:rFonts w:ascii="宋体" w:hAnsi="宋体"/>
                <w:kern w:val="0"/>
                <w:szCs w:val="21"/>
              </w:rPr>
            </w:pPr>
          </w:p>
        </w:tc>
      </w:tr>
      <w:tr w14:paraId="653B9C3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175672C5">
            <w:pPr>
              <w:autoSpaceDE w:val="0"/>
              <w:autoSpaceDN w:val="0"/>
              <w:adjustRightInd w:val="0"/>
              <w:snapToGrid w:val="0"/>
              <w:jc w:val="left"/>
              <w:rPr>
                <w:rFonts w:ascii="宋体" w:hAnsi="宋体"/>
                <w:kern w:val="0"/>
                <w:szCs w:val="21"/>
              </w:rPr>
            </w:pPr>
          </w:p>
        </w:tc>
        <w:tc>
          <w:tcPr>
            <w:tcW w:w="734" w:type="dxa"/>
          </w:tcPr>
          <w:p w14:paraId="1620BF7B">
            <w:pPr>
              <w:autoSpaceDE w:val="0"/>
              <w:autoSpaceDN w:val="0"/>
              <w:adjustRightInd w:val="0"/>
              <w:snapToGrid w:val="0"/>
              <w:jc w:val="left"/>
              <w:rPr>
                <w:rFonts w:ascii="宋体" w:hAnsi="宋体"/>
                <w:kern w:val="0"/>
                <w:szCs w:val="21"/>
              </w:rPr>
            </w:pPr>
          </w:p>
        </w:tc>
        <w:tc>
          <w:tcPr>
            <w:tcW w:w="776" w:type="dxa"/>
          </w:tcPr>
          <w:p w14:paraId="367F7FC5">
            <w:pPr>
              <w:autoSpaceDE w:val="0"/>
              <w:autoSpaceDN w:val="0"/>
              <w:adjustRightInd w:val="0"/>
              <w:snapToGrid w:val="0"/>
              <w:jc w:val="left"/>
              <w:rPr>
                <w:rFonts w:ascii="宋体" w:hAnsi="宋体"/>
                <w:kern w:val="0"/>
                <w:szCs w:val="21"/>
              </w:rPr>
            </w:pPr>
          </w:p>
        </w:tc>
        <w:tc>
          <w:tcPr>
            <w:tcW w:w="1167" w:type="dxa"/>
          </w:tcPr>
          <w:p w14:paraId="7A53E1B1">
            <w:pPr>
              <w:autoSpaceDE w:val="0"/>
              <w:autoSpaceDN w:val="0"/>
              <w:adjustRightInd w:val="0"/>
              <w:snapToGrid w:val="0"/>
              <w:jc w:val="left"/>
              <w:rPr>
                <w:rFonts w:ascii="宋体" w:hAnsi="宋体"/>
                <w:kern w:val="0"/>
                <w:szCs w:val="21"/>
              </w:rPr>
            </w:pPr>
          </w:p>
        </w:tc>
        <w:tc>
          <w:tcPr>
            <w:tcW w:w="776" w:type="dxa"/>
          </w:tcPr>
          <w:p w14:paraId="49E21819">
            <w:pPr>
              <w:autoSpaceDE w:val="0"/>
              <w:autoSpaceDN w:val="0"/>
              <w:adjustRightInd w:val="0"/>
              <w:snapToGrid w:val="0"/>
              <w:jc w:val="left"/>
              <w:rPr>
                <w:rFonts w:ascii="宋体" w:hAnsi="宋体"/>
                <w:kern w:val="0"/>
                <w:szCs w:val="21"/>
              </w:rPr>
            </w:pPr>
          </w:p>
        </w:tc>
        <w:tc>
          <w:tcPr>
            <w:tcW w:w="778" w:type="dxa"/>
          </w:tcPr>
          <w:p w14:paraId="6A59ACB2">
            <w:pPr>
              <w:autoSpaceDE w:val="0"/>
              <w:autoSpaceDN w:val="0"/>
              <w:adjustRightInd w:val="0"/>
              <w:snapToGrid w:val="0"/>
              <w:jc w:val="left"/>
              <w:rPr>
                <w:rFonts w:ascii="宋体" w:hAnsi="宋体"/>
                <w:kern w:val="0"/>
                <w:szCs w:val="21"/>
              </w:rPr>
            </w:pPr>
          </w:p>
        </w:tc>
        <w:tc>
          <w:tcPr>
            <w:tcW w:w="776" w:type="dxa"/>
          </w:tcPr>
          <w:p w14:paraId="5B4FE29C">
            <w:pPr>
              <w:autoSpaceDE w:val="0"/>
              <w:autoSpaceDN w:val="0"/>
              <w:adjustRightInd w:val="0"/>
              <w:snapToGrid w:val="0"/>
              <w:jc w:val="left"/>
              <w:rPr>
                <w:rFonts w:ascii="宋体" w:hAnsi="宋体"/>
                <w:kern w:val="0"/>
                <w:szCs w:val="21"/>
              </w:rPr>
            </w:pPr>
          </w:p>
        </w:tc>
        <w:tc>
          <w:tcPr>
            <w:tcW w:w="2723" w:type="dxa"/>
          </w:tcPr>
          <w:p w14:paraId="2724E43F">
            <w:pPr>
              <w:autoSpaceDE w:val="0"/>
              <w:autoSpaceDN w:val="0"/>
              <w:adjustRightInd w:val="0"/>
              <w:snapToGrid w:val="0"/>
              <w:jc w:val="left"/>
              <w:rPr>
                <w:rFonts w:ascii="宋体" w:hAnsi="宋体"/>
                <w:kern w:val="0"/>
                <w:szCs w:val="21"/>
              </w:rPr>
            </w:pPr>
          </w:p>
        </w:tc>
        <w:tc>
          <w:tcPr>
            <w:tcW w:w="896" w:type="dxa"/>
          </w:tcPr>
          <w:p w14:paraId="7230B5D3">
            <w:pPr>
              <w:autoSpaceDE w:val="0"/>
              <w:autoSpaceDN w:val="0"/>
              <w:adjustRightInd w:val="0"/>
              <w:snapToGrid w:val="0"/>
              <w:jc w:val="left"/>
              <w:rPr>
                <w:rFonts w:ascii="宋体" w:hAnsi="宋体"/>
                <w:kern w:val="0"/>
                <w:szCs w:val="21"/>
              </w:rPr>
            </w:pPr>
          </w:p>
        </w:tc>
      </w:tr>
      <w:tr w14:paraId="06F461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tcPr>
          <w:p w14:paraId="2B18A12C">
            <w:pPr>
              <w:autoSpaceDE w:val="0"/>
              <w:autoSpaceDN w:val="0"/>
              <w:adjustRightInd w:val="0"/>
              <w:snapToGrid w:val="0"/>
              <w:jc w:val="left"/>
              <w:rPr>
                <w:rFonts w:ascii="宋体" w:hAnsi="宋体"/>
                <w:kern w:val="0"/>
                <w:szCs w:val="21"/>
              </w:rPr>
            </w:pPr>
          </w:p>
        </w:tc>
        <w:tc>
          <w:tcPr>
            <w:tcW w:w="734" w:type="dxa"/>
          </w:tcPr>
          <w:p w14:paraId="3B37A814">
            <w:pPr>
              <w:autoSpaceDE w:val="0"/>
              <w:autoSpaceDN w:val="0"/>
              <w:adjustRightInd w:val="0"/>
              <w:snapToGrid w:val="0"/>
              <w:jc w:val="left"/>
              <w:rPr>
                <w:rFonts w:ascii="宋体" w:hAnsi="宋体"/>
                <w:kern w:val="0"/>
                <w:szCs w:val="21"/>
              </w:rPr>
            </w:pPr>
          </w:p>
        </w:tc>
        <w:tc>
          <w:tcPr>
            <w:tcW w:w="776" w:type="dxa"/>
          </w:tcPr>
          <w:p w14:paraId="6C40B86F">
            <w:pPr>
              <w:autoSpaceDE w:val="0"/>
              <w:autoSpaceDN w:val="0"/>
              <w:adjustRightInd w:val="0"/>
              <w:snapToGrid w:val="0"/>
              <w:jc w:val="left"/>
              <w:rPr>
                <w:rFonts w:ascii="宋体" w:hAnsi="宋体"/>
                <w:kern w:val="0"/>
                <w:szCs w:val="21"/>
              </w:rPr>
            </w:pPr>
          </w:p>
        </w:tc>
        <w:tc>
          <w:tcPr>
            <w:tcW w:w="1167" w:type="dxa"/>
          </w:tcPr>
          <w:p w14:paraId="5FD04B32">
            <w:pPr>
              <w:autoSpaceDE w:val="0"/>
              <w:autoSpaceDN w:val="0"/>
              <w:adjustRightInd w:val="0"/>
              <w:snapToGrid w:val="0"/>
              <w:jc w:val="left"/>
              <w:rPr>
                <w:rFonts w:ascii="宋体" w:hAnsi="宋体"/>
                <w:kern w:val="0"/>
                <w:szCs w:val="21"/>
              </w:rPr>
            </w:pPr>
          </w:p>
        </w:tc>
        <w:tc>
          <w:tcPr>
            <w:tcW w:w="776" w:type="dxa"/>
          </w:tcPr>
          <w:p w14:paraId="288E91E9">
            <w:pPr>
              <w:autoSpaceDE w:val="0"/>
              <w:autoSpaceDN w:val="0"/>
              <w:adjustRightInd w:val="0"/>
              <w:snapToGrid w:val="0"/>
              <w:jc w:val="left"/>
              <w:rPr>
                <w:rFonts w:ascii="宋体" w:hAnsi="宋体"/>
                <w:kern w:val="0"/>
                <w:szCs w:val="21"/>
              </w:rPr>
            </w:pPr>
          </w:p>
        </w:tc>
        <w:tc>
          <w:tcPr>
            <w:tcW w:w="778" w:type="dxa"/>
          </w:tcPr>
          <w:p w14:paraId="27ED07FB">
            <w:pPr>
              <w:autoSpaceDE w:val="0"/>
              <w:autoSpaceDN w:val="0"/>
              <w:adjustRightInd w:val="0"/>
              <w:snapToGrid w:val="0"/>
              <w:jc w:val="left"/>
              <w:rPr>
                <w:rFonts w:ascii="宋体" w:hAnsi="宋体"/>
                <w:kern w:val="0"/>
                <w:szCs w:val="21"/>
              </w:rPr>
            </w:pPr>
          </w:p>
        </w:tc>
        <w:tc>
          <w:tcPr>
            <w:tcW w:w="776" w:type="dxa"/>
          </w:tcPr>
          <w:p w14:paraId="4DBD5A4A">
            <w:pPr>
              <w:autoSpaceDE w:val="0"/>
              <w:autoSpaceDN w:val="0"/>
              <w:adjustRightInd w:val="0"/>
              <w:snapToGrid w:val="0"/>
              <w:jc w:val="left"/>
              <w:rPr>
                <w:rFonts w:ascii="宋体" w:hAnsi="宋体"/>
                <w:kern w:val="0"/>
                <w:szCs w:val="21"/>
              </w:rPr>
            </w:pPr>
          </w:p>
        </w:tc>
        <w:tc>
          <w:tcPr>
            <w:tcW w:w="2723" w:type="dxa"/>
          </w:tcPr>
          <w:p w14:paraId="3E3853E9">
            <w:pPr>
              <w:autoSpaceDE w:val="0"/>
              <w:autoSpaceDN w:val="0"/>
              <w:adjustRightInd w:val="0"/>
              <w:snapToGrid w:val="0"/>
              <w:jc w:val="left"/>
              <w:rPr>
                <w:rFonts w:ascii="宋体" w:hAnsi="宋体"/>
                <w:kern w:val="0"/>
                <w:szCs w:val="21"/>
              </w:rPr>
            </w:pPr>
          </w:p>
        </w:tc>
        <w:tc>
          <w:tcPr>
            <w:tcW w:w="896" w:type="dxa"/>
          </w:tcPr>
          <w:p w14:paraId="18CE8AE1">
            <w:pPr>
              <w:autoSpaceDE w:val="0"/>
              <w:autoSpaceDN w:val="0"/>
              <w:adjustRightInd w:val="0"/>
              <w:snapToGrid w:val="0"/>
              <w:jc w:val="left"/>
              <w:rPr>
                <w:rFonts w:ascii="宋体" w:hAnsi="宋体"/>
                <w:kern w:val="0"/>
                <w:szCs w:val="21"/>
              </w:rPr>
            </w:pPr>
          </w:p>
        </w:tc>
      </w:tr>
    </w:tbl>
    <w:p w14:paraId="261017B0">
      <w:pPr>
        <w:spacing w:line="20" w:lineRule="exact"/>
        <w:jc w:val="center"/>
        <w:rPr>
          <w:rFonts w:ascii="宋体" w:hAnsi="宋体"/>
          <w:szCs w:val="21"/>
        </w:rPr>
      </w:pPr>
    </w:p>
    <w:p w14:paraId="66C7578A">
      <w:pPr>
        <w:spacing w:line="360" w:lineRule="auto"/>
        <w:ind w:firstLine="420" w:firstLineChars="200"/>
        <w:jc w:val="left"/>
        <w:rPr>
          <w:rFonts w:ascii="宋体" w:hAnsi="宋体"/>
          <w:szCs w:val="21"/>
        </w:rPr>
      </w:pPr>
      <w:r>
        <w:rPr>
          <w:rFonts w:hint="eastAsia" w:ascii="宋体" w:hAnsi="宋体"/>
          <w:szCs w:val="21"/>
        </w:rPr>
        <w:t>备注：本表仅填项目经理、项目技术负责人相关信息</w:t>
      </w:r>
    </w:p>
    <w:p w14:paraId="3CC94DFD">
      <w:pPr>
        <w:spacing w:line="360" w:lineRule="auto"/>
        <w:ind w:firstLine="640"/>
        <w:jc w:val="center"/>
        <w:rPr>
          <w:rFonts w:ascii="宋体" w:hAnsi="宋体"/>
          <w:sz w:val="32"/>
          <w:szCs w:val="32"/>
        </w:rPr>
      </w:pPr>
      <w:r>
        <w:rPr>
          <w:rFonts w:ascii="宋体" w:hAnsi="宋体"/>
          <w:sz w:val="32"/>
          <w:szCs w:val="32"/>
        </w:rPr>
        <w:br w:type="page"/>
      </w:r>
      <w:r>
        <w:rPr>
          <w:rFonts w:hint="eastAsia" w:ascii="宋体" w:hAnsi="宋体"/>
          <w:sz w:val="32"/>
          <w:szCs w:val="32"/>
        </w:rPr>
        <w:t>项目经理及项目技术负责人简历表</w:t>
      </w:r>
      <w:bookmarkEnd w:id="2087"/>
      <w:bookmarkEnd w:id="2088"/>
    </w:p>
    <w:tbl>
      <w:tblPr>
        <w:tblStyle w:val="4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14:paraId="12D157A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0EC15842">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姓名</w:t>
            </w:r>
          </w:p>
        </w:tc>
        <w:tc>
          <w:tcPr>
            <w:tcW w:w="1190" w:type="dxa"/>
            <w:gridSpan w:val="2"/>
            <w:vAlign w:val="center"/>
          </w:tcPr>
          <w:p w14:paraId="35EF209B">
            <w:pPr>
              <w:autoSpaceDE w:val="0"/>
              <w:autoSpaceDN w:val="0"/>
              <w:adjustRightInd w:val="0"/>
              <w:snapToGrid w:val="0"/>
              <w:jc w:val="center"/>
              <w:rPr>
                <w:rFonts w:ascii="宋体" w:hAnsi="宋体"/>
                <w:kern w:val="0"/>
                <w:szCs w:val="21"/>
              </w:rPr>
            </w:pPr>
          </w:p>
        </w:tc>
        <w:tc>
          <w:tcPr>
            <w:tcW w:w="1020" w:type="dxa"/>
            <w:vAlign w:val="center"/>
          </w:tcPr>
          <w:p w14:paraId="4D18B5CE">
            <w:pPr>
              <w:autoSpaceDE w:val="0"/>
              <w:autoSpaceDN w:val="0"/>
              <w:adjustRightInd w:val="0"/>
              <w:snapToGrid w:val="0"/>
              <w:jc w:val="center"/>
              <w:rPr>
                <w:rFonts w:ascii="宋体" w:hAnsi="宋体"/>
                <w:kern w:val="0"/>
                <w:szCs w:val="21"/>
              </w:rPr>
            </w:pPr>
            <w:r>
              <w:rPr>
                <w:rFonts w:ascii="宋体" w:hAnsi="宋体"/>
                <w:kern w:val="0"/>
                <w:szCs w:val="21"/>
              </w:rPr>
              <w:t>年龄</w:t>
            </w:r>
          </w:p>
        </w:tc>
        <w:tc>
          <w:tcPr>
            <w:tcW w:w="1175" w:type="dxa"/>
            <w:vAlign w:val="center"/>
          </w:tcPr>
          <w:p w14:paraId="582519B3">
            <w:pPr>
              <w:autoSpaceDE w:val="0"/>
              <w:autoSpaceDN w:val="0"/>
              <w:adjustRightInd w:val="0"/>
              <w:snapToGrid w:val="0"/>
              <w:jc w:val="center"/>
              <w:rPr>
                <w:rFonts w:ascii="宋体" w:hAnsi="宋体"/>
                <w:kern w:val="0"/>
                <w:szCs w:val="21"/>
              </w:rPr>
            </w:pPr>
          </w:p>
        </w:tc>
        <w:tc>
          <w:tcPr>
            <w:tcW w:w="2346" w:type="dxa"/>
            <w:gridSpan w:val="3"/>
            <w:vAlign w:val="center"/>
          </w:tcPr>
          <w:p w14:paraId="72ABF44E">
            <w:pPr>
              <w:autoSpaceDE w:val="0"/>
              <w:autoSpaceDN w:val="0"/>
              <w:adjustRightInd w:val="0"/>
              <w:snapToGrid w:val="0"/>
              <w:jc w:val="center"/>
              <w:rPr>
                <w:rFonts w:ascii="宋体" w:hAnsi="宋体"/>
                <w:kern w:val="0"/>
                <w:szCs w:val="21"/>
              </w:rPr>
            </w:pPr>
            <w:r>
              <w:rPr>
                <w:rFonts w:ascii="宋体" w:hAnsi="宋体"/>
                <w:kern w:val="0"/>
                <w:szCs w:val="21"/>
              </w:rPr>
              <w:t>学历</w:t>
            </w:r>
          </w:p>
        </w:tc>
        <w:tc>
          <w:tcPr>
            <w:tcW w:w="2528" w:type="dxa"/>
            <w:vAlign w:val="center"/>
          </w:tcPr>
          <w:p w14:paraId="13A8192D">
            <w:pPr>
              <w:autoSpaceDE w:val="0"/>
              <w:autoSpaceDN w:val="0"/>
              <w:adjustRightInd w:val="0"/>
              <w:snapToGrid w:val="0"/>
              <w:jc w:val="center"/>
              <w:rPr>
                <w:rFonts w:ascii="宋体" w:hAnsi="宋体"/>
                <w:kern w:val="0"/>
                <w:szCs w:val="21"/>
              </w:rPr>
            </w:pPr>
          </w:p>
        </w:tc>
      </w:tr>
      <w:tr w14:paraId="1B4527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4DED0FE6">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职称</w:t>
            </w:r>
          </w:p>
        </w:tc>
        <w:tc>
          <w:tcPr>
            <w:tcW w:w="1190" w:type="dxa"/>
            <w:gridSpan w:val="2"/>
            <w:vAlign w:val="center"/>
          </w:tcPr>
          <w:p w14:paraId="212CCA21">
            <w:pPr>
              <w:autoSpaceDE w:val="0"/>
              <w:autoSpaceDN w:val="0"/>
              <w:adjustRightInd w:val="0"/>
              <w:snapToGrid w:val="0"/>
              <w:jc w:val="center"/>
              <w:rPr>
                <w:rFonts w:ascii="宋体" w:hAnsi="宋体"/>
                <w:kern w:val="0"/>
                <w:szCs w:val="21"/>
              </w:rPr>
            </w:pPr>
          </w:p>
        </w:tc>
        <w:tc>
          <w:tcPr>
            <w:tcW w:w="1020" w:type="dxa"/>
            <w:vAlign w:val="center"/>
          </w:tcPr>
          <w:p w14:paraId="5B6478B4">
            <w:pPr>
              <w:autoSpaceDE w:val="0"/>
              <w:autoSpaceDN w:val="0"/>
              <w:adjustRightInd w:val="0"/>
              <w:snapToGrid w:val="0"/>
              <w:jc w:val="center"/>
              <w:rPr>
                <w:rFonts w:ascii="宋体" w:hAnsi="宋体"/>
                <w:kern w:val="0"/>
                <w:szCs w:val="21"/>
              </w:rPr>
            </w:pPr>
            <w:r>
              <w:rPr>
                <w:rFonts w:ascii="宋体" w:hAnsi="宋体"/>
                <w:kern w:val="0"/>
                <w:szCs w:val="21"/>
              </w:rPr>
              <w:t>职务</w:t>
            </w:r>
          </w:p>
        </w:tc>
        <w:tc>
          <w:tcPr>
            <w:tcW w:w="1175" w:type="dxa"/>
            <w:vAlign w:val="center"/>
          </w:tcPr>
          <w:p w14:paraId="2E0BC478">
            <w:pPr>
              <w:autoSpaceDE w:val="0"/>
              <w:autoSpaceDN w:val="0"/>
              <w:adjustRightInd w:val="0"/>
              <w:snapToGrid w:val="0"/>
              <w:jc w:val="center"/>
              <w:rPr>
                <w:rFonts w:ascii="宋体" w:hAnsi="宋体"/>
                <w:kern w:val="0"/>
                <w:szCs w:val="21"/>
              </w:rPr>
            </w:pPr>
          </w:p>
        </w:tc>
        <w:tc>
          <w:tcPr>
            <w:tcW w:w="2346" w:type="dxa"/>
            <w:gridSpan w:val="3"/>
            <w:vAlign w:val="center"/>
          </w:tcPr>
          <w:p w14:paraId="4269171D">
            <w:pPr>
              <w:autoSpaceDE w:val="0"/>
              <w:autoSpaceDN w:val="0"/>
              <w:adjustRightInd w:val="0"/>
              <w:snapToGrid w:val="0"/>
              <w:jc w:val="center"/>
              <w:rPr>
                <w:rFonts w:ascii="宋体" w:hAnsi="宋体"/>
                <w:kern w:val="0"/>
                <w:szCs w:val="21"/>
              </w:rPr>
            </w:pPr>
            <w:r>
              <w:rPr>
                <w:rFonts w:ascii="宋体" w:hAnsi="宋体"/>
                <w:kern w:val="0"/>
                <w:szCs w:val="21"/>
              </w:rPr>
              <w:t>拟在本合同任职</w:t>
            </w:r>
          </w:p>
        </w:tc>
        <w:tc>
          <w:tcPr>
            <w:tcW w:w="2528" w:type="dxa"/>
            <w:vAlign w:val="center"/>
          </w:tcPr>
          <w:p w14:paraId="704B143A">
            <w:pPr>
              <w:autoSpaceDE w:val="0"/>
              <w:autoSpaceDN w:val="0"/>
              <w:adjustRightInd w:val="0"/>
              <w:snapToGrid w:val="0"/>
              <w:jc w:val="center"/>
              <w:rPr>
                <w:rFonts w:ascii="宋体" w:hAnsi="宋体"/>
                <w:kern w:val="0"/>
                <w:szCs w:val="21"/>
              </w:rPr>
            </w:pPr>
          </w:p>
        </w:tc>
      </w:tr>
      <w:tr w14:paraId="43EFCF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14:paraId="1ED22E67">
            <w:pPr>
              <w:autoSpaceDE w:val="0"/>
              <w:autoSpaceDN w:val="0"/>
              <w:adjustRightInd w:val="0"/>
              <w:snapToGrid w:val="0"/>
              <w:jc w:val="center"/>
              <w:rPr>
                <w:rFonts w:ascii="宋体" w:hAnsi="宋体"/>
                <w:kern w:val="0"/>
                <w:szCs w:val="21"/>
              </w:rPr>
            </w:pPr>
            <w:r>
              <w:rPr>
                <w:rFonts w:ascii="宋体" w:hAnsi="宋体"/>
                <w:kern w:val="0"/>
                <w:szCs w:val="21"/>
              </w:rPr>
              <w:t>毕业学校</w:t>
            </w:r>
          </w:p>
        </w:tc>
        <w:tc>
          <w:tcPr>
            <w:tcW w:w="8259" w:type="dxa"/>
            <w:gridSpan w:val="8"/>
            <w:vAlign w:val="center"/>
          </w:tcPr>
          <w:p w14:paraId="3DC9CF86">
            <w:pPr>
              <w:tabs>
                <w:tab w:val="left" w:pos="2820"/>
                <w:tab w:val="left" w:pos="4080"/>
              </w:tabs>
              <w:autoSpaceDE w:val="0"/>
              <w:autoSpaceDN w:val="0"/>
              <w:adjustRightInd w:val="0"/>
              <w:snapToGrid w:val="0"/>
              <w:jc w:val="center"/>
              <w:rPr>
                <w:rFonts w:ascii="宋体" w:hAnsi="宋体"/>
                <w:kern w:val="0"/>
                <w:szCs w:val="21"/>
              </w:rPr>
            </w:pPr>
            <w:r>
              <w:rPr>
                <w:rFonts w:ascii="宋体" w:hAnsi="宋体"/>
                <w:kern w:val="0"/>
                <w:szCs w:val="21"/>
              </w:rPr>
              <w:t>年</w:t>
            </w:r>
            <w:r>
              <w:rPr>
                <w:rFonts w:ascii="宋体" w:hAnsi="宋体"/>
                <w:spacing w:val="-1"/>
                <w:kern w:val="0"/>
                <w:szCs w:val="21"/>
              </w:rPr>
              <w:t>毕</w:t>
            </w:r>
            <w:r>
              <w:rPr>
                <w:rFonts w:ascii="宋体" w:hAnsi="宋体"/>
                <w:kern w:val="0"/>
                <w:szCs w:val="21"/>
              </w:rPr>
              <w:t>业于</w:t>
            </w:r>
            <w:r>
              <w:rPr>
                <w:rFonts w:ascii="宋体" w:hAnsi="宋体"/>
                <w:kern w:val="0"/>
                <w:szCs w:val="21"/>
              </w:rPr>
              <w:tab/>
            </w:r>
            <w:r>
              <w:rPr>
                <w:rFonts w:ascii="宋体" w:hAnsi="宋体"/>
                <w:kern w:val="0"/>
                <w:szCs w:val="21"/>
              </w:rPr>
              <w:t>学校</w:t>
            </w:r>
            <w:r>
              <w:rPr>
                <w:rFonts w:ascii="宋体" w:hAnsi="宋体"/>
                <w:kern w:val="0"/>
                <w:szCs w:val="21"/>
              </w:rPr>
              <w:tab/>
            </w:r>
            <w:r>
              <w:rPr>
                <w:rFonts w:ascii="宋体" w:hAnsi="宋体"/>
                <w:kern w:val="0"/>
                <w:szCs w:val="21"/>
              </w:rPr>
              <w:t>专业</w:t>
            </w:r>
          </w:p>
        </w:tc>
      </w:tr>
      <w:tr w14:paraId="63D0A0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14:paraId="23D462AB">
            <w:pPr>
              <w:autoSpaceDE w:val="0"/>
              <w:autoSpaceDN w:val="0"/>
              <w:adjustRightInd w:val="0"/>
              <w:snapToGrid w:val="0"/>
              <w:jc w:val="center"/>
              <w:rPr>
                <w:rFonts w:ascii="宋体" w:hAnsi="宋体"/>
                <w:kern w:val="0"/>
                <w:szCs w:val="21"/>
              </w:rPr>
            </w:pPr>
            <w:r>
              <w:rPr>
                <w:rFonts w:ascii="宋体" w:hAnsi="宋体"/>
                <w:kern w:val="0"/>
                <w:szCs w:val="21"/>
              </w:rPr>
              <w:t>主要工作经历</w:t>
            </w:r>
          </w:p>
        </w:tc>
      </w:tr>
      <w:tr w14:paraId="2E9CF2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6A78BF1">
            <w:pPr>
              <w:tabs>
                <w:tab w:val="left" w:pos="520"/>
              </w:tabs>
              <w:autoSpaceDE w:val="0"/>
              <w:autoSpaceDN w:val="0"/>
              <w:adjustRightInd w:val="0"/>
              <w:snapToGrid w:val="0"/>
              <w:jc w:val="center"/>
              <w:rPr>
                <w:rFonts w:ascii="宋体" w:hAnsi="宋体"/>
                <w:kern w:val="0"/>
                <w:szCs w:val="21"/>
              </w:rPr>
            </w:pPr>
            <w:r>
              <w:rPr>
                <w:rFonts w:ascii="宋体" w:hAnsi="宋体"/>
                <w:kern w:val="0"/>
                <w:szCs w:val="21"/>
              </w:rPr>
              <w:t>时间</w:t>
            </w:r>
          </w:p>
        </w:tc>
        <w:tc>
          <w:tcPr>
            <w:tcW w:w="3768" w:type="dxa"/>
            <w:gridSpan w:val="4"/>
            <w:vAlign w:val="center"/>
          </w:tcPr>
          <w:p w14:paraId="0894E873">
            <w:pPr>
              <w:autoSpaceDE w:val="0"/>
              <w:autoSpaceDN w:val="0"/>
              <w:adjustRightInd w:val="0"/>
              <w:snapToGrid w:val="0"/>
              <w:jc w:val="center"/>
              <w:rPr>
                <w:rFonts w:ascii="宋体" w:hAnsi="宋体"/>
                <w:kern w:val="0"/>
                <w:szCs w:val="21"/>
              </w:rPr>
            </w:pPr>
            <w:r>
              <w:rPr>
                <w:rFonts w:ascii="宋体" w:hAnsi="宋体"/>
                <w:kern w:val="0"/>
                <w:szCs w:val="21"/>
              </w:rPr>
              <w:t>参加过的类似项目</w:t>
            </w:r>
          </w:p>
        </w:tc>
        <w:tc>
          <w:tcPr>
            <w:tcW w:w="1388" w:type="dxa"/>
            <w:vAlign w:val="center"/>
          </w:tcPr>
          <w:p w14:paraId="4D8BBEBA">
            <w:pPr>
              <w:autoSpaceDE w:val="0"/>
              <w:autoSpaceDN w:val="0"/>
              <w:adjustRightInd w:val="0"/>
              <w:snapToGrid w:val="0"/>
              <w:jc w:val="center"/>
              <w:rPr>
                <w:rFonts w:ascii="宋体" w:hAnsi="宋体"/>
                <w:kern w:val="0"/>
                <w:szCs w:val="21"/>
              </w:rPr>
            </w:pPr>
            <w:r>
              <w:rPr>
                <w:rFonts w:ascii="宋体" w:hAnsi="宋体"/>
                <w:kern w:val="0"/>
                <w:szCs w:val="21"/>
              </w:rPr>
              <w:t>担任职务</w:t>
            </w:r>
          </w:p>
        </w:tc>
        <w:tc>
          <w:tcPr>
            <w:tcW w:w="2706" w:type="dxa"/>
            <w:gridSpan w:val="2"/>
            <w:vAlign w:val="center"/>
          </w:tcPr>
          <w:p w14:paraId="28D15CBD">
            <w:pPr>
              <w:autoSpaceDE w:val="0"/>
              <w:autoSpaceDN w:val="0"/>
              <w:adjustRightInd w:val="0"/>
              <w:snapToGrid w:val="0"/>
              <w:jc w:val="center"/>
              <w:rPr>
                <w:rFonts w:ascii="宋体" w:hAnsi="宋体"/>
                <w:kern w:val="0"/>
                <w:szCs w:val="21"/>
              </w:rPr>
            </w:pPr>
            <w:r>
              <w:rPr>
                <w:rFonts w:ascii="宋体" w:hAnsi="宋体"/>
                <w:kern w:val="0"/>
                <w:szCs w:val="21"/>
              </w:rPr>
              <w:t>发包人及联系电话</w:t>
            </w:r>
          </w:p>
        </w:tc>
      </w:tr>
      <w:tr w14:paraId="6F4441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7499515">
            <w:pPr>
              <w:autoSpaceDE w:val="0"/>
              <w:autoSpaceDN w:val="0"/>
              <w:adjustRightInd w:val="0"/>
              <w:snapToGrid w:val="0"/>
              <w:jc w:val="center"/>
              <w:rPr>
                <w:rFonts w:ascii="宋体" w:hAnsi="宋体"/>
                <w:kern w:val="0"/>
                <w:szCs w:val="21"/>
              </w:rPr>
            </w:pPr>
          </w:p>
        </w:tc>
        <w:tc>
          <w:tcPr>
            <w:tcW w:w="3768" w:type="dxa"/>
            <w:gridSpan w:val="4"/>
            <w:vAlign w:val="center"/>
          </w:tcPr>
          <w:p w14:paraId="1306D70F">
            <w:pPr>
              <w:autoSpaceDE w:val="0"/>
              <w:autoSpaceDN w:val="0"/>
              <w:adjustRightInd w:val="0"/>
              <w:snapToGrid w:val="0"/>
              <w:jc w:val="center"/>
              <w:rPr>
                <w:rFonts w:ascii="宋体" w:hAnsi="宋体"/>
                <w:kern w:val="0"/>
                <w:szCs w:val="21"/>
              </w:rPr>
            </w:pPr>
          </w:p>
        </w:tc>
        <w:tc>
          <w:tcPr>
            <w:tcW w:w="1388" w:type="dxa"/>
            <w:vAlign w:val="center"/>
          </w:tcPr>
          <w:p w14:paraId="35B6C613">
            <w:pPr>
              <w:autoSpaceDE w:val="0"/>
              <w:autoSpaceDN w:val="0"/>
              <w:adjustRightInd w:val="0"/>
              <w:snapToGrid w:val="0"/>
              <w:jc w:val="center"/>
              <w:rPr>
                <w:rFonts w:ascii="宋体" w:hAnsi="宋体"/>
                <w:kern w:val="0"/>
                <w:szCs w:val="21"/>
              </w:rPr>
            </w:pPr>
          </w:p>
        </w:tc>
        <w:tc>
          <w:tcPr>
            <w:tcW w:w="2706" w:type="dxa"/>
            <w:gridSpan w:val="2"/>
            <w:vAlign w:val="center"/>
          </w:tcPr>
          <w:p w14:paraId="64F003AF">
            <w:pPr>
              <w:autoSpaceDE w:val="0"/>
              <w:autoSpaceDN w:val="0"/>
              <w:adjustRightInd w:val="0"/>
              <w:snapToGrid w:val="0"/>
              <w:jc w:val="center"/>
              <w:rPr>
                <w:rFonts w:ascii="宋体" w:hAnsi="宋体"/>
                <w:kern w:val="0"/>
                <w:szCs w:val="21"/>
              </w:rPr>
            </w:pPr>
          </w:p>
        </w:tc>
      </w:tr>
      <w:tr w14:paraId="320B9B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39FE9FD">
            <w:pPr>
              <w:autoSpaceDE w:val="0"/>
              <w:autoSpaceDN w:val="0"/>
              <w:adjustRightInd w:val="0"/>
              <w:snapToGrid w:val="0"/>
              <w:jc w:val="center"/>
              <w:rPr>
                <w:rFonts w:ascii="宋体" w:hAnsi="宋体"/>
                <w:kern w:val="0"/>
                <w:szCs w:val="21"/>
              </w:rPr>
            </w:pPr>
          </w:p>
        </w:tc>
        <w:tc>
          <w:tcPr>
            <w:tcW w:w="3768" w:type="dxa"/>
            <w:gridSpan w:val="4"/>
            <w:vAlign w:val="center"/>
          </w:tcPr>
          <w:p w14:paraId="7B13551E">
            <w:pPr>
              <w:autoSpaceDE w:val="0"/>
              <w:autoSpaceDN w:val="0"/>
              <w:adjustRightInd w:val="0"/>
              <w:snapToGrid w:val="0"/>
              <w:jc w:val="center"/>
              <w:rPr>
                <w:rFonts w:ascii="宋体" w:hAnsi="宋体"/>
                <w:kern w:val="0"/>
                <w:szCs w:val="21"/>
              </w:rPr>
            </w:pPr>
          </w:p>
        </w:tc>
        <w:tc>
          <w:tcPr>
            <w:tcW w:w="1388" w:type="dxa"/>
            <w:vAlign w:val="center"/>
          </w:tcPr>
          <w:p w14:paraId="78AADE68">
            <w:pPr>
              <w:autoSpaceDE w:val="0"/>
              <w:autoSpaceDN w:val="0"/>
              <w:adjustRightInd w:val="0"/>
              <w:snapToGrid w:val="0"/>
              <w:jc w:val="center"/>
              <w:rPr>
                <w:rFonts w:ascii="宋体" w:hAnsi="宋体"/>
                <w:kern w:val="0"/>
                <w:szCs w:val="21"/>
              </w:rPr>
            </w:pPr>
          </w:p>
        </w:tc>
        <w:tc>
          <w:tcPr>
            <w:tcW w:w="2706" w:type="dxa"/>
            <w:gridSpan w:val="2"/>
            <w:vAlign w:val="center"/>
          </w:tcPr>
          <w:p w14:paraId="0B53FDA9">
            <w:pPr>
              <w:autoSpaceDE w:val="0"/>
              <w:autoSpaceDN w:val="0"/>
              <w:adjustRightInd w:val="0"/>
              <w:snapToGrid w:val="0"/>
              <w:jc w:val="center"/>
              <w:rPr>
                <w:rFonts w:ascii="宋体" w:hAnsi="宋体"/>
                <w:kern w:val="0"/>
                <w:szCs w:val="21"/>
              </w:rPr>
            </w:pPr>
          </w:p>
        </w:tc>
      </w:tr>
      <w:tr w14:paraId="22BCEA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4E66ADD">
            <w:pPr>
              <w:autoSpaceDE w:val="0"/>
              <w:autoSpaceDN w:val="0"/>
              <w:adjustRightInd w:val="0"/>
              <w:snapToGrid w:val="0"/>
              <w:jc w:val="center"/>
              <w:rPr>
                <w:rFonts w:ascii="宋体" w:hAnsi="宋体"/>
                <w:kern w:val="0"/>
                <w:szCs w:val="21"/>
              </w:rPr>
            </w:pPr>
          </w:p>
        </w:tc>
        <w:tc>
          <w:tcPr>
            <w:tcW w:w="3768" w:type="dxa"/>
            <w:gridSpan w:val="4"/>
            <w:vAlign w:val="center"/>
          </w:tcPr>
          <w:p w14:paraId="125AAFEA">
            <w:pPr>
              <w:autoSpaceDE w:val="0"/>
              <w:autoSpaceDN w:val="0"/>
              <w:adjustRightInd w:val="0"/>
              <w:snapToGrid w:val="0"/>
              <w:jc w:val="center"/>
              <w:rPr>
                <w:rFonts w:ascii="宋体" w:hAnsi="宋体"/>
                <w:kern w:val="0"/>
                <w:szCs w:val="21"/>
              </w:rPr>
            </w:pPr>
          </w:p>
        </w:tc>
        <w:tc>
          <w:tcPr>
            <w:tcW w:w="1388" w:type="dxa"/>
            <w:vAlign w:val="center"/>
          </w:tcPr>
          <w:p w14:paraId="17C7B163">
            <w:pPr>
              <w:autoSpaceDE w:val="0"/>
              <w:autoSpaceDN w:val="0"/>
              <w:adjustRightInd w:val="0"/>
              <w:snapToGrid w:val="0"/>
              <w:jc w:val="center"/>
              <w:rPr>
                <w:rFonts w:ascii="宋体" w:hAnsi="宋体"/>
                <w:kern w:val="0"/>
                <w:szCs w:val="21"/>
              </w:rPr>
            </w:pPr>
          </w:p>
        </w:tc>
        <w:tc>
          <w:tcPr>
            <w:tcW w:w="2706" w:type="dxa"/>
            <w:gridSpan w:val="2"/>
            <w:vAlign w:val="center"/>
          </w:tcPr>
          <w:p w14:paraId="6EE357C3">
            <w:pPr>
              <w:autoSpaceDE w:val="0"/>
              <w:autoSpaceDN w:val="0"/>
              <w:adjustRightInd w:val="0"/>
              <w:snapToGrid w:val="0"/>
              <w:jc w:val="center"/>
              <w:rPr>
                <w:rFonts w:ascii="宋体" w:hAnsi="宋体"/>
                <w:kern w:val="0"/>
                <w:szCs w:val="21"/>
              </w:rPr>
            </w:pPr>
          </w:p>
        </w:tc>
      </w:tr>
      <w:tr w14:paraId="18F0E66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431B5C5">
            <w:pPr>
              <w:autoSpaceDE w:val="0"/>
              <w:autoSpaceDN w:val="0"/>
              <w:adjustRightInd w:val="0"/>
              <w:snapToGrid w:val="0"/>
              <w:jc w:val="center"/>
              <w:rPr>
                <w:rFonts w:ascii="宋体" w:hAnsi="宋体"/>
                <w:kern w:val="0"/>
                <w:szCs w:val="21"/>
              </w:rPr>
            </w:pPr>
          </w:p>
        </w:tc>
        <w:tc>
          <w:tcPr>
            <w:tcW w:w="3768" w:type="dxa"/>
            <w:gridSpan w:val="4"/>
            <w:vAlign w:val="center"/>
          </w:tcPr>
          <w:p w14:paraId="39FA03BF">
            <w:pPr>
              <w:autoSpaceDE w:val="0"/>
              <w:autoSpaceDN w:val="0"/>
              <w:adjustRightInd w:val="0"/>
              <w:snapToGrid w:val="0"/>
              <w:jc w:val="center"/>
              <w:rPr>
                <w:rFonts w:ascii="宋体" w:hAnsi="宋体"/>
                <w:kern w:val="0"/>
                <w:szCs w:val="21"/>
              </w:rPr>
            </w:pPr>
          </w:p>
        </w:tc>
        <w:tc>
          <w:tcPr>
            <w:tcW w:w="1388" w:type="dxa"/>
            <w:vAlign w:val="center"/>
          </w:tcPr>
          <w:p w14:paraId="1699C044">
            <w:pPr>
              <w:autoSpaceDE w:val="0"/>
              <w:autoSpaceDN w:val="0"/>
              <w:adjustRightInd w:val="0"/>
              <w:snapToGrid w:val="0"/>
              <w:jc w:val="center"/>
              <w:rPr>
                <w:rFonts w:ascii="宋体" w:hAnsi="宋体"/>
                <w:kern w:val="0"/>
                <w:szCs w:val="21"/>
              </w:rPr>
            </w:pPr>
          </w:p>
        </w:tc>
        <w:tc>
          <w:tcPr>
            <w:tcW w:w="2706" w:type="dxa"/>
            <w:gridSpan w:val="2"/>
            <w:vAlign w:val="center"/>
          </w:tcPr>
          <w:p w14:paraId="216EB7C7">
            <w:pPr>
              <w:autoSpaceDE w:val="0"/>
              <w:autoSpaceDN w:val="0"/>
              <w:adjustRightInd w:val="0"/>
              <w:snapToGrid w:val="0"/>
              <w:jc w:val="center"/>
              <w:rPr>
                <w:rFonts w:ascii="宋体" w:hAnsi="宋体"/>
                <w:kern w:val="0"/>
                <w:szCs w:val="21"/>
              </w:rPr>
            </w:pPr>
          </w:p>
        </w:tc>
      </w:tr>
      <w:tr w14:paraId="14F3F10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8D048FE">
            <w:pPr>
              <w:autoSpaceDE w:val="0"/>
              <w:autoSpaceDN w:val="0"/>
              <w:adjustRightInd w:val="0"/>
              <w:snapToGrid w:val="0"/>
              <w:jc w:val="center"/>
              <w:rPr>
                <w:rFonts w:ascii="宋体" w:hAnsi="宋体"/>
                <w:kern w:val="0"/>
                <w:szCs w:val="21"/>
              </w:rPr>
            </w:pPr>
          </w:p>
        </w:tc>
        <w:tc>
          <w:tcPr>
            <w:tcW w:w="3768" w:type="dxa"/>
            <w:gridSpan w:val="4"/>
            <w:vAlign w:val="center"/>
          </w:tcPr>
          <w:p w14:paraId="08CAA8F8">
            <w:pPr>
              <w:autoSpaceDE w:val="0"/>
              <w:autoSpaceDN w:val="0"/>
              <w:adjustRightInd w:val="0"/>
              <w:snapToGrid w:val="0"/>
              <w:jc w:val="center"/>
              <w:rPr>
                <w:rFonts w:ascii="宋体" w:hAnsi="宋体"/>
                <w:kern w:val="0"/>
                <w:szCs w:val="21"/>
              </w:rPr>
            </w:pPr>
          </w:p>
        </w:tc>
        <w:tc>
          <w:tcPr>
            <w:tcW w:w="1388" w:type="dxa"/>
            <w:vAlign w:val="center"/>
          </w:tcPr>
          <w:p w14:paraId="43433E21">
            <w:pPr>
              <w:autoSpaceDE w:val="0"/>
              <w:autoSpaceDN w:val="0"/>
              <w:adjustRightInd w:val="0"/>
              <w:snapToGrid w:val="0"/>
              <w:jc w:val="center"/>
              <w:rPr>
                <w:rFonts w:ascii="宋体" w:hAnsi="宋体"/>
                <w:kern w:val="0"/>
                <w:szCs w:val="21"/>
              </w:rPr>
            </w:pPr>
          </w:p>
        </w:tc>
        <w:tc>
          <w:tcPr>
            <w:tcW w:w="2706" w:type="dxa"/>
            <w:gridSpan w:val="2"/>
            <w:vAlign w:val="center"/>
          </w:tcPr>
          <w:p w14:paraId="1CFCF87A">
            <w:pPr>
              <w:autoSpaceDE w:val="0"/>
              <w:autoSpaceDN w:val="0"/>
              <w:adjustRightInd w:val="0"/>
              <w:snapToGrid w:val="0"/>
              <w:jc w:val="center"/>
              <w:rPr>
                <w:rFonts w:ascii="宋体" w:hAnsi="宋体"/>
                <w:kern w:val="0"/>
                <w:szCs w:val="21"/>
              </w:rPr>
            </w:pPr>
          </w:p>
        </w:tc>
      </w:tr>
      <w:tr w14:paraId="2C66C76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EE4F6BF">
            <w:pPr>
              <w:autoSpaceDE w:val="0"/>
              <w:autoSpaceDN w:val="0"/>
              <w:adjustRightInd w:val="0"/>
              <w:snapToGrid w:val="0"/>
              <w:jc w:val="center"/>
              <w:rPr>
                <w:rFonts w:ascii="宋体" w:hAnsi="宋体"/>
                <w:kern w:val="0"/>
                <w:szCs w:val="21"/>
              </w:rPr>
            </w:pPr>
          </w:p>
        </w:tc>
        <w:tc>
          <w:tcPr>
            <w:tcW w:w="3768" w:type="dxa"/>
            <w:gridSpan w:val="4"/>
            <w:vAlign w:val="center"/>
          </w:tcPr>
          <w:p w14:paraId="22FA6DFE">
            <w:pPr>
              <w:autoSpaceDE w:val="0"/>
              <w:autoSpaceDN w:val="0"/>
              <w:adjustRightInd w:val="0"/>
              <w:snapToGrid w:val="0"/>
              <w:jc w:val="center"/>
              <w:rPr>
                <w:rFonts w:ascii="宋体" w:hAnsi="宋体"/>
                <w:kern w:val="0"/>
                <w:szCs w:val="21"/>
              </w:rPr>
            </w:pPr>
          </w:p>
        </w:tc>
        <w:tc>
          <w:tcPr>
            <w:tcW w:w="1388" w:type="dxa"/>
            <w:vAlign w:val="center"/>
          </w:tcPr>
          <w:p w14:paraId="42480D61">
            <w:pPr>
              <w:autoSpaceDE w:val="0"/>
              <w:autoSpaceDN w:val="0"/>
              <w:adjustRightInd w:val="0"/>
              <w:snapToGrid w:val="0"/>
              <w:jc w:val="center"/>
              <w:rPr>
                <w:rFonts w:ascii="宋体" w:hAnsi="宋体"/>
                <w:kern w:val="0"/>
                <w:szCs w:val="21"/>
              </w:rPr>
            </w:pPr>
          </w:p>
        </w:tc>
        <w:tc>
          <w:tcPr>
            <w:tcW w:w="2706" w:type="dxa"/>
            <w:gridSpan w:val="2"/>
            <w:vAlign w:val="center"/>
          </w:tcPr>
          <w:p w14:paraId="6D70C135">
            <w:pPr>
              <w:autoSpaceDE w:val="0"/>
              <w:autoSpaceDN w:val="0"/>
              <w:adjustRightInd w:val="0"/>
              <w:snapToGrid w:val="0"/>
              <w:jc w:val="center"/>
              <w:rPr>
                <w:rFonts w:ascii="宋体" w:hAnsi="宋体"/>
                <w:kern w:val="0"/>
                <w:szCs w:val="21"/>
              </w:rPr>
            </w:pPr>
          </w:p>
        </w:tc>
      </w:tr>
      <w:tr w14:paraId="3F9ECCC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6AE5438F">
            <w:pPr>
              <w:autoSpaceDE w:val="0"/>
              <w:autoSpaceDN w:val="0"/>
              <w:adjustRightInd w:val="0"/>
              <w:snapToGrid w:val="0"/>
              <w:jc w:val="center"/>
              <w:rPr>
                <w:rFonts w:ascii="宋体" w:hAnsi="宋体"/>
                <w:kern w:val="0"/>
                <w:szCs w:val="21"/>
              </w:rPr>
            </w:pPr>
          </w:p>
        </w:tc>
        <w:tc>
          <w:tcPr>
            <w:tcW w:w="3768" w:type="dxa"/>
            <w:gridSpan w:val="4"/>
            <w:vAlign w:val="center"/>
          </w:tcPr>
          <w:p w14:paraId="5F6B988F">
            <w:pPr>
              <w:autoSpaceDE w:val="0"/>
              <w:autoSpaceDN w:val="0"/>
              <w:adjustRightInd w:val="0"/>
              <w:snapToGrid w:val="0"/>
              <w:jc w:val="center"/>
              <w:rPr>
                <w:rFonts w:ascii="宋体" w:hAnsi="宋体"/>
                <w:kern w:val="0"/>
                <w:szCs w:val="21"/>
              </w:rPr>
            </w:pPr>
          </w:p>
        </w:tc>
        <w:tc>
          <w:tcPr>
            <w:tcW w:w="1388" w:type="dxa"/>
            <w:vAlign w:val="center"/>
          </w:tcPr>
          <w:p w14:paraId="3EB27F9A">
            <w:pPr>
              <w:autoSpaceDE w:val="0"/>
              <w:autoSpaceDN w:val="0"/>
              <w:adjustRightInd w:val="0"/>
              <w:snapToGrid w:val="0"/>
              <w:jc w:val="center"/>
              <w:rPr>
                <w:rFonts w:ascii="宋体" w:hAnsi="宋体"/>
                <w:kern w:val="0"/>
                <w:szCs w:val="21"/>
              </w:rPr>
            </w:pPr>
          </w:p>
        </w:tc>
        <w:tc>
          <w:tcPr>
            <w:tcW w:w="2706" w:type="dxa"/>
            <w:gridSpan w:val="2"/>
            <w:vAlign w:val="center"/>
          </w:tcPr>
          <w:p w14:paraId="3DAB07D7">
            <w:pPr>
              <w:autoSpaceDE w:val="0"/>
              <w:autoSpaceDN w:val="0"/>
              <w:adjustRightInd w:val="0"/>
              <w:snapToGrid w:val="0"/>
              <w:jc w:val="center"/>
              <w:rPr>
                <w:rFonts w:ascii="宋体" w:hAnsi="宋体"/>
                <w:kern w:val="0"/>
                <w:szCs w:val="21"/>
              </w:rPr>
            </w:pPr>
          </w:p>
        </w:tc>
      </w:tr>
      <w:tr w14:paraId="6280384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7F5D6EE6">
            <w:pPr>
              <w:autoSpaceDE w:val="0"/>
              <w:autoSpaceDN w:val="0"/>
              <w:adjustRightInd w:val="0"/>
              <w:snapToGrid w:val="0"/>
              <w:jc w:val="center"/>
              <w:rPr>
                <w:rFonts w:ascii="宋体" w:hAnsi="宋体"/>
                <w:kern w:val="0"/>
                <w:szCs w:val="21"/>
              </w:rPr>
            </w:pPr>
          </w:p>
        </w:tc>
        <w:tc>
          <w:tcPr>
            <w:tcW w:w="3768" w:type="dxa"/>
            <w:gridSpan w:val="4"/>
            <w:vAlign w:val="center"/>
          </w:tcPr>
          <w:p w14:paraId="5D77D77C">
            <w:pPr>
              <w:autoSpaceDE w:val="0"/>
              <w:autoSpaceDN w:val="0"/>
              <w:adjustRightInd w:val="0"/>
              <w:snapToGrid w:val="0"/>
              <w:jc w:val="center"/>
              <w:rPr>
                <w:rFonts w:ascii="宋体" w:hAnsi="宋体"/>
                <w:kern w:val="0"/>
                <w:szCs w:val="21"/>
              </w:rPr>
            </w:pPr>
          </w:p>
        </w:tc>
        <w:tc>
          <w:tcPr>
            <w:tcW w:w="1388" w:type="dxa"/>
            <w:vAlign w:val="center"/>
          </w:tcPr>
          <w:p w14:paraId="096A2F39">
            <w:pPr>
              <w:autoSpaceDE w:val="0"/>
              <w:autoSpaceDN w:val="0"/>
              <w:adjustRightInd w:val="0"/>
              <w:snapToGrid w:val="0"/>
              <w:jc w:val="center"/>
              <w:rPr>
                <w:rFonts w:ascii="宋体" w:hAnsi="宋体"/>
                <w:kern w:val="0"/>
                <w:szCs w:val="21"/>
              </w:rPr>
            </w:pPr>
          </w:p>
        </w:tc>
        <w:tc>
          <w:tcPr>
            <w:tcW w:w="2706" w:type="dxa"/>
            <w:gridSpan w:val="2"/>
            <w:vAlign w:val="center"/>
          </w:tcPr>
          <w:p w14:paraId="4F20E15A">
            <w:pPr>
              <w:autoSpaceDE w:val="0"/>
              <w:autoSpaceDN w:val="0"/>
              <w:adjustRightInd w:val="0"/>
              <w:snapToGrid w:val="0"/>
              <w:jc w:val="center"/>
              <w:rPr>
                <w:rFonts w:ascii="宋体" w:hAnsi="宋体"/>
                <w:kern w:val="0"/>
                <w:szCs w:val="21"/>
              </w:rPr>
            </w:pPr>
          </w:p>
        </w:tc>
      </w:tr>
      <w:tr w14:paraId="46328C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5637BE7">
            <w:pPr>
              <w:autoSpaceDE w:val="0"/>
              <w:autoSpaceDN w:val="0"/>
              <w:adjustRightInd w:val="0"/>
              <w:snapToGrid w:val="0"/>
              <w:jc w:val="center"/>
              <w:rPr>
                <w:rFonts w:ascii="宋体" w:hAnsi="宋体"/>
                <w:kern w:val="0"/>
                <w:szCs w:val="21"/>
              </w:rPr>
            </w:pPr>
          </w:p>
        </w:tc>
        <w:tc>
          <w:tcPr>
            <w:tcW w:w="3768" w:type="dxa"/>
            <w:gridSpan w:val="4"/>
            <w:vAlign w:val="center"/>
          </w:tcPr>
          <w:p w14:paraId="577A42D1">
            <w:pPr>
              <w:autoSpaceDE w:val="0"/>
              <w:autoSpaceDN w:val="0"/>
              <w:adjustRightInd w:val="0"/>
              <w:snapToGrid w:val="0"/>
              <w:jc w:val="center"/>
              <w:rPr>
                <w:rFonts w:ascii="宋体" w:hAnsi="宋体"/>
                <w:kern w:val="0"/>
                <w:szCs w:val="21"/>
              </w:rPr>
            </w:pPr>
          </w:p>
        </w:tc>
        <w:tc>
          <w:tcPr>
            <w:tcW w:w="1388" w:type="dxa"/>
            <w:vAlign w:val="center"/>
          </w:tcPr>
          <w:p w14:paraId="7FB5F962">
            <w:pPr>
              <w:autoSpaceDE w:val="0"/>
              <w:autoSpaceDN w:val="0"/>
              <w:adjustRightInd w:val="0"/>
              <w:snapToGrid w:val="0"/>
              <w:jc w:val="center"/>
              <w:rPr>
                <w:rFonts w:ascii="宋体" w:hAnsi="宋体"/>
                <w:kern w:val="0"/>
                <w:szCs w:val="21"/>
              </w:rPr>
            </w:pPr>
          </w:p>
        </w:tc>
        <w:tc>
          <w:tcPr>
            <w:tcW w:w="2706" w:type="dxa"/>
            <w:gridSpan w:val="2"/>
            <w:vAlign w:val="center"/>
          </w:tcPr>
          <w:p w14:paraId="34E00F17">
            <w:pPr>
              <w:autoSpaceDE w:val="0"/>
              <w:autoSpaceDN w:val="0"/>
              <w:adjustRightInd w:val="0"/>
              <w:snapToGrid w:val="0"/>
              <w:jc w:val="center"/>
              <w:rPr>
                <w:rFonts w:ascii="宋体" w:hAnsi="宋体"/>
                <w:kern w:val="0"/>
                <w:szCs w:val="21"/>
              </w:rPr>
            </w:pPr>
          </w:p>
        </w:tc>
      </w:tr>
      <w:tr w14:paraId="7E90D13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22290D23">
            <w:pPr>
              <w:autoSpaceDE w:val="0"/>
              <w:autoSpaceDN w:val="0"/>
              <w:adjustRightInd w:val="0"/>
              <w:snapToGrid w:val="0"/>
              <w:jc w:val="center"/>
              <w:rPr>
                <w:rFonts w:ascii="宋体" w:hAnsi="宋体"/>
                <w:kern w:val="0"/>
                <w:szCs w:val="21"/>
              </w:rPr>
            </w:pPr>
          </w:p>
        </w:tc>
        <w:tc>
          <w:tcPr>
            <w:tcW w:w="3768" w:type="dxa"/>
            <w:gridSpan w:val="4"/>
            <w:vAlign w:val="center"/>
          </w:tcPr>
          <w:p w14:paraId="0408ACCE">
            <w:pPr>
              <w:autoSpaceDE w:val="0"/>
              <w:autoSpaceDN w:val="0"/>
              <w:adjustRightInd w:val="0"/>
              <w:snapToGrid w:val="0"/>
              <w:jc w:val="center"/>
              <w:rPr>
                <w:rFonts w:ascii="宋体" w:hAnsi="宋体"/>
                <w:kern w:val="0"/>
                <w:szCs w:val="21"/>
              </w:rPr>
            </w:pPr>
          </w:p>
        </w:tc>
        <w:tc>
          <w:tcPr>
            <w:tcW w:w="1388" w:type="dxa"/>
            <w:vAlign w:val="center"/>
          </w:tcPr>
          <w:p w14:paraId="5E21FBBD">
            <w:pPr>
              <w:autoSpaceDE w:val="0"/>
              <w:autoSpaceDN w:val="0"/>
              <w:adjustRightInd w:val="0"/>
              <w:snapToGrid w:val="0"/>
              <w:jc w:val="center"/>
              <w:rPr>
                <w:rFonts w:ascii="宋体" w:hAnsi="宋体"/>
                <w:kern w:val="0"/>
                <w:szCs w:val="21"/>
              </w:rPr>
            </w:pPr>
          </w:p>
        </w:tc>
        <w:tc>
          <w:tcPr>
            <w:tcW w:w="2706" w:type="dxa"/>
            <w:gridSpan w:val="2"/>
            <w:vAlign w:val="center"/>
          </w:tcPr>
          <w:p w14:paraId="5F03C24F">
            <w:pPr>
              <w:autoSpaceDE w:val="0"/>
              <w:autoSpaceDN w:val="0"/>
              <w:adjustRightInd w:val="0"/>
              <w:snapToGrid w:val="0"/>
              <w:jc w:val="center"/>
              <w:rPr>
                <w:rFonts w:ascii="宋体" w:hAnsi="宋体"/>
                <w:kern w:val="0"/>
                <w:szCs w:val="21"/>
              </w:rPr>
            </w:pPr>
          </w:p>
        </w:tc>
      </w:tr>
      <w:tr w14:paraId="00F6F2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5D7AFFFA">
            <w:pPr>
              <w:autoSpaceDE w:val="0"/>
              <w:autoSpaceDN w:val="0"/>
              <w:adjustRightInd w:val="0"/>
              <w:snapToGrid w:val="0"/>
              <w:jc w:val="center"/>
              <w:rPr>
                <w:rFonts w:ascii="宋体" w:hAnsi="宋体"/>
                <w:kern w:val="0"/>
                <w:szCs w:val="21"/>
              </w:rPr>
            </w:pPr>
          </w:p>
        </w:tc>
        <w:tc>
          <w:tcPr>
            <w:tcW w:w="3768" w:type="dxa"/>
            <w:gridSpan w:val="4"/>
            <w:vAlign w:val="center"/>
          </w:tcPr>
          <w:p w14:paraId="36E13280">
            <w:pPr>
              <w:autoSpaceDE w:val="0"/>
              <w:autoSpaceDN w:val="0"/>
              <w:adjustRightInd w:val="0"/>
              <w:snapToGrid w:val="0"/>
              <w:jc w:val="center"/>
              <w:rPr>
                <w:rFonts w:ascii="宋体" w:hAnsi="宋体"/>
                <w:kern w:val="0"/>
                <w:szCs w:val="21"/>
              </w:rPr>
            </w:pPr>
          </w:p>
        </w:tc>
        <w:tc>
          <w:tcPr>
            <w:tcW w:w="1388" w:type="dxa"/>
            <w:vAlign w:val="center"/>
          </w:tcPr>
          <w:p w14:paraId="5BBE4339">
            <w:pPr>
              <w:autoSpaceDE w:val="0"/>
              <w:autoSpaceDN w:val="0"/>
              <w:adjustRightInd w:val="0"/>
              <w:snapToGrid w:val="0"/>
              <w:jc w:val="center"/>
              <w:rPr>
                <w:rFonts w:ascii="宋体" w:hAnsi="宋体"/>
                <w:kern w:val="0"/>
                <w:szCs w:val="21"/>
              </w:rPr>
            </w:pPr>
          </w:p>
        </w:tc>
        <w:tc>
          <w:tcPr>
            <w:tcW w:w="2706" w:type="dxa"/>
            <w:gridSpan w:val="2"/>
            <w:vAlign w:val="center"/>
          </w:tcPr>
          <w:p w14:paraId="4F142D9B">
            <w:pPr>
              <w:autoSpaceDE w:val="0"/>
              <w:autoSpaceDN w:val="0"/>
              <w:adjustRightInd w:val="0"/>
              <w:snapToGrid w:val="0"/>
              <w:jc w:val="center"/>
              <w:rPr>
                <w:rFonts w:ascii="宋体" w:hAnsi="宋体"/>
                <w:kern w:val="0"/>
                <w:szCs w:val="21"/>
              </w:rPr>
            </w:pPr>
          </w:p>
        </w:tc>
      </w:tr>
      <w:tr w14:paraId="0F2BF58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191FD25C">
            <w:pPr>
              <w:autoSpaceDE w:val="0"/>
              <w:autoSpaceDN w:val="0"/>
              <w:adjustRightInd w:val="0"/>
              <w:snapToGrid w:val="0"/>
              <w:jc w:val="center"/>
              <w:rPr>
                <w:rFonts w:ascii="宋体" w:hAnsi="宋体"/>
                <w:kern w:val="0"/>
                <w:szCs w:val="21"/>
              </w:rPr>
            </w:pPr>
          </w:p>
        </w:tc>
        <w:tc>
          <w:tcPr>
            <w:tcW w:w="3768" w:type="dxa"/>
            <w:gridSpan w:val="4"/>
            <w:vAlign w:val="center"/>
          </w:tcPr>
          <w:p w14:paraId="3005975D">
            <w:pPr>
              <w:autoSpaceDE w:val="0"/>
              <w:autoSpaceDN w:val="0"/>
              <w:adjustRightInd w:val="0"/>
              <w:snapToGrid w:val="0"/>
              <w:jc w:val="center"/>
              <w:rPr>
                <w:rFonts w:ascii="宋体" w:hAnsi="宋体"/>
                <w:kern w:val="0"/>
                <w:szCs w:val="21"/>
              </w:rPr>
            </w:pPr>
          </w:p>
        </w:tc>
        <w:tc>
          <w:tcPr>
            <w:tcW w:w="1388" w:type="dxa"/>
            <w:vAlign w:val="center"/>
          </w:tcPr>
          <w:p w14:paraId="32A9894C">
            <w:pPr>
              <w:autoSpaceDE w:val="0"/>
              <w:autoSpaceDN w:val="0"/>
              <w:adjustRightInd w:val="0"/>
              <w:snapToGrid w:val="0"/>
              <w:jc w:val="center"/>
              <w:rPr>
                <w:rFonts w:ascii="宋体" w:hAnsi="宋体"/>
                <w:kern w:val="0"/>
                <w:szCs w:val="21"/>
              </w:rPr>
            </w:pPr>
          </w:p>
        </w:tc>
        <w:tc>
          <w:tcPr>
            <w:tcW w:w="2706" w:type="dxa"/>
            <w:gridSpan w:val="2"/>
            <w:vAlign w:val="center"/>
          </w:tcPr>
          <w:p w14:paraId="1AF4A873">
            <w:pPr>
              <w:autoSpaceDE w:val="0"/>
              <w:autoSpaceDN w:val="0"/>
              <w:adjustRightInd w:val="0"/>
              <w:snapToGrid w:val="0"/>
              <w:jc w:val="center"/>
              <w:rPr>
                <w:rFonts w:ascii="宋体" w:hAnsi="宋体"/>
                <w:kern w:val="0"/>
                <w:szCs w:val="21"/>
              </w:rPr>
            </w:pPr>
          </w:p>
        </w:tc>
      </w:tr>
      <w:tr w14:paraId="592124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14:paraId="450348C2">
            <w:pPr>
              <w:autoSpaceDE w:val="0"/>
              <w:autoSpaceDN w:val="0"/>
              <w:adjustRightInd w:val="0"/>
              <w:snapToGrid w:val="0"/>
              <w:jc w:val="center"/>
              <w:rPr>
                <w:rFonts w:ascii="宋体" w:hAnsi="宋体"/>
                <w:kern w:val="0"/>
                <w:szCs w:val="21"/>
              </w:rPr>
            </w:pPr>
          </w:p>
        </w:tc>
        <w:tc>
          <w:tcPr>
            <w:tcW w:w="3768" w:type="dxa"/>
            <w:gridSpan w:val="4"/>
            <w:vAlign w:val="center"/>
          </w:tcPr>
          <w:p w14:paraId="4408FD1D">
            <w:pPr>
              <w:autoSpaceDE w:val="0"/>
              <w:autoSpaceDN w:val="0"/>
              <w:adjustRightInd w:val="0"/>
              <w:snapToGrid w:val="0"/>
              <w:jc w:val="center"/>
              <w:rPr>
                <w:rFonts w:ascii="宋体" w:hAnsi="宋体"/>
                <w:kern w:val="0"/>
                <w:szCs w:val="21"/>
              </w:rPr>
            </w:pPr>
          </w:p>
        </w:tc>
        <w:tc>
          <w:tcPr>
            <w:tcW w:w="1388" w:type="dxa"/>
            <w:vAlign w:val="center"/>
          </w:tcPr>
          <w:p w14:paraId="0A551F05">
            <w:pPr>
              <w:autoSpaceDE w:val="0"/>
              <w:autoSpaceDN w:val="0"/>
              <w:adjustRightInd w:val="0"/>
              <w:snapToGrid w:val="0"/>
              <w:jc w:val="center"/>
              <w:rPr>
                <w:rFonts w:ascii="宋体" w:hAnsi="宋体"/>
                <w:kern w:val="0"/>
                <w:szCs w:val="21"/>
              </w:rPr>
            </w:pPr>
          </w:p>
        </w:tc>
        <w:tc>
          <w:tcPr>
            <w:tcW w:w="2706" w:type="dxa"/>
            <w:gridSpan w:val="2"/>
            <w:vAlign w:val="center"/>
          </w:tcPr>
          <w:p w14:paraId="1217022C">
            <w:pPr>
              <w:autoSpaceDE w:val="0"/>
              <w:autoSpaceDN w:val="0"/>
              <w:adjustRightInd w:val="0"/>
              <w:snapToGrid w:val="0"/>
              <w:jc w:val="center"/>
              <w:rPr>
                <w:rFonts w:ascii="宋体" w:hAnsi="宋体"/>
                <w:kern w:val="0"/>
                <w:szCs w:val="21"/>
              </w:rPr>
            </w:pPr>
          </w:p>
        </w:tc>
      </w:tr>
    </w:tbl>
    <w:p w14:paraId="0FCD46B4">
      <w:pPr>
        <w:spacing w:line="360" w:lineRule="auto"/>
        <w:rPr>
          <w:rFonts w:ascii="宋体" w:hAnsi="宋体"/>
        </w:rPr>
      </w:pPr>
      <w:bookmarkStart w:id="2093" w:name="_Toc224103515"/>
    </w:p>
    <w:p w14:paraId="4B279C70">
      <w:pPr>
        <w:pStyle w:val="5"/>
        <w:spacing w:before="0" w:line="240" w:lineRule="auto"/>
        <w:jc w:val="center"/>
        <w:rPr>
          <w:rFonts w:ascii="宋体" w:hAnsi="宋体"/>
          <w:b w:val="0"/>
        </w:rPr>
      </w:pPr>
      <w:bookmarkStart w:id="2094" w:name="_Toc14486"/>
      <w:bookmarkStart w:id="2095" w:name="_Toc277082660"/>
      <w:bookmarkStart w:id="2096" w:name="_Toc430530550"/>
      <w:bookmarkStart w:id="2097" w:name="_Toc287607888"/>
      <w:bookmarkStart w:id="2098" w:name="_Toc287620834"/>
      <w:bookmarkStart w:id="2099" w:name="_Toc534185841"/>
      <w:bookmarkStart w:id="2100" w:name="_Toc509218864"/>
      <w:r>
        <w:rPr>
          <w:rFonts w:hint="eastAsia" w:ascii="宋体" w:hAnsi="宋体"/>
          <w:b w:val="0"/>
        </w:rPr>
        <w:t>（五）近年财务状况表</w:t>
      </w:r>
      <w:bookmarkEnd w:id="2093"/>
      <w:bookmarkEnd w:id="2094"/>
      <w:bookmarkEnd w:id="2095"/>
      <w:bookmarkEnd w:id="2096"/>
      <w:bookmarkEnd w:id="2097"/>
      <w:bookmarkEnd w:id="2098"/>
      <w:bookmarkEnd w:id="2099"/>
      <w:bookmarkEnd w:id="2100"/>
    </w:p>
    <w:p w14:paraId="0165B737">
      <w:pPr>
        <w:adjustRightInd w:val="0"/>
        <w:snapToGrid w:val="0"/>
        <w:spacing w:line="360" w:lineRule="auto"/>
        <w:rPr>
          <w:rFonts w:ascii="宋体" w:hAnsi="宋体"/>
        </w:rPr>
      </w:pPr>
      <w:r>
        <w:rPr>
          <w:rFonts w:ascii="宋体" w:hAnsi="宋体"/>
        </w:rPr>
        <w:br w:type="page"/>
      </w:r>
    </w:p>
    <w:p w14:paraId="01E589D3">
      <w:pPr>
        <w:pStyle w:val="5"/>
        <w:spacing w:before="0" w:line="240" w:lineRule="auto"/>
        <w:jc w:val="center"/>
        <w:rPr>
          <w:rFonts w:ascii="宋体" w:hAnsi="宋体"/>
          <w:b w:val="0"/>
        </w:rPr>
      </w:pPr>
      <w:bookmarkStart w:id="2101" w:name="_Toc13355"/>
      <w:bookmarkStart w:id="2102" w:name="_Toc430530551"/>
      <w:bookmarkStart w:id="2103" w:name="_Toc287607889"/>
      <w:bookmarkStart w:id="2104" w:name="_Toc534185842"/>
      <w:bookmarkStart w:id="2105" w:name="_Toc287620835"/>
      <w:bookmarkStart w:id="2106" w:name="_Toc277082661"/>
      <w:bookmarkStart w:id="2107" w:name="_Toc224103516"/>
      <w:bookmarkStart w:id="2108" w:name="_Toc509218865"/>
      <w:r>
        <w:rPr>
          <w:rFonts w:ascii="宋体" w:hAnsi="宋体"/>
          <w:b w:val="0"/>
        </w:rPr>
        <w:t>（六）类似项目情况表</w:t>
      </w:r>
      <w:bookmarkEnd w:id="2101"/>
      <w:bookmarkEnd w:id="2102"/>
      <w:bookmarkEnd w:id="2103"/>
      <w:bookmarkEnd w:id="2104"/>
      <w:bookmarkEnd w:id="2105"/>
      <w:bookmarkEnd w:id="2106"/>
      <w:bookmarkEnd w:id="2107"/>
      <w:bookmarkEnd w:id="2108"/>
    </w:p>
    <w:tbl>
      <w:tblPr>
        <w:tblStyle w:val="45"/>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14:paraId="0F3368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14:paraId="38E343BC">
            <w:pPr>
              <w:autoSpaceDE w:val="0"/>
              <w:autoSpaceDN w:val="0"/>
              <w:adjustRightInd w:val="0"/>
              <w:snapToGrid w:val="0"/>
              <w:jc w:val="center"/>
              <w:rPr>
                <w:rFonts w:ascii="宋体" w:hAnsi="宋体"/>
                <w:kern w:val="0"/>
                <w:szCs w:val="21"/>
              </w:rPr>
            </w:pPr>
            <w:r>
              <w:rPr>
                <w:rFonts w:ascii="宋体" w:hAnsi="宋体"/>
                <w:kern w:val="0"/>
                <w:szCs w:val="21"/>
              </w:rPr>
              <w:t>项目名称</w:t>
            </w:r>
          </w:p>
        </w:tc>
        <w:tc>
          <w:tcPr>
            <w:tcW w:w="8027" w:type="dxa"/>
            <w:vAlign w:val="center"/>
          </w:tcPr>
          <w:p w14:paraId="51117F4E">
            <w:pPr>
              <w:autoSpaceDE w:val="0"/>
              <w:autoSpaceDN w:val="0"/>
              <w:adjustRightInd w:val="0"/>
              <w:snapToGrid w:val="0"/>
              <w:jc w:val="center"/>
              <w:rPr>
                <w:rFonts w:ascii="宋体" w:hAnsi="宋体"/>
                <w:kern w:val="0"/>
                <w:szCs w:val="21"/>
              </w:rPr>
            </w:pPr>
          </w:p>
        </w:tc>
      </w:tr>
      <w:tr w14:paraId="60DBD0F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54949581">
            <w:pPr>
              <w:autoSpaceDE w:val="0"/>
              <w:autoSpaceDN w:val="0"/>
              <w:adjustRightInd w:val="0"/>
              <w:snapToGrid w:val="0"/>
              <w:jc w:val="center"/>
              <w:rPr>
                <w:rFonts w:ascii="宋体" w:hAnsi="宋体"/>
                <w:kern w:val="0"/>
                <w:szCs w:val="21"/>
              </w:rPr>
            </w:pPr>
            <w:r>
              <w:rPr>
                <w:rFonts w:ascii="宋体" w:hAnsi="宋体"/>
                <w:kern w:val="0"/>
                <w:szCs w:val="21"/>
              </w:rPr>
              <w:t>项目所在地</w:t>
            </w:r>
          </w:p>
        </w:tc>
        <w:tc>
          <w:tcPr>
            <w:tcW w:w="8027" w:type="dxa"/>
            <w:vAlign w:val="center"/>
          </w:tcPr>
          <w:p w14:paraId="2181E3D6">
            <w:pPr>
              <w:autoSpaceDE w:val="0"/>
              <w:autoSpaceDN w:val="0"/>
              <w:adjustRightInd w:val="0"/>
              <w:snapToGrid w:val="0"/>
              <w:jc w:val="center"/>
              <w:rPr>
                <w:rFonts w:ascii="宋体" w:hAnsi="宋体"/>
                <w:kern w:val="0"/>
                <w:szCs w:val="21"/>
              </w:rPr>
            </w:pPr>
          </w:p>
        </w:tc>
      </w:tr>
      <w:tr w14:paraId="665C7FC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14:paraId="5B7CD25B">
            <w:pPr>
              <w:autoSpaceDE w:val="0"/>
              <w:autoSpaceDN w:val="0"/>
              <w:adjustRightInd w:val="0"/>
              <w:snapToGrid w:val="0"/>
              <w:jc w:val="center"/>
              <w:rPr>
                <w:rFonts w:ascii="宋体" w:hAnsi="宋体"/>
                <w:kern w:val="0"/>
                <w:szCs w:val="21"/>
              </w:rPr>
            </w:pPr>
            <w:r>
              <w:rPr>
                <w:rFonts w:ascii="宋体" w:hAnsi="宋体"/>
                <w:kern w:val="0"/>
                <w:szCs w:val="21"/>
              </w:rPr>
              <w:t>发包人名称</w:t>
            </w:r>
          </w:p>
        </w:tc>
        <w:tc>
          <w:tcPr>
            <w:tcW w:w="8027" w:type="dxa"/>
            <w:vAlign w:val="center"/>
          </w:tcPr>
          <w:p w14:paraId="6EBE4327">
            <w:pPr>
              <w:autoSpaceDE w:val="0"/>
              <w:autoSpaceDN w:val="0"/>
              <w:adjustRightInd w:val="0"/>
              <w:snapToGrid w:val="0"/>
              <w:jc w:val="center"/>
              <w:rPr>
                <w:rFonts w:ascii="宋体" w:hAnsi="宋体"/>
                <w:kern w:val="0"/>
                <w:szCs w:val="21"/>
              </w:rPr>
            </w:pPr>
          </w:p>
        </w:tc>
      </w:tr>
      <w:tr w14:paraId="6E47C29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633C340E">
            <w:pPr>
              <w:autoSpaceDE w:val="0"/>
              <w:autoSpaceDN w:val="0"/>
              <w:adjustRightInd w:val="0"/>
              <w:snapToGrid w:val="0"/>
              <w:jc w:val="center"/>
              <w:rPr>
                <w:rFonts w:ascii="宋体" w:hAnsi="宋体"/>
                <w:kern w:val="0"/>
                <w:szCs w:val="21"/>
              </w:rPr>
            </w:pPr>
            <w:r>
              <w:rPr>
                <w:rFonts w:ascii="宋体" w:hAnsi="宋体"/>
                <w:kern w:val="0"/>
                <w:szCs w:val="21"/>
              </w:rPr>
              <w:t>发包人地址</w:t>
            </w:r>
          </w:p>
        </w:tc>
        <w:tc>
          <w:tcPr>
            <w:tcW w:w="8027" w:type="dxa"/>
            <w:vAlign w:val="center"/>
          </w:tcPr>
          <w:p w14:paraId="388F1939">
            <w:pPr>
              <w:autoSpaceDE w:val="0"/>
              <w:autoSpaceDN w:val="0"/>
              <w:adjustRightInd w:val="0"/>
              <w:snapToGrid w:val="0"/>
              <w:jc w:val="center"/>
              <w:rPr>
                <w:rFonts w:ascii="宋体" w:hAnsi="宋体"/>
                <w:kern w:val="0"/>
                <w:szCs w:val="21"/>
              </w:rPr>
            </w:pPr>
          </w:p>
        </w:tc>
      </w:tr>
      <w:tr w14:paraId="7B361BC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27C69973">
            <w:pPr>
              <w:autoSpaceDE w:val="0"/>
              <w:autoSpaceDN w:val="0"/>
              <w:adjustRightInd w:val="0"/>
              <w:snapToGrid w:val="0"/>
              <w:jc w:val="center"/>
              <w:rPr>
                <w:rFonts w:ascii="宋体" w:hAnsi="宋体"/>
                <w:kern w:val="0"/>
                <w:szCs w:val="21"/>
              </w:rPr>
            </w:pPr>
            <w:r>
              <w:rPr>
                <w:rFonts w:ascii="宋体" w:hAnsi="宋体"/>
                <w:kern w:val="0"/>
                <w:szCs w:val="21"/>
              </w:rPr>
              <w:t>发包人电话</w:t>
            </w:r>
          </w:p>
        </w:tc>
        <w:tc>
          <w:tcPr>
            <w:tcW w:w="8027" w:type="dxa"/>
            <w:vAlign w:val="center"/>
          </w:tcPr>
          <w:p w14:paraId="46173270">
            <w:pPr>
              <w:autoSpaceDE w:val="0"/>
              <w:autoSpaceDN w:val="0"/>
              <w:adjustRightInd w:val="0"/>
              <w:snapToGrid w:val="0"/>
              <w:jc w:val="center"/>
              <w:rPr>
                <w:rFonts w:ascii="宋体" w:hAnsi="宋体"/>
                <w:kern w:val="0"/>
                <w:szCs w:val="21"/>
              </w:rPr>
            </w:pPr>
          </w:p>
        </w:tc>
      </w:tr>
      <w:tr w14:paraId="1D9827F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14:paraId="0724B3A7">
            <w:pPr>
              <w:autoSpaceDE w:val="0"/>
              <w:autoSpaceDN w:val="0"/>
              <w:adjustRightInd w:val="0"/>
              <w:snapToGrid w:val="0"/>
              <w:jc w:val="center"/>
              <w:rPr>
                <w:rFonts w:ascii="宋体" w:hAnsi="宋体"/>
                <w:kern w:val="0"/>
                <w:szCs w:val="21"/>
              </w:rPr>
            </w:pPr>
            <w:r>
              <w:rPr>
                <w:rFonts w:ascii="宋体" w:hAnsi="宋体"/>
                <w:kern w:val="0"/>
                <w:szCs w:val="21"/>
              </w:rPr>
              <w:t>合同价格</w:t>
            </w:r>
          </w:p>
        </w:tc>
        <w:tc>
          <w:tcPr>
            <w:tcW w:w="8027" w:type="dxa"/>
            <w:vAlign w:val="center"/>
          </w:tcPr>
          <w:p w14:paraId="09C984F5">
            <w:pPr>
              <w:autoSpaceDE w:val="0"/>
              <w:autoSpaceDN w:val="0"/>
              <w:adjustRightInd w:val="0"/>
              <w:snapToGrid w:val="0"/>
              <w:jc w:val="center"/>
              <w:rPr>
                <w:rFonts w:ascii="宋体" w:hAnsi="宋体"/>
                <w:kern w:val="0"/>
                <w:szCs w:val="21"/>
              </w:rPr>
            </w:pPr>
          </w:p>
        </w:tc>
      </w:tr>
      <w:tr w14:paraId="5ECD263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14:paraId="7E8FB53B">
            <w:pPr>
              <w:autoSpaceDE w:val="0"/>
              <w:autoSpaceDN w:val="0"/>
              <w:adjustRightInd w:val="0"/>
              <w:snapToGrid w:val="0"/>
              <w:jc w:val="center"/>
              <w:rPr>
                <w:rFonts w:ascii="宋体" w:hAnsi="宋体"/>
                <w:kern w:val="0"/>
                <w:szCs w:val="21"/>
              </w:rPr>
            </w:pPr>
            <w:r>
              <w:rPr>
                <w:rFonts w:ascii="宋体" w:hAnsi="宋体"/>
                <w:kern w:val="0"/>
                <w:szCs w:val="21"/>
              </w:rPr>
              <w:t>开工日期</w:t>
            </w:r>
          </w:p>
        </w:tc>
        <w:tc>
          <w:tcPr>
            <w:tcW w:w="8027" w:type="dxa"/>
            <w:vAlign w:val="center"/>
          </w:tcPr>
          <w:p w14:paraId="536924CD">
            <w:pPr>
              <w:autoSpaceDE w:val="0"/>
              <w:autoSpaceDN w:val="0"/>
              <w:adjustRightInd w:val="0"/>
              <w:snapToGrid w:val="0"/>
              <w:jc w:val="center"/>
              <w:rPr>
                <w:rFonts w:ascii="宋体" w:hAnsi="宋体"/>
                <w:kern w:val="0"/>
                <w:szCs w:val="21"/>
              </w:rPr>
            </w:pPr>
          </w:p>
        </w:tc>
      </w:tr>
      <w:tr w14:paraId="2BEC51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14:paraId="2602190D">
            <w:pPr>
              <w:autoSpaceDE w:val="0"/>
              <w:autoSpaceDN w:val="0"/>
              <w:adjustRightInd w:val="0"/>
              <w:snapToGrid w:val="0"/>
              <w:jc w:val="center"/>
              <w:rPr>
                <w:rFonts w:ascii="宋体" w:hAnsi="宋体"/>
                <w:kern w:val="0"/>
                <w:szCs w:val="21"/>
              </w:rPr>
            </w:pPr>
            <w:r>
              <w:rPr>
                <w:rFonts w:ascii="宋体" w:hAnsi="宋体"/>
                <w:kern w:val="0"/>
                <w:szCs w:val="21"/>
              </w:rPr>
              <w:t>竣工日期</w:t>
            </w:r>
          </w:p>
        </w:tc>
        <w:tc>
          <w:tcPr>
            <w:tcW w:w="8027" w:type="dxa"/>
            <w:vAlign w:val="center"/>
          </w:tcPr>
          <w:p w14:paraId="29A29E46">
            <w:pPr>
              <w:autoSpaceDE w:val="0"/>
              <w:autoSpaceDN w:val="0"/>
              <w:adjustRightInd w:val="0"/>
              <w:snapToGrid w:val="0"/>
              <w:jc w:val="center"/>
              <w:rPr>
                <w:rFonts w:ascii="宋体" w:hAnsi="宋体"/>
                <w:kern w:val="0"/>
                <w:szCs w:val="21"/>
              </w:rPr>
            </w:pPr>
          </w:p>
        </w:tc>
      </w:tr>
      <w:tr w14:paraId="4C4F19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14:paraId="5C9CFA6F">
            <w:pPr>
              <w:autoSpaceDE w:val="0"/>
              <w:autoSpaceDN w:val="0"/>
              <w:adjustRightInd w:val="0"/>
              <w:snapToGrid w:val="0"/>
              <w:jc w:val="center"/>
              <w:rPr>
                <w:rFonts w:ascii="宋体" w:hAnsi="宋体"/>
                <w:kern w:val="0"/>
                <w:szCs w:val="21"/>
              </w:rPr>
            </w:pPr>
            <w:r>
              <w:rPr>
                <w:rFonts w:ascii="宋体" w:hAnsi="宋体"/>
                <w:kern w:val="0"/>
                <w:szCs w:val="21"/>
              </w:rPr>
              <w:t>承担的工作</w:t>
            </w:r>
          </w:p>
        </w:tc>
        <w:tc>
          <w:tcPr>
            <w:tcW w:w="8027" w:type="dxa"/>
            <w:vAlign w:val="center"/>
          </w:tcPr>
          <w:p w14:paraId="40E7589A">
            <w:pPr>
              <w:autoSpaceDE w:val="0"/>
              <w:autoSpaceDN w:val="0"/>
              <w:adjustRightInd w:val="0"/>
              <w:snapToGrid w:val="0"/>
              <w:jc w:val="center"/>
              <w:rPr>
                <w:rFonts w:ascii="宋体" w:hAnsi="宋体"/>
                <w:kern w:val="0"/>
                <w:szCs w:val="21"/>
              </w:rPr>
            </w:pPr>
          </w:p>
        </w:tc>
      </w:tr>
      <w:tr w14:paraId="63A2624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14:paraId="6BF7E131">
            <w:pPr>
              <w:autoSpaceDE w:val="0"/>
              <w:autoSpaceDN w:val="0"/>
              <w:adjustRightInd w:val="0"/>
              <w:snapToGrid w:val="0"/>
              <w:jc w:val="center"/>
              <w:rPr>
                <w:rFonts w:ascii="宋体" w:hAnsi="宋体"/>
                <w:kern w:val="0"/>
                <w:szCs w:val="21"/>
              </w:rPr>
            </w:pPr>
            <w:r>
              <w:rPr>
                <w:rFonts w:ascii="宋体" w:hAnsi="宋体"/>
                <w:kern w:val="0"/>
                <w:szCs w:val="21"/>
              </w:rPr>
              <w:t>工程质量</w:t>
            </w:r>
          </w:p>
        </w:tc>
        <w:tc>
          <w:tcPr>
            <w:tcW w:w="8027" w:type="dxa"/>
            <w:vAlign w:val="center"/>
          </w:tcPr>
          <w:p w14:paraId="3100AF90">
            <w:pPr>
              <w:autoSpaceDE w:val="0"/>
              <w:autoSpaceDN w:val="0"/>
              <w:adjustRightInd w:val="0"/>
              <w:snapToGrid w:val="0"/>
              <w:jc w:val="center"/>
              <w:rPr>
                <w:rFonts w:ascii="宋体" w:hAnsi="宋体"/>
                <w:kern w:val="0"/>
                <w:szCs w:val="21"/>
              </w:rPr>
            </w:pPr>
          </w:p>
        </w:tc>
      </w:tr>
      <w:tr w14:paraId="239C985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14:paraId="752528AA">
            <w:pPr>
              <w:autoSpaceDE w:val="0"/>
              <w:autoSpaceDN w:val="0"/>
              <w:adjustRightInd w:val="0"/>
              <w:snapToGrid w:val="0"/>
              <w:jc w:val="center"/>
              <w:rPr>
                <w:rFonts w:ascii="宋体" w:hAnsi="宋体"/>
                <w:kern w:val="0"/>
                <w:szCs w:val="21"/>
              </w:rPr>
            </w:pPr>
            <w:r>
              <w:rPr>
                <w:rFonts w:ascii="宋体" w:hAnsi="宋体"/>
                <w:kern w:val="0"/>
                <w:szCs w:val="21"/>
              </w:rPr>
              <w:t>项目经理</w:t>
            </w:r>
          </w:p>
        </w:tc>
        <w:tc>
          <w:tcPr>
            <w:tcW w:w="8027" w:type="dxa"/>
            <w:vAlign w:val="center"/>
          </w:tcPr>
          <w:p w14:paraId="4FE70C42">
            <w:pPr>
              <w:autoSpaceDE w:val="0"/>
              <w:autoSpaceDN w:val="0"/>
              <w:adjustRightInd w:val="0"/>
              <w:snapToGrid w:val="0"/>
              <w:jc w:val="center"/>
              <w:rPr>
                <w:rFonts w:ascii="宋体" w:hAnsi="宋体"/>
                <w:kern w:val="0"/>
                <w:szCs w:val="21"/>
              </w:rPr>
            </w:pPr>
          </w:p>
        </w:tc>
      </w:tr>
      <w:tr w14:paraId="0D3EFBD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14:paraId="679C4FB8">
            <w:pPr>
              <w:autoSpaceDE w:val="0"/>
              <w:autoSpaceDN w:val="0"/>
              <w:adjustRightInd w:val="0"/>
              <w:snapToGrid w:val="0"/>
              <w:jc w:val="center"/>
              <w:rPr>
                <w:rFonts w:ascii="宋体" w:hAnsi="宋体"/>
                <w:kern w:val="0"/>
                <w:szCs w:val="21"/>
              </w:rPr>
            </w:pPr>
            <w:r>
              <w:rPr>
                <w:rFonts w:ascii="宋体" w:hAnsi="宋体"/>
                <w:kern w:val="0"/>
                <w:szCs w:val="21"/>
              </w:rPr>
              <w:t>技术负责人</w:t>
            </w:r>
          </w:p>
        </w:tc>
        <w:tc>
          <w:tcPr>
            <w:tcW w:w="8027" w:type="dxa"/>
            <w:vAlign w:val="center"/>
          </w:tcPr>
          <w:p w14:paraId="0DBC6070">
            <w:pPr>
              <w:autoSpaceDE w:val="0"/>
              <w:autoSpaceDN w:val="0"/>
              <w:adjustRightInd w:val="0"/>
              <w:snapToGrid w:val="0"/>
              <w:jc w:val="center"/>
              <w:rPr>
                <w:rFonts w:ascii="宋体" w:hAnsi="宋体"/>
                <w:kern w:val="0"/>
                <w:szCs w:val="21"/>
              </w:rPr>
            </w:pPr>
          </w:p>
        </w:tc>
      </w:tr>
      <w:tr w14:paraId="31E5036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14:paraId="5D68AFDA">
            <w:pPr>
              <w:autoSpaceDE w:val="0"/>
              <w:autoSpaceDN w:val="0"/>
              <w:adjustRightInd w:val="0"/>
              <w:snapToGrid w:val="0"/>
              <w:jc w:val="center"/>
              <w:rPr>
                <w:rFonts w:ascii="宋体" w:hAnsi="宋体"/>
                <w:kern w:val="0"/>
                <w:szCs w:val="21"/>
              </w:rPr>
            </w:pPr>
            <w:r>
              <w:rPr>
                <w:rFonts w:ascii="宋体" w:hAnsi="宋体"/>
                <w:kern w:val="0"/>
                <w:szCs w:val="21"/>
              </w:rPr>
              <w:t>总监理工程师及电话</w:t>
            </w:r>
          </w:p>
        </w:tc>
        <w:tc>
          <w:tcPr>
            <w:tcW w:w="8027" w:type="dxa"/>
            <w:vAlign w:val="center"/>
          </w:tcPr>
          <w:p w14:paraId="160FC2CD">
            <w:pPr>
              <w:autoSpaceDE w:val="0"/>
              <w:autoSpaceDN w:val="0"/>
              <w:adjustRightInd w:val="0"/>
              <w:snapToGrid w:val="0"/>
              <w:jc w:val="center"/>
              <w:rPr>
                <w:rFonts w:ascii="宋体" w:hAnsi="宋体"/>
                <w:kern w:val="0"/>
                <w:szCs w:val="21"/>
              </w:rPr>
            </w:pPr>
          </w:p>
        </w:tc>
      </w:tr>
      <w:tr w14:paraId="215C2C1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14:paraId="6908E360">
            <w:pPr>
              <w:autoSpaceDE w:val="0"/>
              <w:autoSpaceDN w:val="0"/>
              <w:adjustRightInd w:val="0"/>
              <w:snapToGrid w:val="0"/>
              <w:jc w:val="center"/>
              <w:rPr>
                <w:rFonts w:ascii="宋体" w:hAnsi="宋体"/>
                <w:kern w:val="0"/>
                <w:szCs w:val="21"/>
              </w:rPr>
            </w:pPr>
            <w:r>
              <w:rPr>
                <w:rFonts w:ascii="宋体" w:hAnsi="宋体"/>
                <w:kern w:val="0"/>
                <w:szCs w:val="21"/>
              </w:rPr>
              <w:t>项目描述</w:t>
            </w:r>
          </w:p>
        </w:tc>
        <w:tc>
          <w:tcPr>
            <w:tcW w:w="8027" w:type="dxa"/>
            <w:vAlign w:val="center"/>
          </w:tcPr>
          <w:p w14:paraId="7BE574D1">
            <w:pPr>
              <w:autoSpaceDE w:val="0"/>
              <w:autoSpaceDN w:val="0"/>
              <w:adjustRightInd w:val="0"/>
              <w:snapToGrid w:val="0"/>
              <w:jc w:val="center"/>
              <w:rPr>
                <w:rFonts w:ascii="宋体" w:hAnsi="宋体"/>
                <w:kern w:val="0"/>
                <w:szCs w:val="21"/>
              </w:rPr>
            </w:pPr>
          </w:p>
        </w:tc>
      </w:tr>
      <w:tr w14:paraId="68690F0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14:paraId="04FC4853">
            <w:pPr>
              <w:autoSpaceDE w:val="0"/>
              <w:autoSpaceDN w:val="0"/>
              <w:adjustRightInd w:val="0"/>
              <w:snapToGrid w:val="0"/>
              <w:jc w:val="center"/>
              <w:rPr>
                <w:rFonts w:ascii="宋体" w:hAnsi="宋体"/>
                <w:kern w:val="0"/>
                <w:szCs w:val="21"/>
              </w:rPr>
            </w:pPr>
            <w:r>
              <w:rPr>
                <w:rFonts w:ascii="宋体" w:hAnsi="宋体"/>
                <w:kern w:val="0"/>
                <w:szCs w:val="21"/>
              </w:rPr>
              <w:t>备注</w:t>
            </w:r>
          </w:p>
        </w:tc>
        <w:tc>
          <w:tcPr>
            <w:tcW w:w="8027" w:type="dxa"/>
            <w:vAlign w:val="center"/>
          </w:tcPr>
          <w:p w14:paraId="33BCE7BC">
            <w:pPr>
              <w:autoSpaceDE w:val="0"/>
              <w:autoSpaceDN w:val="0"/>
              <w:adjustRightInd w:val="0"/>
              <w:snapToGrid w:val="0"/>
              <w:jc w:val="center"/>
              <w:rPr>
                <w:rFonts w:ascii="宋体" w:hAnsi="宋体"/>
                <w:kern w:val="0"/>
                <w:szCs w:val="21"/>
              </w:rPr>
            </w:pPr>
          </w:p>
        </w:tc>
      </w:tr>
    </w:tbl>
    <w:p w14:paraId="2C0DC90B">
      <w:pPr>
        <w:pStyle w:val="5"/>
        <w:spacing w:before="0" w:line="360" w:lineRule="auto"/>
        <w:jc w:val="center"/>
        <w:rPr>
          <w:rFonts w:ascii="宋体" w:hAnsi="宋体"/>
          <w:b w:val="0"/>
        </w:rPr>
      </w:pPr>
      <w:bookmarkStart w:id="2109" w:name="_Toc430530552"/>
      <w:bookmarkStart w:id="2110" w:name="_Toc509218866"/>
      <w:bookmarkStart w:id="2111" w:name="_Toc277082663"/>
      <w:bookmarkStart w:id="2112" w:name="_Toc287620839"/>
      <w:bookmarkStart w:id="2113" w:name="_Toc534185843"/>
      <w:bookmarkStart w:id="2114" w:name="_Toc224103520"/>
      <w:bookmarkStart w:id="2115" w:name="_Toc287607893"/>
      <w:bookmarkStart w:id="2116" w:name="_Toc5612"/>
      <w:r>
        <w:rPr>
          <w:rFonts w:ascii="宋体" w:hAnsi="宋体"/>
          <w:b w:val="0"/>
        </w:rPr>
        <w:t>（七）</w:t>
      </w:r>
      <w:bookmarkEnd w:id="2109"/>
      <w:bookmarkEnd w:id="2110"/>
      <w:bookmarkEnd w:id="2111"/>
      <w:bookmarkEnd w:id="2112"/>
      <w:bookmarkEnd w:id="2113"/>
      <w:bookmarkEnd w:id="2114"/>
      <w:bookmarkEnd w:id="2115"/>
      <w:r>
        <w:rPr>
          <w:rFonts w:hint="eastAsia" w:ascii="宋体" w:hAnsi="宋体"/>
          <w:b w:val="0"/>
        </w:rPr>
        <w:t>承诺</w:t>
      </w:r>
      <w:bookmarkEnd w:id="2116"/>
    </w:p>
    <w:p w14:paraId="0DFF0BEB">
      <w:pPr>
        <w:snapToGrid w:val="0"/>
        <w:spacing w:line="380" w:lineRule="exact"/>
        <w:rPr>
          <w:rFonts w:ascii="宋体" w:hAnsi="宋体"/>
          <w:szCs w:val="21"/>
          <w:u w:val="single"/>
        </w:rPr>
      </w:pPr>
      <w:r>
        <w:rPr>
          <w:rFonts w:hint="eastAsia" w:ascii="宋体" w:hAnsi="宋体"/>
          <w:szCs w:val="21"/>
          <w:u w:val="single"/>
        </w:rPr>
        <w:t xml:space="preserve">        （采购人名称）</w:t>
      </w:r>
      <w:r>
        <w:rPr>
          <w:rFonts w:hint="eastAsia" w:ascii="宋体" w:hAnsi="宋体"/>
          <w:szCs w:val="21"/>
        </w:rPr>
        <w:t>：</w:t>
      </w:r>
    </w:p>
    <w:p w14:paraId="7828DC08">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E5E1B1D">
      <w:pPr>
        <w:snapToGrid w:val="0"/>
        <w:spacing w:line="380" w:lineRule="exact"/>
        <w:ind w:firstLine="420" w:firstLineChars="200"/>
        <w:rPr>
          <w:rFonts w:ascii="宋体" w:hAnsi="宋体"/>
          <w:szCs w:val="21"/>
        </w:rPr>
      </w:pPr>
      <w:r>
        <w:rPr>
          <w:rFonts w:hint="eastAsia" w:ascii="宋体" w:hAnsi="宋体"/>
          <w:szCs w:val="21"/>
        </w:rPr>
        <w:t>1、我公司投标截止日投标资格情况不存在下列情形之一：</w:t>
      </w:r>
    </w:p>
    <w:p w14:paraId="309F2030">
      <w:pPr>
        <w:snapToGrid w:val="0"/>
        <w:spacing w:line="380" w:lineRule="exact"/>
        <w:ind w:firstLine="420" w:firstLineChars="200"/>
        <w:jc w:val="left"/>
        <w:rPr>
          <w:rFonts w:ascii="宋体" w:hAnsi="宋体"/>
          <w:szCs w:val="21"/>
        </w:rPr>
      </w:pPr>
      <w:r>
        <w:rPr>
          <w:rFonts w:hint="eastAsia" w:ascii="宋体" w:hAnsi="宋体"/>
          <w:szCs w:val="21"/>
        </w:rPr>
        <w:t>（1）被人民法院列入失信被执行人名单且在被执行期内；</w:t>
      </w:r>
    </w:p>
    <w:p w14:paraId="78A288E2">
      <w:pPr>
        <w:snapToGrid w:val="0"/>
        <w:spacing w:line="380" w:lineRule="exact"/>
        <w:ind w:firstLine="420" w:firstLineChars="200"/>
        <w:rPr>
          <w:rFonts w:ascii="宋体" w:hAnsi="宋体"/>
          <w:szCs w:val="21"/>
        </w:rPr>
      </w:pPr>
      <w:r>
        <w:rPr>
          <w:rFonts w:hint="eastAsia" w:ascii="宋体" w:hAnsi="宋体"/>
          <w:szCs w:val="21"/>
        </w:rPr>
        <w:t>（2）被列入《重庆市工程建设领域采购投标信用管理暂行办法》规定的重点关注名单且记分达到12分且在记分有效期内；</w:t>
      </w:r>
    </w:p>
    <w:p w14:paraId="4C35E8F0">
      <w:pPr>
        <w:snapToGrid w:val="0"/>
        <w:spacing w:line="380" w:lineRule="exact"/>
        <w:ind w:firstLine="420" w:firstLineChars="200"/>
        <w:rPr>
          <w:rFonts w:ascii="宋体" w:hAnsi="宋体"/>
          <w:szCs w:val="21"/>
        </w:rPr>
      </w:pPr>
      <w:r>
        <w:rPr>
          <w:rFonts w:hint="eastAsia" w:ascii="宋体" w:hAnsi="宋体"/>
          <w:szCs w:val="21"/>
        </w:rPr>
        <w:t>（3）被列入《重庆市工程建设领域采购投标信用管理暂行办法》规定的黑名单且在记分有效期内；</w:t>
      </w:r>
    </w:p>
    <w:p w14:paraId="4558D83A">
      <w:pPr>
        <w:snapToGrid w:val="0"/>
        <w:spacing w:line="380" w:lineRule="exact"/>
        <w:ind w:firstLine="420" w:firstLineChars="200"/>
        <w:rPr>
          <w:rFonts w:ascii="宋体" w:hAnsi="宋体"/>
          <w:szCs w:val="21"/>
        </w:rPr>
      </w:pPr>
      <w:r>
        <w:rPr>
          <w:rFonts w:hint="eastAsia" w:ascii="宋体" w:hAnsi="宋体"/>
          <w:szCs w:val="21"/>
        </w:rPr>
        <w:t>（4）被国家、重庆市（含市或任意区县）有关行政部门处以暂停投标资格行政处罚，且在处罚期限内；</w:t>
      </w:r>
    </w:p>
    <w:p w14:paraId="06FB30AF">
      <w:pPr>
        <w:snapToGrid w:val="0"/>
        <w:spacing w:line="380" w:lineRule="exact"/>
        <w:ind w:firstLine="420" w:firstLineChars="200"/>
        <w:rPr>
          <w:rFonts w:ascii="宋体" w:hAnsi="宋体"/>
          <w:szCs w:val="21"/>
        </w:rPr>
      </w:pPr>
      <w:r>
        <w:rPr>
          <w:rFonts w:hint="eastAsia" w:ascii="宋体" w:hAnsi="宋体"/>
          <w:szCs w:val="21"/>
        </w:rPr>
        <w:t>（5）被重庆市住房和城乡建设主管部门暂停在渝承揽新业务且在暂停期内。</w:t>
      </w:r>
    </w:p>
    <w:p w14:paraId="2967E977">
      <w:pPr>
        <w:snapToGrid w:val="0"/>
        <w:spacing w:line="380" w:lineRule="exact"/>
        <w:ind w:firstLine="420" w:firstLineChars="200"/>
        <w:rPr>
          <w:rFonts w:ascii="宋体" w:hAnsi="宋体"/>
          <w:szCs w:val="21"/>
        </w:rPr>
      </w:pPr>
      <w:r>
        <w:rPr>
          <w:rFonts w:hint="eastAsia" w:ascii="宋体" w:hAnsi="宋体"/>
          <w:szCs w:val="21"/>
        </w:rPr>
        <w:t>2、我公司拟派的项目经理按注册建造师的相关规定到岗履职和未被禁止参与投标。</w:t>
      </w:r>
    </w:p>
    <w:p w14:paraId="748FA49E">
      <w:pPr>
        <w:snapToGrid w:val="0"/>
        <w:spacing w:line="380" w:lineRule="exact"/>
        <w:ind w:firstLine="420" w:firstLineChars="200"/>
        <w:rPr>
          <w:rFonts w:ascii="宋体" w:hAnsi="宋体"/>
          <w:szCs w:val="21"/>
        </w:rPr>
      </w:pPr>
      <w:r>
        <w:rPr>
          <w:rFonts w:hint="eastAsia" w:ascii="宋体" w:hAnsi="宋体"/>
          <w:szCs w:val="21"/>
        </w:rPr>
        <w:t>2.1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14:paraId="66FBE008">
      <w:pPr>
        <w:snapToGrid w:val="0"/>
        <w:spacing w:line="380" w:lineRule="exact"/>
        <w:ind w:firstLine="420" w:firstLineChars="200"/>
        <w:rPr>
          <w:rFonts w:ascii="宋体" w:hAnsi="宋体"/>
          <w:szCs w:val="21"/>
        </w:rPr>
      </w:pPr>
      <w:r>
        <w:rPr>
          <w:rFonts w:hint="eastAsia" w:ascii="宋体" w:hAnsi="宋体"/>
          <w:szCs w:val="21"/>
        </w:rPr>
        <w:t>2.2拟派的项目经理未被重庆市住房和城乡建设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14:paraId="1909BB40">
      <w:pPr>
        <w:snapToGrid w:val="0"/>
        <w:spacing w:line="380" w:lineRule="exact"/>
        <w:ind w:firstLine="420" w:firstLineChars="200"/>
        <w:rPr>
          <w:rFonts w:ascii="宋体" w:hAnsi="宋体"/>
          <w:szCs w:val="21"/>
        </w:rPr>
      </w:pPr>
      <w:r>
        <w:rPr>
          <w:rFonts w:hint="eastAsia" w:ascii="宋体" w:hAnsi="宋体"/>
          <w:szCs w:val="21"/>
        </w:rPr>
        <w:t>2.3为保证我公司拟派的项目经理到本项目到岗履职，我公司还承诺：</w:t>
      </w:r>
    </w:p>
    <w:p w14:paraId="75FFB609">
      <w:pPr>
        <w:snapToGrid w:val="0"/>
        <w:spacing w:line="380" w:lineRule="exact"/>
        <w:ind w:firstLine="420" w:firstLineChars="200"/>
        <w:rPr>
          <w:rFonts w:ascii="宋体" w:hAnsi="宋体"/>
          <w:szCs w:val="21"/>
        </w:rPr>
      </w:pPr>
      <w:r>
        <w:rPr>
          <w:rFonts w:hint="eastAsia" w:ascii="宋体" w:hAnsi="宋体"/>
          <w:szCs w:val="21"/>
        </w:rPr>
        <w:t>若我公司拟派本项目的项目经理有在其他项目任职的情形的（或有在其他项目中标或拟中标的情形的），应在收到中标通知书后</w:t>
      </w:r>
      <w:r>
        <w:rPr>
          <w:rFonts w:hint="eastAsia" w:ascii="宋体" w:hAnsi="宋体"/>
          <w:szCs w:val="21"/>
          <w:u w:val="single"/>
        </w:rPr>
        <w:t xml:space="preserve"> 14 </w:t>
      </w:r>
      <w:r>
        <w:rPr>
          <w:rFonts w:hint="eastAsia" w:ascii="宋体" w:hAnsi="宋体"/>
          <w:szCs w:val="21"/>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采购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14:paraId="08EFE3AF">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若我公司拟派项目经理放弃在其他项目任职的将提供：①经业主或建设单位同意任职变更的文件；②负责项目监管的行业行政主管部门出具同意任职变更的证明材料。</w:t>
      </w:r>
    </w:p>
    <w:p w14:paraId="3DE42267">
      <w:pPr>
        <w:snapToGrid w:val="0"/>
        <w:spacing w:line="380" w:lineRule="exact"/>
        <w:ind w:firstLine="420" w:firstLineChars="200"/>
        <w:rPr>
          <w:rFonts w:ascii="宋体" w:hAnsi="宋体"/>
          <w:szCs w:val="21"/>
        </w:rPr>
      </w:pPr>
      <w:r>
        <w:rPr>
          <w:rFonts w:hint="eastAsia" w:ascii="宋体" w:hAnsi="宋体"/>
          <w:szCs w:val="21"/>
        </w:rPr>
        <w:t>若我公司拟派项目经理放弃在其他项目中标或拟中标的将提供：①经中标或拟中标的其他项目建设单位同意的放弃中标函。</w:t>
      </w:r>
    </w:p>
    <w:p w14:paraId="0A02E711">
      <w:pPr>
        <w:snapToGrid w:val="0"/>
        <w:spacing w:line="380" w:lineRule="exact"/>
        <w:ind w:firstLine="420" w:firstLineChars="200"/>
        <w:rPr>
          <w:rFonts w:ascii="宋体" w:hAnsi="宋体"/>
          <w:szCs w:val="21"/>
        </w:rPr>
      </w:pPr>
      <w:r>
        <w:rPr>
          <w:rFonts w:hint="eastAsia" w:ascii="宋体" w:hAnsi="宋体"/>
          <w:szCs w:val="21"/>
        </w:rPr>
        <w:t>3、我公司若中标，在签订合同之前，将按照建设行政主管部门的要求组建施工项目部，配置项目管理班子，出具任命文件。任命文件应当明确施工项目部的职责、岗位设置、人员配备，并书面通知采购人。相关岗位管理人员应持有建设行政主管部门要求的岗位证书，并提供我公司为其缴纳的养老保险证明材料。中标后不能满足该要求的，取消我公司中标资格，给采购人造成损失的，我公司依法承担违约赔偿责任。</w:t>
      </w:r>
    </w:p>
    <w:p w14:paraId="25EECF3B">
      <w:pPr>
        <w:snapToGrid w:val="0"/>
        <w:spacing w:line="380" w:lineRule="exact"/>
        <w:ind w:firstLine="420" w:firstLineChars="200"/>
        <w:rPr>
          <w:rFonts w:ascii="宋体" w:hAnsi="宋体"/>
          <w:szCs w:val="21"/>
        </w:rPr>
      </w:pPr>
      <w:r>
        <w:rPr>
          <w:rFonts w:hint="eastAsia" w:ascii="宋体" w:hAnsi="宋体"/>
          <w:szCs w:val="21"/>
        </w:rPr>
        <w:t>4、我公司在资格审查部分中提供的相关证明材料真实有效，不存在弄虚作假情形。采购人在合同签订前均有权对我司提供的资料（如业绩截图信息等相关证明材料）进行核实，若发现弄虚作假，取消中标资格，并按相关法律法规报采购投标监督部门处理，投标保证金不予退还，我司自愿承担因此造成的相关责任并赔偿相应损失。</w:t>
      </w:r>
    </w:p>
    <w:p w14:paraId="7BAC8A60">
      <w:pPr>
        <w:snapToGrid w:val="0"/>
        <w:spacing w:line="380" w:lineRule="exact"/>
        <w:ind w:firstLine="420" w:firstLineChars="200"/>
        <w:rPr>
          <w:rFonts w:ascii="宋体" w:hAnsi="宋体"/>
          <w:szCs w:val="21"/>
        </w:rPr>
      </w:pPr>
      <w:r>
        <w:rPr>
          <w:rFonts w:hint="eastAsia" w:ascii="宋体" w:hAnsi="宋体"/>
          <w:szCs w:val="21"/>
        </w:rPr>
        <w:t>5、我公司不存在第二章 投标人须知第 1.4.3 项规定的任何一种情形。</w:t>
      </w:r>
    </w:p>
    <w:p w14:paraId="4A1C5BC1">
      <w:pPr>
        <w:snapToGrid w:val="0"/>
        <w:spacing w:line="380" w:lineRule="exact"/>
        <w:ind w:firstLine="420" w:firstLineChars="200"/>
        <w:rPr>
          <w:rFonts w:ascii="宋体" w:hAnsi="宋体"/>
          <w:szCs w:val="21"/>
        </w:rPr>
      </w:pPr>
      <w:r>
        <w:rPr>
          <w:rFonts w:hint="eastAsia" w:ascii="宋体" w:hAnsi="宋体"/>
          <w:szCs w:val="21"/>
        </w:rPr>
        <w:t>6、我公司的投标文件符合第二章 投标人须知第 1.3.1 项的规定。</w:t>
      </w:r>
    </w:p>
    <w:p w14:paraId="13F385AF">
      <w:pPr>
        <w:snapToGrid w:val="0"/>
        <w:spacing w:line="380" w:lineRule="exact"/>
        <w:ind w:firstLine="420" w:firstLineChars="200"/>
        <w:rPr>
          <w:rFonts w:ascii="宋体" w:hAnsi="宋体"/>
          <w:szCs w:val="21"/>
        </w:rPr>
      </w:pPr>
      <w:r>
        <w:rPr>
          <w:rFonts w:hint="eastAsia" w:ascii="宋体" w:hAnsi="宋体"/>
          <w:szCs w:val="21"/>
        </w:rPr>
        <w:t>7、我公司的投标文件符合第四章 合同条款及格式规定，投标文件中没有采购人不能接受的条件。</w:t>
      </w:r>
    </w:p>
    <w:p w14:paraId="2F644971">
      <w:pPr>
        <w:snapToGrid w:val="0"/>
        <w:spacing w:line="380" w:lineRule="exact"/>
        <w:ind w:firstLine="420" w:firstLineChars="200"/>
        <w:rPr>
          <w:rFonts w:ascii="宋体" w:hAnsi="宋体"/>
          <w:szCs w:val="21"/>
        </w:rPr>
      </w:pPr>
      <w:r>
        <w:rPr>
          <w:rFonts w:hint="eastAsia" w:ascii="宋体" w:hAnsi="宋体"/>
          <w:szCs w:val="21"/>
        </w:rPr>
        <w:t>8、我公司的投标文件符合第七章 技术标准和要求（如有）。</w:t>
      </w:r>
    </w:p>
    <w:p w14:paraId="4995E5D5">
      <w:pPr>
        <w:snapToGrid w:val="0"/>
        <w:spacing w:line="380" w:lineRule="exact"/>
        <w:ind w:firstLine="420" w:firstLineChars="200"/>
        <w:rPr>
          <w:rFonts w:ascii="宋体" w:hAnsi="宋体"/>
          <w:szCs w:val="21"/>
        </w:rPr>
      </w:pPr>
    </w:p>
    <w:p w14:paraId="03735591">
      <w:pPr>
        <w:tabs>
          <w:tab w:val="left" w:pos="4200"/>
          <w:tab w:val="left" w:pos="462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盖单位法人章</w:t>
      </w:r>
      <w:r>
        <w:rPr>
          <w:rFonts w:ascii="宋体" w:hAnsi="宋体"/>
          <w:kern w:val="0"/>
          <w:szCs w:val="21"/>
        </w:rPr>
        <w:t>）</w:t>
      </w:r>
    </w:p>
    <w:p w14:paraId="34314278">
      <w:pPr>
        <w:tabs>
          <w:tab w:val="left" w:pos="6300"/>
        </w:tabs>
        <w:autoSpaceDE w:val="0"/>
        <w:autoSpaceDN w:val="0"/>
        <w:adjustRightInd w:val="0"/>
        <w:snapToGrid w:val="0"/>
        <w:spacing w:line="380" w:lineRule="exact"/>
        <w:ind w:firstLine="420" w:firstLineChars="200"/>
        <w:jc w:val="left"/>
        <w:rPr>
          <w:rFonts w:ascii="宋体" w:hAnsi="宋体"/>
          <w:kern w:val="0"/>
          <w:szCs w:val="21"/>
        </w:rPr>
      </w:pPr>
      <w:r>
        <w:rPr>
          <w:rFonts w:ascii="宋体" w:hAnsi="宋体"/>
          <w:kern w:val="0"/>
          <w:szCs w:val="21"/>
        </w:rPr>
        <w:t>法定代表人：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签字</w:t>
      </w:r>
      <w:r>
        <w:rPr>
          <w:rFonts w:ascii="宋体" w:hAnsi="宋体"/>
          <w:kern w:val="0"/>
          <w:szCs w:val="21"/>
        </w:rPr>
        <w:t>或盖章）</w:t>
      </w:r>
    </w:p>
    <w:p w14:paraId="783C9016">
      <w:pPr>
        <w:snapToGrid w:val="0"/>
        <w:spacing w:line="380" w:lineRule="exact"/>
        <w:ind w:firstLine="420" w:firstLineChars="200"/>
        <w:jc w:val="right"/>
        <w:rPr>
          <w:rFonts w:ascii="宋体" w:hAnsi="宋体"/>
          <w:szCs w:val="21"/>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w:t>
      </w:r>
      <w:r>
        <w:rPr>
          <w:rFonts w:ascii="宋体" w:hAnsi="宋体"/>
          <w:kern w:val="0"/>
          <w:szCs w:val="21"/>
        </w:rPr>
        <w:t>日</w:t>
      </w:r>
    </w:p>
    <w:p w14:paraId="220B327D"/>
    <w:bookmarkEnd w:id="417"/>
    <w:bookmarkEnd w:id="418"/>
    <w:bookmarkEnd w:id="419"/>
    <w:p w14:paraId="7DDA0AE5">
      <w:pPr>
        <w:rPr>
          <w:rFonts w:ascii="宋体" w:hAnsi="宋体"/>
          <w:szCs w:val="21"/>
        </w:rPr>
      </w:pPr>
    </w:p>
    <w:sectPr>
      <w:footerReference r:id="rId4" w:type="default"/>
      <w:footerReference r:id="rId5" w:type="even"/>
      <w:pgSz w:w="11906" w:h="16838"/>
      <w:pgMar w:top="1304" w:right="1134" w:bottom="1304" w:left="130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ˎ̥">
    <w:altName w:val="Times New Roman"/>
    <w:panose1 w:val="00000000000000000000"/>
    <w:charset w:val="00"/>
    <w:family w:val="auto"/>
    <w:pitch w:val="default"/>
    <w:sig w:usb0="00000000" w:usb1="00000000" w:usb2="00000000" w:usb3="00000000" w:csb0="00040001" w:csb1="00000000"/>
  </w:font>
  <w:font w:name="Verdana">
    <w:panose1 w:val="020B0604030504040204"/>
    <w:charset w:val="00"/>
    <w:family w:val="swiss"/>
    <w:pitch w:val="default"/>
    <w:sig w:usb0="A10006FF" w:usb1="4000205B" w:usb2="0000001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ingLiU">
    <w:panose1 w:val="02020509000000000000"/>
    <w:charset w:val="88"/>
    <w:family w:val="modern"/>
    <w:pitch w:val="default"/>
    <w:sig w:usb0="A00002FF" w:usb1="28CFFCFA" w:usb2="00000016" w:usb3="00000000" w:csb0="00100001" w:csb1="00000000"/>
  </w:font>
  <w:font w:name="方正仿宋_GBK">
    <w:panose1 w:val="03000509000000000000"/>
    <w:charset w:val="86"/>
    <w:family w:val="script"/>
    <w:pitch w:val="default"/>
    <w:sig w:usb0="00000001" w:usb1="080E0000" w:usb2="00000000" w:usb3="00000000" w:csb0="00040000" w:csb1="0000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2D0E0">
    <w:pPr>
      <w:pStyle w:val="29"/>
      <w:jc w:val="center"/>
    </w:pPr>
    <w:r>
      <w:t xml:space="preserve">- </w:t>
    </w:r>
    <w:r>
      <w:fldChar w:fldCharType="begin"/>
    </w:r>
    <w:r>
      <w:instrText xml:space="preserve"> PAGE </w:instrText>
    </w:r>
    <w:r>
      <w:fldChar w:fldCharType="separate"/>
    </w:r>
    <w:r>
      <w:t>6</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FC9BA">
    <w:pPr>
      <w:pStyle w:val="29"/>
      <w:framePr w:wrap="around" w:vAnchor="text" w:hAnchor="margin" w:xAlign="center" w:y="1"/>
      <w:rPr>
        <w:rStyle w:val="50"/>
      </w:rPr>
    </w:pPr>
    <w:r>
      <w:fldChar w:fldCharType="begin"/>
    </w:r>
    <w:r>
      <w:rPr>
        <w:rStyle w:val="50"/>
      </w:rPr>
      <w:instrText xml:space="preserve">PAGE  </w:instrText>
    </w:r>
    <w:r>
      <w:fldChar w:fldCharType="separate"/>
    </w:r>
    <w:r>
      <w:rPr>
        <w:rStyle w:val="50"/>
      </w:rPr>
      <w:t>264</w:t>
    </w:r>
    <w:r>
      <w:fldChar w:fldCharType="end"/>
    </w:r>
  </w:p>
  <w:p w14:paraId="69374F18">
    <w:pPr>
      <w:pStyle w:val="2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319A237">
      <w:pPr>
        <w:pStyle w:val="34"/>
        <w:ind w:firstLine="360" w:firstLineChars="200"/>
        <w:rPr>
          <w:rFonts w:ascii="Times New Roman" w:hAnsi="Times New Roman" w:cs="Times New Roman"/>
          <w:lang w:eastAsia="zh-CN"/>
        </w:rPr>
      </w:pPr>
      <w:r>
        <w:rPr>
          <w:rStyle w:val="55"/>
        </w:rPr>
        <w:footnoteRef/>
      </w:r>
      <w:r>
        <w:rPr>
          <w:rFonts w:ascii="Times New Roman" w:hAnsi="Times New Roman" w:cs="Times New Roman"/>
          <w:lang w:eastAsia="zh-CN"/>
        </w:rPr>
        <w:t>“</w:t>
      </w:r>
      <w:r>
        <w:rPr>
          <w:rFonts w:ascii="Times New Roman" w:cs="Times New Roman"/>
          <w:lang w:eastAsia="zh-CN"/>
        </w:rPr>
        <w:t>总价</w:t>
      </w:r>
      <w:r>
        <w:rPr>
          <w:rFonts w:ascii="Times New Roman" w:hAnsi="Times New Roman" w:cs="Times New Roman"/>
          <w:lang w:eastAsia="zh-CN"/>
        </w:rPr>
        <w:t>”</w:t>
      </w:r>
      <w:r>
        <w:rPr>
          <w:rFonts w:ascii="Times New Roman" w:cs="Times New Roman"/>
          <w:lang w:eastAsia="zh-CN"/>
        </w:rPr>
        <w:t>是指</w:t>
      </w:r>
      <w:r>
        <w:rPr>
          <w:rFonts w:ascii="Times New Roman" w:hAnsi="Times New Roman" w:cs="Times New Roman"/>
          <w:lang w:eastAsia="zh-CN"/>
        </w:rPr>
        <w:t>在工程量清单中以“项”或“总额”为计量单位、以总价计价的子目，一般用于不能按照约定的工程量计算规则确定数量的子目。总价子目一般按照分期、完成合同价的百分比或完成进度计划的形象进度节点等方式予以分解支付。总价子目的计量方法由发包人在专用合同条款12.3.1中明</w:t>
      </w:r>
      <w:r>
        <w:rPr>
          <w:rFonts w:ascii="Times New Roman" w:cs="Times New Roman"/>
          <w:lang w:eastAsia="zh-CN"/>
        </w:rPr>
        <w:t>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F5D3D0"/>
    <w:multiLevelType w:val="singleLevel"/>
    <w:tmpl w:val="E1F5D3D0"/>
    <w:lvl w:ilvl="0" w:tentative="0">
      <w:start w:val="3"/>
      <w:numFmt w:val="decimal"/>
      <w:suff w:val="nothing"/>
      <w:lvlText w:val="%1、"/>
      <w:lvlJc w:val="left"/>
    </w:lvl>
  </w:abstractNum>
  <w:abstractNum w:abstractNumId="1">
    <w:nsid w:val="00000006"/>
    <w:multiLevelType w:val="singleLevel"/>
    <w:tmpl w:val="0000000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doNotValidateAgainstSchema/>
  <w:doNotDemarcateInvalidXml/>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mZDRmMzQyOTc1NDBlZGMyNDA3YTlmZWIyYmQzOWIifQ=="/>
  </w:docVars>
  <w:rsids>
    <w:rsidRoot w:val="00172A27"/>
    <w:rsid w:val="00001345"/>
    <w:rsid w:val="00001A09"/>
    <w:rsid w:val="00001B1E"/>
    <w:rsid w:val="000027C8"/>
    <w:rsid w:val="0000285A"/>
    <w:rsid w:val="00002D86"/>
    <w:rsid w:val="00003A3F"/>
    <w:rsid w:val="00005443"/>
    <w:rsid w:val="00005E79"/>
    <w:rsid w:val="000067A3"/>
    <w:rsid w:val="000068FD"/>
    <w:rsid w:val="00014531"/>
    <w:rsid w:val="00014DF1"/>
    <w:rsid w:val="00015333"/>
    <w:rsid w:val="00015C9C"/>
    <w:rsid w:val="0001647D"/>
    <w:rsid w:val="0001650A"/>
    <w:rsid w:val="000165A8"/>
    <w:rsid w:val="0001665A"/>
    <w:rsid w:val="00016AC9"/>
    <w:rsid w:val="00017F2D"/>
    <w:rsid w:val="00020EB1"/>
    <w:rsid w:val="00021228"/>
    <w:rsid w:val="000215EB"/>
    <w:rsid w:val="00022747"/>
    <w:rsid w:val="00022F4C"/>
    <w:rsid w:val="00023AD6"/>
    <w:rsid w:val="00023B7F"/>
    <w:rsid w:val="00024492"/>
    <w:rsid w:val="00025644"/>
    <w:rsid w:val="00025750"/>
    <w:rsid w:val="0002592F"/>
    <w:rsid w:val="00025DD0"/>
    <w:rsid w:val="0002735F"/>
    <w:rsid w:val="000301A4"/>
    <w:rsid w:val="000316FE"/>
    <w:rsid w:val="00031AE7"/>
    <w:rsid w:val="00031F42"/>
    <w:rsid w:val="00032255"/>
    <w:rsid w:val="0003256A"/>
    <w:rsid w:val="00032B15"/>
    <w:rsid w:val="00033076"/>
    <w:rsid w:val="00033847"/>
    <w:rsid w:val="000347EB"/>
    <w:rsid w:val="00034B81"/>
    <w:rsid w:val="00035320"/>
    <w:rsid w:val="0003558C"/>
    <w:rsid w:val="000355D8"/>
    <w:rsid w:val="00035E2F"/>
    <w:rsid w:val="00036551"/>
    <w:rsid w:val="000365B0"/>
    <w:rsid w:val="0003673D"/>
    <w:rsid w:val="00037549"/>
    <w:rsid w:val="00037672"/>
    <w:rsid w:val="000407E9"/>
    <w:rsid w:val="000415C5"/>
    <w:rsid w:val="000418B4"/>
    <w:rsid w:val="000426A8"/>
    <w:rsid w:val="000426EA"/>
    <w:rsid w:val="000434B1"/>
    <w:rsid w:val="000437CD"/>
    <w:rsid w:val="00044029"/>
    <w:rsid w:val="00046EAC"/>
    <w:rsid w:val="000477EA"/>
    <w:rsid w:val="00050329"/>
    <w:rsid w:val="00050A2B"/>
    <w:rsid w:val="00050F21"/>
    <w:rsid w:val="00053B37"/>
    <w:rsid w:val="00053DC4"/>
    <w:rsid w:val="00054784"/>
    <w:rsid w:val="00054C30"/>
    <w:rsid w:val="00054D78"/>
    <w:rsid w:val="00054F64"/>
    <w:rsid w:val="0005572F"/>
    <w:rsid w:val="00057103"/>
    <w:rsid w:val="000578DC"/>
    <w:rsid w:val="00057D13"/>
    <w:rsid w:val="00061927"/>
    <w:rsid w:val="00061B42"/>
    <w:rsid w:val="0006245E"/>
    <w:rsid w:val="00062D58"/>
    <w:rsid w:val="00063C01"/>
    <w:rsid w:val="000640B5"/>
    <w:rsid w:val="000654D9"/>
    <w:rsid w:val="00065C93"/>
    <w:rsid w:val="00065F0A"/>
    <w:rsid w:val="000677BF"/>
    <w:rsid w:val="00067885"/>
    <w:rsid w:val="00067E50"/>
    <w:rsid w:val="0007009B"/>
    <w:rsid w:val="000703E1"/>
    <w:rsid w:val="00070444"/>
    <w:rsid w:val="0007082A"/>
    <w:rsid w:val="00070C09"/>
    <w:rsid w:val="00070DB4"/>
    <w:rsid w:val="00072AEF"/>
    <w:rsid w:val="00072C40"/>
    <w:rsid w:val="0007377C"/>
    <w:rsid w:val="00073E89"/>
    <w:rsid w:val="00074445"/>
    <w:rsid w:val="00074926"/>
    <w:rsid w:val="000753AE"/>
    <w:rsid w:val="0007662F"/>
    <w:rsid w:val="00077788"/>
    <w:rsid w:val="000777DB"/>
    <w:rsid w:val="00080479"/>
    <w:rsid w:val="00080C91"/>
    <w:rsid w:val="00081030"/>
    <w:rsid w:val="00081E58"/>
    <w:rsid w:val="00084056"/>
    <w:rsid w:val="00084085"/>
    <w:rsid w:val="00084154"/>
    <w:rsid w:val="000843AE"/>
    <w:rsid w:val="00084AD3"/>
    <w:rsid w:val="00085720"/>
    <w:rsid w:val="00085DDD"/>
    <w:rsid w:val="00086F23"/>
    <w:rsid w:val="000874F6"/>
    <w:rsid w:val="00090828"/>
    <w:rsid w:val="0009083C"/>
    <w:rsid w:val="00090A07"/>
    <w:rsid w:val="00090FA6"/>
    <w:rsid w:val="00090FD7"/>
    <w:rsid w:val="000925AC"/>
    <w:rsid w:val="000927A3"/>
    <w:rsid w:val="00092F8F"/>
    <w:rsid w:val="0009358F"/>
    <w:rsid w:val="00094007"/>
    <w:rsid w:val="00095189"/>
    <w:rsid w:val="0009559A"/>
    <w:rsid w:val="00095DEF"/>
    <w:rsid w:val="000967E2"/>
    <w:rsid w:val="00096C42"/>
    <w:rsid w:val="00097C86"/>
    <w:rsid w:val="000A0398"/>
    <w:rsid w:val="000A0D3C"/>
    <w:rsid w:val="000A2AF4"/>
    <w:rsid w:val="000A2CA5"/>
    <w:rsid w:val="000A3817"/>
    <w:rsid w:val="000A41FD"/>
    <w:rsid w:val="000A4A55"/>
    <w:rsid w:val="000A569B"/>
    <w:rsid w:val="000A7403"/>
    <w:rsid w:val="000A7D07"/>
    <w:rsid w:val="000B0A2E"/>
    <w:rsid w:val="000B0F51"/>
    <w:rsid w:val="000B1596"/>
    <w:rsid w:val="000B1B81"/>
    <w:rsid w:val="000B1DE8"/>
    <w:rsid w:val="000B283B"/>
    <w:rsid w:val="000B3303"/>
    <w:rsid w:val="000B3431"/>
    <w:rsid w:val="000B489F"/>
    <w:rsid w:val="000B4C5B"/>
    <w:rsid w:val="000B5039"/>
    <w:rsid w:val="000B55BE"/>
    <w:rsid w:val="000B5C3A"/>
    <w:rsid w:val="000B5E88"/>
    <w:rsid w:val="000B6027"/>
    <w:rsid w:val="000B6648"/>
    <w:rsid w:val="000B786B"/>
    <w:rsid w:val="000C079C"/>
    <w:rsid w:val="000C0EE5"/>
    <w:rsid w:val="000C13A1"/>
    <w:rsid w:val="000C260D"/>
    <w:rsid w:val="000C30AC"/>
    <w:rsid w:val="000C4579"/>
    <w:rsid w:val="000C463E"/>
    <w:rsid w:val="000C4E06"/>
    <w:rsid w:val="000C5056"/>
    <w:rsid w:val="000C52AB"/>
    <w:rsid w:val="000C5AA2"/>
    <w:rsid w:val="000C5C93"/>
    <w:rsid w:val="000C5D12"/>
    <w:rsid w:val="000C6F15"/>
    <w:rsid w:val="000C6F2A"/>
    <w:rsid w:val="000C7B08"/>
    <w:rsid w:val="000D1F8D"/>
    <w:rsid w:val="000D21F1"/>
    <w:rsid w:val="000D252E"/>
    <w:rsid w:val="000D2ED1"/>
    <w:rsid w:val="000D3548"/>
    <w:rsid w:val="000D3551"/>
    <w:rsid w:val="000D35B5"/>
    <w:rsid w:val="000D42D0"/>
    <w:rsid w:val="000D5211"/>
    <w:rsid w:val="000D5B51"/>
    <w:rsid w:val="000D65FC"/>
    <w:rsid w:val="000D6B45"/>
    <w:rsid w:val="000D6FB3"/>
    <w:rsid w:val="000D7254"/>
    <w:rsid w:val="000D753D"/>
    <w:rsid w:val="000D76E1"/>
    <w:rsid w:val="000D7823"/>
    <w:rsid w:val="000E0DB3"/>
    <w:rsid w:val="000E10A5"/>
    <w:rsid w:val="000E1407"/>
    <w:rsid w:val="000E1A63"/>
    <w:rsid w:val="000E33CF"/>
    <w:rsid w:val="000E4C3D"/>
    <w:rsid w:val="000E6849"/>
    <w:rsid w:val="000E72B9"/>
    <w:rsid w:val="000F05AB"/>
    <w:rsid w:val="000F091D"/>
    <w:rsid w:val="000F1B68"/>
    <w:rsid w:val="000F2179"/>
    <w:rsid w:val="000F278B"/>
    <w:rsid w:val="000F2955"/>
    <w:rsid w:val="000F2C67"/>
    <w:rsid w:val="000F40C0"/>
    <w:rsid w:val="000F45C8"/>
    <w:rsid w:val="000F4BBE"/>
    <w:rsid w:val="000F50C6"/>
    <w:rsid w:val="000F51EA"/>
    <w:rsid w:val="000F5AD4"/>
    <w:rsid w:val="000F64F2"/>
    <w:rsid w:val="000F7CF5"/>
    <w:rsid w:val="00100471"/>
    <w:rsid w:val="001019D6"/>
    <w:rsid w:val="00101E5F"/>
    <w:rsid w:val="001025D9"/>
    <w:rsid w:val="00102EBB"/>
    <w:rsid w:val="00104353"/>
    <w:rsid w:val="00105F22"/>
    <w:rsid w:val="001062D4"/>
    <w:rsid w:val="00106436"/>
    <w:rsid w:val="001066B1"/>
    <w:rsid w:val="00107DA6"/>
    <w:rsid w:val="001108D6"/>
    <w:rsid w:val="001109ED"/>
    <w:rsid w:val="00111268"/>
    <w:rsid w:val="00111C02"/>
    <w:rsid w:val="00111FF3"/>
    <w:rsid w:val="001128C3"/>
    <w:rsid w:val="00112A83"/>
    <w:rsid w:val="00113E49"/>
    <w:rsid w:val="00113E95"/>
    <w:rsid w:val="00114A01"/>
    <w:rsid w:val="00114CF3"/>
    <w:rsid w:val="00115CA3"/>
    <w:rsid w:val="00116F55"/>
    <w:rsid w:val="00116F93"/>
    <w:rsid w:val="00117445"/>
    <w:rsid w:val="00117B2C"/>
    <w:rsid w:val="0012046B"/>
    <w:rsid w:val="001209B5"/>
    <w:rsid w:val="00120E02"/>
    <w:rsid w:val="001214C7"/>
    <w:rsid w:val="00121F6B"/>
    <w:rsid w:val="001222A9"/>
    <w:rsid w:val="00122362"/>
    <w:rsid w:val="0012259E"/>
    <w:rsid w:val="001228C8"/>
    <w:rsid w:val="00122C0D"/>
    <w:rsid w:val="00122D4D"/>
    <w:rsid w:val="0012481C"/>
    <w:rsid w:val="001269FF"/>
    <w:rsid w:val="001303A1"/>
    <w:rsid w:val="001303B7"/>
    <w:rsid w:val="00131D1B"/>
    <w:rsid w:val="0013230C"/>
    <w:rsid w:val="00132B99"/>
    <w:rsid w:val="00132BF1"/>
    <w:rsid w:val="001330BB"/>
    <w:rsid w:val="00133492"/>
    <w:rsid w:val="001339C6"/>
    <w:rsid w:val="00134327"/>
    <w:rsid w:val="001347A9"/>
    <w:rsid w:val="00134D30"/>
    <w:rsid w:val="00135872"/>
    <w:rsid w:val="00136173"/>
    <w:rsid w:val="00136D1E"/>
    <w:rsid w:val="001377F8"/>
    <w:rsid w:val="00137F99"/>
    <w:rsid w:val="0014023E"/>
    <w:rsid w:val="0014084B"/>
    <w:rsid w:val="001440F2"/>
    <w:rsid w:val="00145318"/>
    <w:rsid w:val="001455A1"/>
    <w:rsid w:val="0014562A"/>
    <w:rsid w:val="00145AE6"/>
    <w:rsid w:val="00145F46"/>
    <w:rsid w:val="001460D9"/>
    <w:rsid w:val="001466BF"/>
    <w:rsid w:val="00146976"/>
    <w:rsid w:val="00146C44"/>
    <w:rsid w:val="001477E7"/>
    <w:rsid w:val="00147FD9"/>
    <w:rsid w:val="00150025"/>
    <w:rsid w:val="00150964"/>
    <w:rsid w:val="00150A27"/>
    <w:rsid w:val="00150F2A"/>
    <w:rsid w:val="00152078"/>
    <w:rsid w:val="001544B9"/>
    <w:rsid w:val="00154963"/>
    <w:rsid w:val="0015596B"/>
    <w:rsid w:val="00155D1F"/>
    <w:rsid w:val="001561B1"/>
    <w:rsid w:val="00157A5C"/>
    <w:rsid w:val="001600A3"/>
    <w:rsid w:val="0016132F"/>
    <w:rsid w:val="0016174D"/>
    <w:rsid w:val="00162B36"/>
    <w:rsid w:val="0016317C"/>
    <w:rsid w:val="00164DCB"/>
    <w:rsid w:val="00165642"/>
    <w:rsid w:val="00165B64"/>
    <w:rsid w:val="00165D82"/>
    <w:rsid w:val="00166C40"/>
    <w:rsid w:val="00166F24"/>
    <w:rsid w:val="00167BBE"/>
    <w:rsid w:val="00171489"/>
    <w:rsid w:val="001721A5"/>
    <w:rsid w:val="0017293A"/>
    <w:rsid w:val="00172A27"/>
    <w:rsid w:val="00172DEA"/>
    <w:rsid w:val="00172F37"/>
    <w:rsid w:val="00174134"/>
    <w:rsid w:val="001745A8"/>
    <w:rsid w:val="00175461"/>
    <w:rsid w:val="00176A64"/>
    <w:rsid w:val="00176B11"/>
    <w:rsid w:val="00176C6C"/>
    <w:rsid w:val="00177E29"/>
    <w:rsid w:val="00177F0D"/>
    <w:rsid w:val="00177F8E"/>
    <w:rsid w:val="00180176"/>
    <w:rsid w:val="001806AD"/>
    <w:rsid w:val="00181796"/>
    <w:rsid w:val="001818BD"/>
    <w:rsid w:val="0018204B"/>
    <w:rsid w:val="00182F9F"/>
    <w:rsid w:val="00184528"/>
    <w:rsid w:val="00184AF6"/>
    <w:rsid w:val="00184E18"/>
    <w:rsid w:val="001862DC"/>
    <w:rsid w:val="00186401"/>
    <w:rsid w:val="00186442"/>
    <w:rsid w:val="001866A1"/>
    <w:rsid w:val="001923EA"/>
    <w:rsid w:val="00192735"/>
    <w:rsid w:val="00192FBA"/>
    <w:rsid w:val="001930C8"/>
    <w:rsid w:val="00193696"/>
    <w:rsid w:val="00193B46"/>
    <w:rsid w:val="00193EC6"/>
    <w:rsid w:val="0019411E"/>
    <w:rsid w:val="001947FB"/>
    <w:rsid w:val="00195720"/>
    <w:rsid w:val="001958B9"/>
    <w:rsid w:val="00196CDD"/>
    <w:rsid w:val="001975C9"/>
    <w:rsid w:val="001A065E"/>
    <w:rsid w:val="001A189F"/>
    <w:rsid w:val="001A1CB9"/>
    <w:rsid w:val="001A293D"/>
    <w:rsid w:val="001A2A77"/>
    <w:rsid w:val="001A3908"/>
    <w:rsid w:val="001A3A5A"/>
    <w:rsid w:val="001A42B3"/>
    <w:rsid w:val="001A4457"/>
    <w:rsid w:val="001A5133"/>
    <w:rsid w:val="001A5A72"/>
    <w:rsid w:val="001A619F"/>
    <w:rsid w:val="001A6DCB"/>
    <w:rsid w:val="001A773A"/>
    <w:rsid w:val="001A77C4"/>
    <w:rsid w:val="001A7BE0"/>
    <w:rsid w:val="001B15C6"/>
    <w:rsid w:val="001B17D1"/>
    <w:rsid w:val="001B229E"/>
    <w:rsid w:val="001B2416"/>
    <w:rsid w:val="001B2B2F"/>
    <w:rsid w:val="001B2DEF"/>
    <w:rsid w:val="001B412E"/>
    <w:rsid w:val="001B4136"/>
    <w:rsid w:val="001B45EF"/>
    <w:rsid w:val="001B48E0"/>
    <w:rsid w:val="001B4D7D"/>
    <w:rsid w:val="001B5125"/>
    <w:rsid w:val="001B5B97"/>
    <w:rsid w:val="001B6AA4"/>
    <w:rsid w:val="001C023F"/>
    <w:rsid w:val="001C02D5"/>
    <w:rsid w:val="001C0500"/>
    <w:rsid w:val="001C059B"/>
    <w:rsid w:val="001C0B84"/>
    <w:rsid w:val="001C1192"/>
    <w:rsid w:val="001C1E56"/>
    <w:rsid w:val="001C28B3"/>
    <w:rsid w:val="001C2CF6"/>
    <w:rsid w:val="001C4064"/>
    <w:rsid w:val="001C49F4"/>
    <w:rsid w:val="001C71D7"/>
    <w:rsid w:val="001D0F66"/>
    <w:rsid w:val="001D125F"/>
    <w:rsid w:val="001D16DA"/>
    <w:rsid w:val="001D17FB"/>
    <w:rsid w:val="001D1AC7"/>
    <w:rsid w:val="001D2271"/>
    <w:rsid w:val="001D23D8"/>
    <w:rsid w:val="001D251C"/>
    <w:rsid w:val="001D3B3D"/>
    <w:rsid w:val="001D42FF"/>
    <w:rsid w:val="001D4381"/>
    <w:rsid w:val="001D47CF"/>
    <w:rsid w:val="001D4A3E"/>
    <w:rsid w:val="001D4B38"/>
    <w:rsid w:val="001D6225"/>
    <w:rsid w:val="001D6439"/>
    <w:rsid w:val="001D6D8C"/>
    <w:rsid w:val="001D7E9C"/>
    <w:rsid w:val="001E054D"/>
    <w:rsid w:val="001E0FAD"/>
    <w:rsid w:val="001E1308"/>
    <w:rsid w:val="001E1520"/>
    <w:rsid w:val="001E19DD"/>
    <w:rsid w:val="001E19F9"/>
    <w:rsid w:val="001E2C16"/>
    <w:rsid w:val="001E394D"/>
    <w:rsid w:val="001E39AA"/>
    <w:rsid w:val="001E3AAF"/>
    <w:rsid w:val="001E3D84"/>
    <w:rsid w:val="001E4F0E"/>
    <w:rsid w:val="001E594C"/>
    <w:rsid w:val="001E6BFA"/>
    <w:rsid w:val="001E6F59"/>
    <w:rsid w:val="001F07E9"/>
    <w:rsid w:val="001F0D0C"/>
    <w:rsid w:val="001F11F5"/>
    <w:rsid w:val="001F12EE"/>
    <w:rsid w:val="001F24B9"/>
    <w:rsid w:val="001F31AC"/>
    <w:rsid w:val="001F3815"/>
    <w:rsid w:val="001F3DB0"/>
    <w:rsid w:val="001F3E77"/>
    <w:rsid w:val="001F57A7"/>
    <w:rsid w:val="001F5A67"/>
    <w:rsid w:val="001F6B1B"/>
    <w:rsid w:val="001F7FF6"/>
    <w:rsid w:val="00200EBF"/>
    <w:rsid w:val="00203225"/>
    <w:rsid w:val="00204651"/>
    <w:rsid w:val="00204D75"/>
    <w:rsid w:val="002050D7"/>
    <w:rsid w:val="002051B0"/>
    <w:rsid w:val="00205225"/>
    <w:rsid w:val="00205413"/>
    <w:rsid w:val="00205AEF"/>
    <w:rsid w:val="00205D72"/>
    <w:rsid w:val="0020686F"/>
    <w:rsid w:val="002076AA"/>
    <w:rsid w:val="0021027A"/>
    <w:rsid w:val="00210879"/>
    <w:rsid w:val="00212A14"/>
    <w:rsid w:val="00214D7A"/>
    <w:rsid w:val="00214D88"/>
    <w:rsid w:val="00215286"/>
    <w:rsid w:val="00215906"/>
    <w:rsid w:val="002159C6"/>
    <w:rsid w:val="00215A2A"/>
    <w:rsid w:val="00215CE0"/>
    <w:rsid w:val="00215DA1"/>
    <w:rsid w:val="00216156"/>
    <w:rsid w:val="0021687E"/>
    <w:rsid w:val="002168E9"/>
    <w:rsid w:val="0021733C"/>
    <w:rsid w:val="002207FA"/>
    <w:rsid w:val="00221627"/>
    <w:rsid w:val="00221E51"/>
    <w:rsid w:val="00221F8E"/>
    <w:rsid w:val="00221FE1"/>
    <w:rsid w:val="002220C5"/>
    <w:rsid w:val="00222689"/>
    <w:rsid w:val="00223852"/>
    <w:rsid w:val="00223ADA"/>
    <w:rsid w:val="002244C0"/>
    <w:rsid w:val="002245B9"/>
    <w:rsid w:val="00224A21"/>
    <w:rsid w:val="00225099"/>
    <w:rsid w:val="002250CA"/>
    <w:rsid w:val="0022607A"/>
    <w:rsid w:val="00226152"/>
    <w:rsid w:val="00226456"/>
    <w:rsid w:val="002264D0"/>
    <w:rsid w:val="00226703"/>
    <w:rsid w:val="002270BE"/>
    <w:rsid w:val="00232211"/>
    <w:rsid w:val="002329B7"/>
    <w:rsid w:val="00232AD2"/>
    <w:rsid w:val="002330FC"/>
    <w:rsid w:val="002343A7"/>
    <w:rsid w:val="0023462F"/>
    <w:rsid w:val="00234BF0"/>
    <w:rsid w:val="00235CE8"/>
    <w:rsid w:val="002369E6"/>
    <w:rsid w:val="00237DCC"/>
    <w:rsid w:val="00237DD3"/>
    <w:rsid w:val="00237F17"/>
    <w:rsid w:val="0024052C"/>
    <w:rsid w:val="002410BB"/>
    <w:rsid w:val="0024122A"/>
    <w:rsid w:val="00241889"/>
    <w:rsid w:val="00243253"/>
    <w:rsid w:val="002432CD"/>
    <w:rsid w:val="002476F0"/>
    <w:rsid w:val="00247DA6"/>
    <w:rsid w:val="00251F81"/>
    <w:rsid w:val="0025253B"/>
    <w:rsid w:val="002526AC"/>
    <w:rsid w:val="00252997"/>
    <w:rsid w:val="002534E3"/>
    <w:rsid w:val="00253DE9"/>
    <w:rsid w:val="00254512"/>
    <w:rsid w:val="00254725"/>
    <w:rsid w:val="002555DD"/>
    <w:rsid w:val="002555E1"/>
    <w:rsid w:val="00255C94"/>
    <w:rsid w:val="00257031"/>
    <w:rsid w:val="00257CB4"/>
    <w:rsid w:val="002603C8"/>
    <w:rsid w:val="0026138C"/>
    <w:rsid w:val="00262012"/>
    <w:rsid w:val="00263DE8"/>
    <w:rsid w:val="0026466E"/>
    <w:rsid w:val="00264D7B"/>
    <w:rsid w:val="00264EBF"/>
    <w:rsid w:val="00265DD9"/>
    <w:rsid w:val="002667EA"/>
    <w:rsid w:val="00266ABA"/>
    <w:rsid w:val="00266C56"/>
    <w:rsid w:val="00267A99"/>
    <w:rsid w:val="002702C1"/>
    <w:rsid w:val="00271889"/>
    <w:rsid w:val="0027264B"/>
    <w:rsid w:val="002736CE"/>
    <w:rsid w:val="002740E8"/>
    <w:rsid w:val="002742E2"/>
    <w:rsid w:val="00274CFD"/>
    <w:rsid w:val="00274ED6"/>
    <w:rsid w:val="002752C6"/>
    <w:rsid w:val="002755EF"/>
    <w:rsid w:val="0027586B"/>
    <w:rsid w:val="00276BC6"/>
    <w:rsid w:val="00276C59"/>
    <w:rsid w:val="0027792D"/>
    <w:rsid w:val="00281357"/>
    <w:rsid w:val="00282A25"/>
    <w:rsid w:val="00282F72"/>
    <w:rsid w:val="002830A8"/>
    <w:rsid w:val="00283515"/>
    <w:rsid w:val="00283721"/>
    <w:rsid w:val="00283BAD"/>
    <w:rsid w:val="0028466A"/>
    <w:rsid w:val="002846E8"/>
    <w:rsid w:val="002849BD"/>
    <w:rsid w:val="00284F98"/>
    <w:rsid w:val="0028561D"/>
    <w:rsid w:val="00285FF7"/>
    <w:rsid w:val="002860F1"/>
    <w:rsid w:val="002907E7"/>
    <w:rsid w:val="00291148"/>
    <w:rsid w:val="00292278"/>
    <w:rsid w:val="00295263"/>
    <w:rsid w:val="0029555F"/>
    <w:rsid w:val="00295590"/>
    <w:rsid w:val="0029631A"/>
    <w:rsid w:val="00297BEE"/>
    <w:rsid w:val="002A05DC"/>
    <w:rsid w:val="002A0F20"/>
    <w:rsid w:val="002A104F"/>
    <w:rsid w:val="002A13A2"/>
    <w:rsid w:val="002A3274"/>
    <w:rsid w:val="002A32D9"/>
    <w:rsid w:val="002A3CF1"/>
    <w:rsid w:val="002A59B9"/>
    <w:rsid w:val="002A5DA4"/>
    <w:rsid w:val="002A5E8D"/>
    <w:rsid w:val="002A68CD"/>
    <w:rsid w:val="002A7905"/>
    <w:rsid w:val="002B13CB"/>
    <w:rsid w:val="002B14EA"/>
    <w:rsid w:val="002B1854"/>
    <w:rsid w:val="002B1A20"/>
    <w:rsid w:val="002B1A51"/>
    <w:rsid w:val="002B2AE1"/>
    <w:rsid w:val="002B3159"/>
    <w:rsid w:val="002B3A8F"/>
    <w:rsid w:val="002B3E1F"/>
    <w:rsid w:val="002B4646"/>
    <w:rsid w:val="002B5324"/>
    <w:rsid w:val="002B5C76"/>
    <w:rsid w:val="002B5C91"/>
    <w:rsid w:val="002B5F4B"/>
    <w:rsid w:val="002B6603"/>
    <w:rsid w:val="002B6F5F"/>
    <w:rsid w:val="002C0828"/>
    <w:rsid w:val="002C124B"/>
    <w:rsid w:val="002C1A0B"/>
    <w:rsid w:val="002C33AF"/>
    <w:rsid w:val="002C370D"/>
    <w:rsid w:val="002C3B75"/>
    <w:rsid w:val="002C450A"/>
    <w:rsid w:val="002C47E9"/>
    <w:rsid w:val="002C4E26"/>
    <w:rsid w:val="002C4E6C"/>
    <w:rsid w:val="002C5092"/>
    <w:rsid w:val="002C54BF"/>
    <w:rsid w:val="002C5519"/>
    <w:rsid w:val="002C59CD"/>
    <w:rsid w:val="002C67E5"/>
    <w:rsid w:val="002C6D0D"/>
    <w:rsid w:val="002C6F5D"/>
    <w:rsid w:val="002D0639"/>
    <w:rsid w:val="002D08F4"/>
    <w:rsid w:val="002D097F"/>
    <w:rsid w:val="002D0D0C"/>
    <w:rsid w:val="002D1258"/>
    <w:rsid w:val="002D13E8"/>
    <w:rsid w:val="002D1976"/>
    <w:rsid w:val="002D2807"/>
    <w:rsid w:val="002D2D97"/>
    <w:rsid w:val="002D3BDF"/>
    <w:rsid w:val="002D426C"/>
    <w:rsid w:val="002D4721"/>
    <w:rsid w:val="002D472F"/>
    <w:rsid w:val="002D4803"/>
    <w:rsid w:val="002D6CDA"/>
    <w:rsid w:val="002D6EFD"/>
    <w:rsid w:val="002E0D86"/>
    <w:rsid w:val="002E16AE"/>
    <w:rsid w:val="002E1795"/>
    <w:rsid w:val="002E1871"/>
    <w:rsid w:val="002E1A25"/>
    <w:rsid w:val="002E1C38"/>
    <w:rsid w:val="002E2633"/>
    <w:rsid w:val="002E3521"/>
    <w:rsid w:val="002E37F4"/>
    <w:rsid w:val="002E4286"/>
    <w:rsid w:val="002E43A5"/>
    <w:rsid w:val="002E5665"/>
    <w:rsid w:val="002E6D4B"/>
    <w:rsid w:val="002E7318"/>
    <w:rsid w:val="002E7617"/>
    <w:rsid w:val="002E7C56"/>
    <w:rsid w:val="002E7D8E"/>
    <w:rsid w:val="002F0408"/>
    <w:rsid w:val="002F06FF"/>
    <w:rsid w:val="002F210E"/>
    <w:rsid w:val="002F27B6"/>
    <w:rsid w:val="002F2B50"/>
    <w:rsid w:val="002F3027"/>
    <w:rsid w:val="002F3CDE"/>
    <w:rsid w:val="002F405F"/>
    <w:rsid w:val="002F491B"/>
    <w:rsid w:val="002F4953"/>
    <w:rsid w:val="002F4ACB"/>
    <w:rsid w:val="002F7430"/>
    <w:rsid w:val="002F777B"/>
    <w:rsid w:val="00300191"/>
    <w:rsid w:val="00300414"/>
    <w:rsid w:val="00300578"/>
    <w:rsid w:val="00300AAF"/>
    <w:rsid w:val="00300F8D"/>
    <w:rsid w:val="00304FC4"/>
    <w:rsid w:val="003059F4"/>
    <w:rsid w:val="0030689E"/>
    <w:rsid w:val="003068D7"/>
    <w:rsid w:val="003071B2"/>
    <w:rsid w:val="00307599"/>
    <w:rsid w:val="003075B8"/>
    <w:rsid w:val="00310399"/>
    <w:rsid w:val="00310D8D"/>
    <w:rsid w:val="0031445A"/>
    <w:rsid w:val="003149F6"/>
    <w:rsid w:val="00315977"/>
    <w:rsid w:val="00316368"/>
    <w:rsid w:val="003174B4"/>
    <w:rsid w:val="0032047A"/>
    <w:rsid w:val="00320939"/>
    <w:rsid w:val="00320F9D"/>
    <w:rsid w:val="00321B76"/>
    <w:rsid w:val="00321BBE"/>
    <w:rsid w:val="00323813"/>
    <w:rsid w:val="00325077"/>
    <w:rsid w:val="0032515F"/>
    <w:rsid w:val="003253BE"/>
    <w:rsid w:val="00325C89"/>
    <w:rsid w:val="0032679D"/>
    <w:rsid w:val="00326D1D"/>
    <w:rsid w:val="00327D78"/>
    <w:rsid w:val="00327D80"/>
    <w:rsid w:val="00327DF9"/>
    <w:rsid w:val="00327E48"/>
    <w:rsid w:val="003302F7"/>
    <w:rsid w:val="00332437"/>
    <w:rsid w:val="00332A1C"/>
    <w:rsid w:val="00332A90"/>
    <w:rsid w:val="00332AB7"/>
    <w:rsid w:val="00332B68"/>
    <w:rsid w:val="00332EE0"/>
    <w:rsid w:val="00333E90"/>
    <w:rsid w:val="00334C69"/>
    <w:rsid w:val="00334E81"/>
    <w:rsid w:val="00335E6A"/>
    <w:rsid w:val="00337322"/>
    <w:rsid w:val="0034006A"/>
    <w:rsid w:val="00340CDE"/>
    <w:rsid w:val="0034133E"/>
    <w:rsid w:val="003415A1"/>
    <w:rsid w:val="00341D9F"/>
    <w:rsid w:val="00342048"/>
    <w:rsid w:val="00342994"/>
    <w:rsid w:val="00342F54"/>
    <w:rsid w:val="00343735"/>
    <w:rsid w:val="00343803"/>
    <w:rsid w:val="00343F87"/>
    <w:rsid w:val="00345DCC"/>
    <w:rsid w:val="00346101"/>
    <w:rsid w:val="00346CAB"/>
    <w:rsid w:val="00347C24"/>
    <w:rsid w:val="00347EB1"/>
    <w:rsid w:val="003508F6"/>
    <w:rsid w:val="00351DDB"/>
    <w:rsid w:val="00351FF3"/>
    <w:rsid w:val="00352B90"/>
    <w:rsid w:val="00353231"/>
    <w:rsid w:val="00353F39"/>
    <w:rsid w:val="00354D6E"/>
    <w:rsid w:val="0035514C"/>
    <w:rsid w:val="00356084"/>
    <w:rsid w:val="00356522"/>
    <w:rsid w:val="003568C0"/>
    <w:rsid w:val="003569AC"/>
    <w:rsid w:val="00356E07"/>
    <w:rsid w:val="0036056A"/>
    <w:rsid w:val="003642D2"/>
    <w:rsid w:val="0036450C"/>
    <w:rsid w:val="00364574"/>
    <w:rsid w:val="0036468B"/>
    <w:rsid w:val="0036546D"/>
    <w:rsid w:val="003664C3"/>
    <w:rsid w:val="003675A1"/>
    <w:rsid w:val="0036773D"/>
    <w:rsid w:val="00367FEB"/>
    <w:rsid w:val="003711C1"/>
    <w:rsid w:val="00371BC3"/>
    <w:rsid w:val="00371CBE"/>
    <w:rsid w:val="003721BA"/>
    <w:rsid w:val="00372C24"/>
    <w:rsid w:val="00372C38"/>
    <w:rsid w:val="00372C9E"/>
    <w:rsid w:val="0037332F"/>
    <w:rsid w:val="00373AD4"/>
    <w:rsid w:val="0037428F"/>
    <w:rsid w:val="00374539"/>
    <w:rsid w:val="003747BD"/>
    <w:rsid w:val="00374DD5"/>
    <w:rsid w:val="0037591D"/>
    <w:rsid w:val="00376E05"/>
    <w:rsid w:val="0037720A"/>
    <w:rsid w:val="003774FC"/>
    <w:rsid w:val="00377F5B"/>
    <w:rsid w:val="0038006D"/>
    <w:rsid w:val="00381EB9"/>
    <w:rsid w:val="0038206D"/>
    <w:rsid w:val="00383A81"/>
    <w:rsid w:val="00383D6A"/>
    <w:rsid w:val="00384693"/>
    <w:rsid w:val="00385DC1"/>
    <w:rsid w:val="00385F02"/>
    <w:rsid w:val="0038641A"/>
    <w:rsid w:val="00386DED"/>
    <w:rsid w:val="0038719C"/>
    <w:rsid w:val="00390E97"/>
    <w:rsid w:val="0039125A"/>
    <w:rsid w:val="003924AE"/>
    <w:rsid w:val="00392E76"/>
    <w:rsid w:val="00393BF6"/>
    <w:rsid w:val="00393F1C"/>
    <w:rsid w:val="00393F6E"/>
    <w:rsid w:val="00394276"/>
    <w:rsid w:val="00394BA4"/>
    <w:rsid w:val="0039597A"/>
    <w:rsid w:val="0039697D"/>
    <w:rsid w:val="00396DAE"/>
    <w:rsid w:val="0039750E"/>
    <w:rsid w:val="00397618"/>
    <w:rsid w:val="00397731"/>
    <w:rsid w:val="00397EA7"/>
    <w:rsid w:val="003A1350"/>
    <w:rsid w:val="003A17CE"/>
    <w:rsid w:val="003A1920"/>
    <w:rsid w:val="003A1A61"/>
    <w:rsid w:val="003A1B4C"/>
    <w:rsid w:val="003A2C3E"/>
    <w:rsid w:val="003A2D49"/>
    <w:rsid w:val="003A3487"/>
    <w:rsid w:val="003A5228"/>
    <w:rsid w:val="003A583A"/>
    <w:rsid w:val="003A591A"/>
    <w:rsid w:val="003A5F2B"/>
    <w:rsid w:val="003A722D"/>
    <w:rsid w:val="003B01FB"/>
    <w:rsid w:val="003B0557"/>
    <w:rsid w:val="003B0E02"/>
    <w:rsid w:val="003B0FDA"/>
    <w:rsid w:val="003B1656"/>
    <w:rsid w:val="003B231B"/>
    <w:rsid w:val="003B3157"/>
    <w:rsid w:val="003B3FC0"/>
    <w:rsid w:val="003B4786"/>
    <w:rsid w:val="003B56E2"/>
    <w:rsid w:val="003B5926"/>
    <w:rsid w:val="003B602A"/>
    <w:rsid w:val="003B71D0"/>
    <w:rsid w:val="003B7450"/>
    <w:rsid w:val="003B767F"/>
    <w:rsid w:val="003C2C74"/>
    <w:rsid w:val="003C3055"/>
    <w:rsid w:val="003C3EAC"/>
    <w:rsid w:val="003C4015"/>
    <w:rsid w:val="003C45E6"/>
    <w:rsid w:val="003C4A67"/>
    <w:rsid w:val="003C568C"/>
    <w:rsid w:val="003C56E9"/>
    <w:rsid w:val="003C63A8"/>
    <w:rsid w:val="003C6725"/>
    <w:rsid w:val="003C6F78"/>
    <w:rsid w:val="003C703E"/>
    <w:rsid w:val="003C7107"/>
    <w:rsid w:val="003D0D2D"/>
    <w:rsid w:val="003D16A1"/>
    <w:rsid w:val="003D16F1"/>
    <w:rsid w:val="003D1778"/>
    <w:rsid w:val="003D1B5E"/>
    <w:rsid w:val="003D28A5"/>
    <w:rsid w:val="003D30C9"/>
    <w:rsid w:val="003D472B"/>
    <w:rsid w:val="003D4F91"/>
    <w:rsid w:val="003D5092"/>
    <w:rsid w:val="003D6240"/>
    <w:rsid w:val="003D7A99"/>
    <w:rsid w:val="003D7D65"/>
    <w:rsid w:val="003E007A"/>
    <w:rsid w:val="003E09C9"/>
    <w:rsid w:val="003E0CFA"/>
    <w:rsid w:val="003E0D77"/>
    <w:rsid w:val="003E0DA2"/>
    <w:rsid w:val="003E11B1"/>
    <w:rsid w:val="003E11D8"/>
    <w:rsid w:val="003E1873"/>
    <w:rsid w:val="003E25CD"/>
    <w:rsid w:val="003E25DA"/>
    <w:rsid w:val="003E2BDE"/>
    <w:rsid w:val="003E2F13"/>
    <w:rsid w:val="003E3005"/>
    <w:rsid w:val="003E3092"/>
    <w:rsid w:val="003E386C"/>
    <w:rsid w:val="003E44BC"/>
    <w:rsid w:val="003E509B"/>
    <w:rsid w:val="003E60A8"/>
    <w:rsid w:val="003E6141"/>
    <w:rsid w:val="003E620D"/>
    <w:rsid w:val="003E64DA"/>
    <w:rsid w:val="003E6F86"/>
    <w:rsid w:val="003F111F"/>
    <w:rsid w:val="003F1441"/>
    <w:rsid w:val="003F1A7F"/>
    <w:rsid w:val="003F330F"/>
    <w:rsid w:val="003F36C9"/>
    <w:rsid w:val="003F43BB"/>
    <w:rsid w:val="003F441E"/>
    <w:rsid w:val="003F4A7C"/>
    <w:rsid w:val="003F5144"/>
    <w:rsid w:val="003F584D"/>
    <w:rsid w:val="003F5DC0"/>
    <w:rsid w:val="003F73B2"/>
    <w:rsid w:val="00400538"/>
    <w:rsid w:val="0040067C"/>
    <w:rsid w:val="004011E6"/>
    <w:rsid w:val="004012CF"/>
    <w:rsid w:val="0040177F"/>
    <w:rsid w:val="00401801"/>
    <w:rsid w:val="00402034"/>
    <w:rsid w:val="00402AC1"/>
    <w:rsid w:val="00402FB4"/>
    <w:rsid w:val="004032FE"/>
    <w:rsid w:val="00403576"/>
    <w:rsid w:val="00403A5F"/>
    <w:rsid w:val="00404A4F"/>
    <w:rsid w:val="00405414"/>
    <w:rsid w:val="004058F1"/>
    <w:rsid w:val="00405B47"/>
    <w:rsid w:val="00406172"/>
    <w:rsid w:val="004061C3"/>
    <w:rsid w:val="0040716B"/>
    <w:rsid w:val="00407301"/>
    <w:rsid w:val="00407985"/>
    <w:rsid w:val="00410BE9"/>
    <w:rsid w:val="004117D4"/>
    <w:rsid w:val="00411C6C"/>
    <w:rsid w:val="004133BA"/>
    <w:rsid w:val="00413638"/>
    <w:rsid w:val="00413B4D"/>
    <w:rsid w:val="00413ED4"/>
    <w:rsid w:val="00414B0A"/>
    <w:rsid w:val="00414B6F"/>
    <w:rsid w:val="00414DD6"/>
    <w:rsid w:val="004159EE"/>
    <w:rsid w:val="0041663C"/>
    <w:rsid w:val="00417D6B"/>
    <w:rsid w:val="00422EB1"/>
    <w:rsid w:val="00422F2E"/>
    <w:rsid w:val="0042336B"/>
    <w:rsid w:val="004237E6"/>
    <w:rsid w:val="00424573"/>
    <w:rsid w:val="00425258"/>
    <w:rsid w:val="0042547A"/>
    <w:rsid w:val="0042551A"/>
    <w:rsid w:val="00425FAD"/>
    <w:rsid w:val="00426C16"/>
    <w:rsid w:val="00426CCD"/>
    <w:rsid w:val="00426F2C"/>
    <w:rsid w:val="00426F58"/>
    <w:rsid w:val="0042720C"/>
    <w:rsid w:val="004307C5"/>
    <w:rsid w:val="00430AD8"/>
    <w:rsid w:val="00430E04"/>
    <w:rsid w:val="00433728"/>
    <w:rsid w:val="004338FB"/>
    <w:rsid w:val="00433CB6"/>
    <w:rsid w:val="00433E54"/>
    <w:rsid w:val="00434569"/>
    <w:rsid w:val="00434775"/>
    <w:rsid w:val="00436264"/>
    <w:rsid w:val="0043688D"/>
    <w:rsid w:val="0044016F"/>
    <w:rsid w:val="004403BC"/>
    <w:rsid w:val="00440C8E"/>
    <w:rsid w:val="004411B0"/>
    <w:rsid w:val="0044183D"/>
    <w:rsid w:val="00441862"/>
    <w:rsid w:val="004422F3"/>
    <w:rsid w:val="004424D6"/>
    <w:rsid w:val="004426D5"/>
    <w:rsid w:val="00442B64"/>
    <w:rsid w:val="00443AA8"/>
    <w:rsid w:val="00444AFB"/>
    <w:rsid w:val="00444F38"/>
    <w:rsid w:val="00445781"/>
    <w:rsid w:val="004468EF"/>
    <w:rsid w:val="00446F78"/>
    <w:rsid w:val="00450535"/>
    <w:rsid w:val="00450551"/>
    <w:rsid w:val="00450E73"/>
    <w:rsid w:val="00451333"/>
    <w:rsid w:val="00451AD8"/>
    <w:rsid w:val="00452BA8"/>
    <w:rsid w:val="00452C04"/>
    <w:rsid w:val="00452C3B"/>
    <w:rsid w:val="00453AEE"/>
    <w:rsid w:val="0045516B"/>
    <w:rsid w:val="00455783"/>
    <w:rsid w:val="00455C4E"/>
    <w:rsid w:val="00456C7D"/>
    <w:rsid w:val="00457C26"/>
    <w:rsid w:val="004607DA"/>
    <w:rsid w:val="00460A63"/>
    <w:rsid w:val="004611AB"/>
    <w:rsid w:val="00461886"/>
    <w:rsid w:val="004628A4"/>
    <w:rsid w:val="00462A0F"/>
    <w:rsid w:val="004645C9"/>
    <w:rsid w:val="00464BDB"/>
    <w:rsid w:val="00464FEE"/>
    <w:rsid w:val="004657E9"/>
    <w:rsid w:val="00465B8F"/>
    <w:rsid w:val="00465BC5"/>
    <w:rsid w:val="00467813"/>
    <w:rsid w:val="004704EB"/>
    <w:rsid w:val="00470B02"/>
    <w:rsid w:val="00470D29"/>
    <w:rsid w:val="004738CC"/>
    <w:rsid w:val="00473922"/>
    <w:rsid w:val="00473BE0"/>
    <w:rsid w:val="004742F2"/>
    <w:rsid w:val="004749A9"/>
    <w:rsid w:val="00474B56"/>
    <w:rsid w:val="00474B70"/>
    <w:rsid w:val="004750DD"/>
    <w:rsid w:val="0047645E"/>
    <w:rsid w:val="004779E1"/>
    <w:rsid w:val="00477CA6"/>
    <w:rsid w:val="00477F89"/>
    <w:rsid w:val="0048030D"/>
    <w:rsid w:val="004806FB"/>
    <w:rsid w:val="004807F6"/>
    <w:rsid w:val="00480C5C"/>
    <w:rsid w:val="00480F9B"/>
    <w:rsid w:val="004815B3"/>
    <w:rsid w:val="004815E1"/>
    <w:rsid w:val="004824CC"/>
    <w:rsid w:val="00482F64"/>
    <w:rsid w:val="00482FF5"/>
    <w:rsid w:val="0048533A"/>
    <w:rsid w:val="004861E3"/>
    <w:rsid w:val="004864EC"/>
    <w:rsid w:val="00486E1F"/>
    <w:rsid w:val="00487255"/>
    <w:rsid w:val="004877A9"/>
    <w:rsid w:val="00491E53"/>
    <w:rsid w:val="0049221E"/>
    <w:rsid w:val="0049286D"/>
    <w:rsid w:val="00492C5B"/>
    <w:rsid w:val="0049312E"/>
    <w:rsid w:val="004933BA"/>
    <w:rsid w:val="00493CD1"/>
    <w:rsid w:val="00494084"/>
    <w:rsid w:val="004944CE"/>
    <w:rsid w:val="00494BCE"/>
    <w:rsid w:val="0049512D"/>
    <w:rsid w:val="0049547D"/>
    <w:rsid w:val="004956F3"/>
    <w:rsid w:val="00496A42"/>
    <w:rsid w:val="00497B07"/>
    <w:rsid w:val="00497F32"/>
    <w:rsid w:val="004A0046"/>
    <w:rsid w:val="004A14A9"/>
    <w:rsid w:val="004A195A"/>
    <w:rsid w:val="004A2078"/>
    <w:rsid w:val="004A2959"/>
    <w:rsid w:val="004A3BE1"/>
    <w:rsid w:val="004A45C0"/>
    <w:rsid w:val="004A46D2"/>
    <w:rsid w:val="004A4B79"/>
    <w:rsid w:val="004A5051"/>
    <w:rsid w:val="004A7153"/>
    <w:rsid w:val="004A7948"/>
    <w:rsid w:val="004A7ADA"/>
    <w:rsid w:val="004B04F6"/>
    <w:rsid w:val="004B0657"/>
    <w:rsid w:val="004B134A"/>
    <w:rsid w:val="004B147C"/>
    <w:rsid w:val="004B256E"/>
    <w:rsid w:val="004B2D58"/>
    <w:rsid w:val="004B53F7"/>
    <w:rsid w:val="004B709E"/>
    <w:rsid w:val="004C0B6B"/>
    <w:rsid w:val="004C0FA9"/>
    <w:rsid w:val="004C1884"/>
    <w:rsid w:val="004C1AFC"/>
    <w:rsid w:val="004C3A86"/>
    <w:rsid w:val="004C52F8"/>
    <w:rsid w:val="004C552D"/>
    <w:rsid w:val="004C5E6B"/>
    <w:rsid w:val="004C6663"/>
    <w:rsid w:val="004C70BF"/>
    <w:rsid w:val="004D011B"/>
    <w:rsid w:val="004D0B12"/>
    <w:rsid w:val="004D0F84"/>
    <w:rsid w:val="004D1CA0"/>
    <w:rsid w:val="004D23CC"/>
    <w:rsid w:val="004D2C26"/>
    <w:rsid w:val="004D3D5B"/>
    <w:rsid w:val="004D51D6"/>
    <w:rsid w:val="004D62A4"/>
    <w:rsid w:val="004D646A"/>
    <w:rsid w:val="004D6CB7"/>
    <w:rsid w:val="004D7170"/>
    <w:rsid w:val="004D786D"/>
    <w:rsid w:val="004D79D7"/>
    <w:rsid w:val="004E104C"/>
    <w:rsid w:val="004E20A4"/>
    <w:rsid w:val="004E25EB"/>
    <w:rsid w:val="004E2FF4"/>
    <w:rsid w:val="004E37B5"/>
    <w:rsid w:val="004E3C1F"/>
    <w:rsid w:val="004E42F1"/>
    <w:rsid w:val="004E4817"/>
    <w:rsid w:val="004E5189"/>
    <w:rsid w:val="004E5C08"/>
    <w:rsid w:val="004E61F6"/>
    <w:rsid w:val="004E6478"/>
    <w:rsid w:val="004E670B"/>
    <w:rsid w:val="004E6B0B"/>
    <w:rsid w:val="004E755F"/>
    <w:rsid w:val="004E79D0"/>
    <w:rsid w:val="004F18EA"/>
    <w:rsid w:val="004F210D"/>
    <w:rsid w:val="004F22A2"/>
    <w:rsid w:val="004F2678"/>
    <w:rsid w:val="004F2D46"/>
    <w:rsid w:val="004F2DD9"/>
    <w:rsid w:val="004F3119"/>
    <w:rsid w:val="004F4D07"/>
    <w:rsid w:val="004F58BD"/>
    <w:rsid w:val="004F6936"/>
    <w:rsid w:val="004F6BD5"/>
    <w:rsid w:val="004F74C3"/>
    <w:rsid w:val="004F7829"/>
    <w:rsid w:val="004F7B94"/>
    <w:rsid w:val="00500041"/>
    <w:rsid w:val="00500514"/>
    <w:rsid w:val="005005B7"/>
    <w:rsid w:val="0050073E"/>
    <w:rsid w:val="0050188D"/>
    <w:rsid w:val="0050241E"/>
    <w:rsid w:val="0050246E"/>
    <w:rsid w:val="005024B2"/>
    <w:rsid w:val="005041DF"/>
    <w:rsid w:val="00504207"/>
    <w:rsid w:val="005049DE"/>
    <w:rsid w:val="00504DDF"/>
    <w:rsid w:val="00505034"/>
    <w:rsid w:val="0050543E"/>
    <w:rsid w:val="00505AFF"/>
    <w:rsid w:val="00505C40"/>
    <w:rsid w:val="00506BCC"/>
    <w:rsid w:val="00506D93"/>
    <w:rsid w:val="0050725D"/>
    <w:rsid w:val="00507D2E"/>
    <w:rsid w:val="005105D0"/>
    <w:rsid w:val="00510C3C"/>
    <w:rsid w:val="00510F3D"/>
    <w:rsid w:val="0051174F"/>
    <w:rsid w:val="00511B7C"/>
    <w:rsid w:val="005121F6"/>
    <w:rsid w:val="005124E1"/>
    <w:rsid w:val="005126A3"/>
    <w:rsid w:val="00512791"/>
    <w:rsid w:val="00512A0B"/>
    <w:rsid w:val="00513FA7"/>
    <w:rsid w:val="00513FCB"/>
    <w:rsid w:val="005145EB"/>
    <w:rsid w:val="005149CC"/>
    <w:rsid w:val="00514D8B"/>
    <w:rsid w:val="00515025"/>
    <w:rsid w:val="00515A9C"/>
    <w:rsid w:val="0051682C"/>
    <w:rsid w:val="00516A7C"/>
    <w:rsid w:val="00516B9F"/>
    <w:rsid w:val="00517675"/>
    <w:rsid w:val="0052022B"/>
    <w:rsid w:val="005202FC"/>
    <w:rsid w:val="0052138F"/>
    <w:rsid w:val="0052139B"/>
    <w:rsid w:val="00522BC7"/>
    <w:rsid w:val="00523E65"/>
    <w:rsid w:val="00523F75"/>
    <w:rsid w:val="00524397"/>
    <w:rsid w:val="00524716"/>
    <w:rsid w:val="0052524B"/>
    <w:rsid w:val="00525557"/>
    <w:rsid w:val="00525833"/>
    <w:rsid w:val="00526131"/>
    <w:rsid w:val="00526E2B"/>
    <w:rsid w:val="00527756"/>
    <w:rsid w:val="00527C26"/>
    <w:rsid w:val="00530C3D"/>
    <w:rsid w:val="0053229A"/>
    <w:rsid w:val="0053293B"/>
    <w:rsid w:val="005333D5"/>
    <w:rsid w:val="00533882"/>
    <w:rsid w:val="00533A0E"/>
    <w:rsid w:val="005341E3"/>
    <w:rsid w:val="0053428F"/>
    <w:rsid w:val="005348C6"/>
    <w:rsid w:val="00536682"/>
    <w:rsid w:val="005369A9"/>
    <w:rsid w:val="005374EA"/>
    <w:rsid w:val="00537BE1"/>
    <w:rsid w:val="005405A8"/>
    <w:rsid w:val="00540675"/>
    <w:rsid w:val="005413F9"/>
    <w:rsid w:val="005417DF"/>
    <w:rsid w:val="00541A86"/>
    <w:rsid w:val="0054235C"/>
    <w:rsid w:val="0054329C"/>
    <w:rsid w:val="00543AC4"/>
    <w:rsid w:val="00545811"/>
    <w:rsid w:val="00545BF2"/>
    <w:rsid w:val="0054791B"/>
    <w:rsid w:val="00550520"/>
    <w:rsid w:val="00551A81"/>
    <w:rsid w:val="0055250D"/>
    <w:rsid w:val="00552BFC"/>
    <w:rsid w:val="00554298"/>
    <w:rsid w:val="00555BE1"/>
    <w:rsid w:val="0055676A"/>
    <w:rsid w:val="005567C4"/>
    <w:rsid w:val="00557913"/>
    <w:rsid w:val="00560AC2"/>
    <w:rsid w:val="00560BB3"/>
    <w:rsid w:val="00561FA5"/>
    <w:rsid w:val="00562C60"/>
    <w:rsid w:val="00563644"/>
    <w:rsid w:val="00563773"/>
    <w:rsid w:val="00563AEA"/>
    <w:rsid w:val="00563DD0"/>
    <w:rsid w:val="00564141"/>
    <w:rsid w:val="005644A8"/>
    <w:rsid w:val="00564947"/>
    <w:rsid w:val="00564E1B"/>
    <w:rsid w:val="00564F4F"/>
    <w:rsid w:val="005652C8"/>
    <w:rsid w:val="0056698E"/>
    <w:rsid w:val="005676F1"/>
    <w:rsid w:val="00567723"/>
    <w:rsid w:val="00571233"/>
    <w:rsid w:val="0057130A"/>
    <w:rsid w:val="00571907"/>
    <w:rsid w:val="0057274D"/>
    <w:rsid w:val="00572924"/>
    <w:rsid w:val="00573BDF"/>
    <w:rsid w:val="00573CC6"/>
    <w:rsid w:val="00573E1E"/>
    <w:rsid w:val="005744A4"/>
    <w:rsid w:val="0057597C"/>
    <w:rsid w:val="0057633C"/>
    <w:rsid w:val="005766A1"/>
    <w:rsid w:val="0057676F"/>
    <w:rsid w:val="005769A2"/>
    <w:rsid w:val="00576C7A"/>
    <w:rsid w:val="005815B7"/>
    <w:rsid w:val="00581682"/>
    <w:rsid w:val="00581B14"/>
    <w:rsid w:val="00582382"/>
    <w:rsid w:val="00582527"/>
    <w:rsid w:val="00582D77"/>
    <w:rsid w:val="00582DFB"/>
    <w:rsid w:val="00583203"/>
    <w:rsid w:val="0058364F"/>
    <w:rsid w:val="005842AD"/>
    <w:rsid w:val="005849EA"/>
    <w:rsid w:val="00585B55"/>
    <w:rsid w:val="00586CF4"/>
    <w:rsid w:val="005877E5"/>
    <w:rsid w:val="0058790A"/>
    <w:rsid w:val="00590842"/>
    <w:rsid w:val="00590CDB"/>
    <w:rsid w:val="00591928"/>
    <w:rsid w:val="00591A75"/>
    <w:rsid w:val="00591D65"/>
    <w:rsid w:val="00591E4B"/>
    <w:rsid w:val="00592A43"/>
    <w:rsid w:val="00592E82"/>
    <w:rsid w:val="00593350"/>
    <w:rsid w:val="00593DC3"/>
    <w:rsid w:val="00593E6C"/>
    <w:rsid w:val="0059433A"/>
    <w:rsid w:val="00594ADE"/>
    <w:rsid w:val="00594ECA"/>
    <w:rsid w:val="00595505"/>
    <w:rsid w:val="005964EC"/>
    <w:rsid w:val="00596AB7"/>
    <w:rsid w:val="00596D1F"/>
    <w:rsid w:val="00597CA5"/>
    <w:rsid w:val="00597F04"/>
    <w:rsid w:val="005A1261"/>
    <w:rsid w:val="005A1DB5"/>
    <w:rsid w:val="005A406C"/>
    <w:rsid w:val="005A4C07"/>
    <w:rsid w:val="005A5DA5"/>
    <w:rsid w:val="005A5F3A"/>
    <w:rsid w:val="005A7422"/>
    <w:rsid w:val="005A76AD"/>
    <w:rsid w:val="005A79D6"/>
    <w:rsid w:val="005A7A28"/>
    <w:rsid w:val="005B1893"/>
    <w:rsid w:val="005B1C4C"/>
    <w:rsid w:val="005B1ECD"/>
    <w:rsid w:val="005B1FEB"/>
    <w:rsid w:val="005B32A0"/>
    <w:rsid w:val="005B3807"/>
    <w:rsid w:val="005B43D5"/>
    <w:rsid w:val="005B4F87"/>
    <w:rsid w:val="005B542D"/>
    <w:rsid w:val="005B5D9A"/>
    <w:rsid w:val="005B677B"/>
    <w:rsid w:val="005B7D9A"/>
    <w:rsid w:val="005C1A57"/>
    <w:rsid w:val="005C1C8B"/>
    <w:rsid w:val="005C2504"/>
    <w:rsid w:val="005C354E"/>
    <w:rsid w:val="005C41C5"/>
    <w:rsid w:val="005C5B5C"/>
    <w:rsid w:val="005D1036"/>
    <w:rsid w:val="005D1A4D"/>
    <w:rsid w:val="005D213D"/>
    <w:rsid w:val="005D22BA"/>
    <w:rsid w:val="005D2E9B"/>
    <w:rsid w:val="005D35F9"/>
    <w:rsid w:val="005D4D8B"/>
    <w:rsid w:val="005D5BBA"/>
    <w:rsid w:val="005D629A"/>
    <w:rsid w:val="005D7183"/>
    <w:rsid w:val="005E0730"/>
    <w:rsid w:val="005E0759"/>
    <w:rsid w:val="005E0A8E"/>
    <w:rsid w:val="005E124F"/>
    <w:rsid w:val="005E16C5"/>
    <w:rsid w:val="005E1D48"/>
    <w:rsid w:val="005E1FF0"/>
    <w:rsid w:val="005E26FB"/>
    <w:rsid w:val="005E2B27"/>
    <w:rsid w:val="005E2F31"/>
    <w:rsid w:val="005E3EB1"/>
    <w:rsid w:val="005E4400"/>
    <w:rsid w:val="005E46B3"/>
    <w:rsid w:val="005E5BDB"/>
    <w:rsid w:val="005E681E"/>
    <w:rsid w:val="005E776F"/>
    <w:rsid w:val="005F023F"/>
    <w:rsid w:val="005F089F"/>
    <w:rsid w:val="005F0A40"/>
    <w:rsid w:val="005F0A77"/>
    <w:rsid w:val="005F0C3A"/>
    <w:rsid w:val="005F133C"/>
    <w:rsid w:val="005F1E3B"/>
    <w:rsid w:val="005F2C7A"/>
    <w:rsid w:val="005F30C1"/>
    <w:rsid w:val="005F3260"/>
    <w:rsid w:val="005F4B8E"/>
    <w:rsid w:val="005F5DE4"/>
    <w:rsid w:val="006002F0"/>
    <w:rsid w:val="0060077C"/>
    <w:rsid w:val="00600CD2"/>
    <w:rsid w:val="00600F4E"/>
    <w:rsid w:val="00601949"/>
    <w:rsid w:val="00602468"/>
    <w:rsid w:val="006028D2"/>
    <w:rsid w:val="006042C2"/>
    <w:rsid w:val="00605D03"/>
    <w:rsid w:val="00605DDB"/>
    <w:rsid w:val="006061FB"/>
    <w:rsid w:val="00606EC0"/>
    <w:rsid w:val="00607AE9"/>
    <w:rsid w:val="00607B18"/>
    <w:rsid w:val="00610ED1"/>
    <w:rsid w:val="006112E4"/>
    <w:rsid w:val="006132AB"/>
    <w:rsid w:val="00613EE3"/>
    <w:rsid w:val="00613FE1"/>
    <w:rsid w:val="006140DF"/>
    <w:rsid w:val="00614799"/>
    <w:rsid w:val="00615DDA"/>
    <w:rsid w:val="006167A3"/>
    <w:rsid w:val="00616DC1"/>
    <w:rsid w:val="00616DC5"/>
    <w:rsid w:val="006176A7"/>
    <w:rsid w:val="00621192"/>
    <w:rsid w:val="00621B85"/>
    <w:rsid w:val="0062208C"/>
    <w:rsid w:val="0062287B"/>
    <w:rsid w:val="00623C2F"/>
    <w:rsid w:val="006242A7"/>
    <w:rsid w:val="0062464B"/>
    <w:rsid w:val="00624C04"/>
    <w:rsid w:val="00625243"/>
    <w:rsid w:val="00626A94"/>
    <w:rsid w:val="0062773D"/>
    <w:rsid w:val="0062794E"/>
    <w:rsid w:val="00627EF5"/>
    <w:rsid w:val="006303C8"/>
    <w:rsid w:val="0063110A"/>
    <w:rsid w:val="006313F2"/>
    <w:rsid w:val="006317AC"/>
    <w:rsid w:val="0063297F"/>
    <w:rsid w:val="006365A4"/>
    <w:rsid w:val="0063688A"/>
    <w:rsid w:val="00637C91"/>
    <w:rsid w:val="00640A23"/>
    <w:rsid w:val="00641343"/>
    <w:rsid w:val="0064225F"/>
    <w:rsid w:val="00642829"/>
    <w:rsid w:val="00643351"/>
    <w:rsid w:val="0064392A"/>
    <w:rsid w:val="00643B9A"/>
    <w:rsid w:val="006443D9"/>
    <w:rsid w:val="00645167"/>
    <w:rsid w:val="0064565A"/>
    <w:rsid w:val="0064598C"/>
    <w:rsid w:val="00645DD1"/>
    <w:rsid w:val="006467D5"/>
    <w:rsid w:val="00646A04"/>
    <w:rsid w:val="00646E99"/>
    <w:rsid w:val="0064702D"/>
    <w:rsid w:val="006474D1"/>
    <w:rsid w:val="0065141B"/>
    <w:rsid w:val="006517CD"/>
    <w:rsid w:val="00651C3D"/>
    <w:rsid w:val="00651CC5"/>
    <w:rsid w:val="00651DFD"/>
    <w:rsid w:val="00652286"/>
    <w:rsid w:val="006527CC"/>
    <w:rsid w:val="00652B48"/>
    <w:rsid w:val="00653B6F"/>
    <w:rsid w:val="006549EA"/>
    <w:rsid w:val="00654A45"/>
    <w:rsid w:val="00654D9A"/>
    <w:rsid w:val="0065537B"/>
    <w:rsid w:val="006555FB"/>
    <w:rsid w:val="0065672C"/>
    <w:rsid w:val="0065683F"/>
    <w:rsid w:val="00656D03"/>
    <w:rsid w:val="0066042B"/>
    <w:rsid w:val="00660879"/>
    <w:rsid w:val="00661519"/>
    <w:rsid w:val="0066358C"/>
    <w:rsid w:val="006650EA"/>
    <w:rsid w:val="00665508"/>
    <w:rsid w:val="0066562C"/>
    <w:rsid w:val="00666821"/>
    <w:rsid w:val="00670350"/>
    <w:rsid w:val="00670441"/>
    <w:rsid w:val="006718E5"/>
    <w:rsid w:val="00671A10"/>
    <w:rsid w:val="00672CE5"/>
    <w:rsid w:val="00673818"/>
    <w:rsid w:val="00674103"/>
    <w:rsid w:val="00674F36"/>
    <w:rsid w:val="00674FDB"/>
    <w:rsid w:val="006753A4"/>
    <w:rsid w:val="00675DD9"/>
    <w:rsid w:val="006760D5"/>
    <w:rsid w:val="0067643C"/>
    <w:rsid w:val="00676C1D"/>
    <w:rsid w:val="00677D27"/>
    <w:rsid w:val="006800ED"/>
    <w:rsid w:val="0068077A"/>
    <w:rsid w:val="006809F0"/>
    <w:rsid w:val="006811ED"/>
    <w:rsid w:val="00682E75"/>
    <w:rsid w:val="006839A4"/>
    <w:rsid w:val="00683D0B"/>
    <w:rsid w:val="00683F5A"/>
    <w:rsid w:val="00685501"/>
    <w:rsid w:val="0068641B"/>
    <w:rsid w:val="006869E5"/>
    <w:rsid w:val="0068752F"/>
    <w:rsid w:val="00691169"/>
    <w:rsid w:val="00691E55"/>
    <w:rsid w:val="006926BE"/>
    <w:rsid w:val="006940C2"/>
    <w:rsid w:val="00694876"/>
    <w:rsid w:val="00694A8B"/>
    <w:rsid w:val="00695AB4"/>
    <w:rsid w:val="00696FBE"/>
    <w:rsid w:val="00697459"/>
    <w:rsid w:val="006A00F4"/>
    <w:rsid w:val="006A06AA"/>
    <w:rsid w:val="006A096B"/>
    <w:rsid w:val="006A0E29"/>
    <w:rsid w:val="006A17EA"/>
    <w:rsid w:val="006A1A5D"/>
    <w:rsid w:val="006A2A92"/>
    <w:rsid w:val="006A3519"/>
    <w:rsid w:val="006A3DB7"/>
    <w:rsid w:val="006A47CB"/>
    <w:rsid w:val="006A4B16"/>
    <w:rsid w:val="006A6079"/>
    <w:rsid w:val="006A635E"/>
    <w:rsid w:val="006A731A"/>
    <w:rsid w:val="006A7A44"/>
    <w:rsid w:val="006B01AE"/>
    <w:rsid w:val="006B03ED"/>
    <w:rsid w:val="006B0C7E"/>
    <w:rsid w:val="006B107F"/>
    <w:rsid w:val="006B1EE4"/>
    <w:rsid w:val="006B21C1"/>
    <w:rsid w:val="006B228B"/>
    <w:rsid w:val="006B33D4"/>
    <w:rsid w:val="006B348A"/>
    <w:rsid w:val="006B3D38"/>
    <w:rsid w:val="006B4003"/>
    <w:rsid w:val="006B4F96"/>
    <w:rsid w:val="006B5455"/>
    <w:rsid w:val="006B5BD6"/>
    <w:rsid w:val="006B5EB2"/>
    <w:rsid w:val="006B6FB8"/>
    <w:rsid w:val="006C19F2"/>
    <w:rsid w:val="006C2D93"/>
    <w:rsid w:val="006C358C"/>
    <w:rsid w:val="006C67A1"/>
    <w:rsid w:val="006C6A2A"/>
    <w:rsid w:val="006C7369"/>
    <w:rsid w:val="006C7791"/>
    <w:rsid w:val="006D09F4"/>
    <w:rsid w:val="006D0F43"/>
    <w:rsid w:val="006D1589"/>
    <w:rsid w:val="006D1920"/>
    <w:rsid w:val="006D1D2D"/>
    <w:rsid w:val="006D1E11"/>
    <w:rsid w:val="006D28F9"/>
    <w:rsid w:val="006D397D"/>
    <w:rsid w:val="006D4276"/>
    <w:rsid w:val="006D56C0"/>
    <w:rsid w:val="006D5950"/>
    <w:rsid w:val="006D59D2"/>
    <w:rsid w:val="006D5B0B"/>
    <w:rsid w:val="006D60CB"/>
    <w:rsid w:val="006D63F3"/>
    <w:rsid w:val="006D65DB"/>
    <w:rsid w:val="006D660E"/>
    <w:rsid w:val="006D6652"/>
    <w:rsid w:val="006D69E1"/>
    <w:rsid w:val="006E11DD"/>
    <w:rsid w:val="006E247D"/>
    <w:rsid w:val="006E3AB9"/>
    <w:rsid w:val="006E4199"/>
    <w:rsid w:val="006E437C"/>
    <w:rsid w:val="006E471D"/>
    <w:rsid w:val="006E4760"/>
    <w:rsid w:val="006E4B23"/>
    <w:rsid w:val="006E5E47"/>
    <w:rsid w:val="006E6CD5"/>
    <w:rsid w:val="006E736B"/>
    <w:rsid w:val="006E7915"/>
    <w:rsid w:val="006F1775"/>
    <w:rsid w:val="006F21DF"/>
    <w:rsid w:val="006F22B4"/>
    <w:rsid w:val="006F37F6"/>
    <w:rsid w:val="006F453E"/>
    <w:rsid w:val="006F5759"/>
    <w:rsid w:val="006F5A07"/>
    <w:rsid w:val="006F5B3E"/>
    <w:rsid w:val="006F6BA4"/>
    <w:rsid w:val="006F7FC3"/>
    <w:rsid w:val="0070125B"/>
    <w:rsid w:val="0070154F"/>
    <w:rsid w:val="007017D0"/>
    <w:rsid w:val="00701BA5"/>
    <w:rsid w:val="00704820"/>
    <w:rsid w:val="00705B58"/>
    <w:rsid w:val="00705FD1"/>
    <w:rsid w:val="0071018D"/>
    <w:rsid w:val="00710221"/>
    <w:rsid w:val="007115CF"/>
    <w:rsid w:val="00711643"/>
    <w:rsid w:val="00713B15"/>
    <w:rsid w:val="00713B1F"/>
    <w:rsid w:val="007141D0"/>
    <w:rsid w:val="0071475A"/>
    <w:rsid w:val="007148D1"/>
    <w:rsid w:val="00714A05"/>
    <w:rsid w:val="00715E70"/>
    <w:rsid w:val="0071655A"/>
    <w:rsid w:val="0071695D"/>
    <w:rsid w:val="00716CC1"/>
    <w:rsid w:val="00720F38"/>
    <w:rsid w:val="00721D3C"/>
    <w:rsid w:val="00721ECB"/>
    <w:rsid w:val="007229DE"/>
    <w:rsid w:val="00722B44"/>
    <w:rsid w:val="00722C6D"/>
    <w:rsid w:val="00722D39"/>
    <w:rsid w:val="00723857"/>
    <w:rsid w:val="00723AA7"/>
    <w:rsid w:val="00724BD6"/>
    <w:rsid w:val="007251B2"/>
    <w:rsid w:val="0072575D"/>
    <w:rsid w:val="007273C5"/>
    <w:rsid w:val="00727695"/>
    <w:rsid w:val="00727D4F"/>
    <w:rsid w:val="00730C6C"/>
    <w:rsid w:val="007323BE"/>
    <w:rsid w:val="0073255F"/>
    <w:rsid w:val="0073274E"/>
    <w:rsid w:val="007335DB"/>
    <w:rsid w:val="0073384E"/>
    <w:rsid w:val="0073499B"/>
    <w:rsid w:val="007355ED"/>
    <w:rsid w:val="007365F0"/>
    <w:rsid w:val="00736977"/>
    <w:rsid w:val="00737307"/>
    <w:rsid w:val="00737C7A"/>
    <w:rsid w:val="00740015"/>
    <w:rsid w:val="0074049E"/>
    <w:rsid w:val="00740B05"/>
    <w:rsid w:val="00741AF0"/>
    <w:rsid w:val="00742860"/>
    <w:rsid w:val="0074408D"/>
    <w:rsid w:val="007447A5"/>
    <w:rsid w:val="007455C8"/>
    <w:rsid w:val="00745C76"/>
    <w:rsid w:val="00745DEE"/>
    <w:rsid w:val="0074667D"/>
    <w:rsid w:val="0074697F"/>
    <w:rsid w:val="007469D3"/>
    <w:rsid w:val="00747DC1"/>
    <w:rsid w:val="00747E7D"/>
    <w:rsid w:val="007507CF"/>
    <w:rsid w:val="00751DDE"/>
    <w:rsid w:val="007523B9"/>
    <w:rsid w:val="00752749"/>
    <w:rsid w:val="00753B60"/>
    <w:rsid w:val="007542C5"/>
    <w:rsid w:val="0075437C"/>
    <w:rsid w:val="00754686"/>
    <w:rsid w:val="007546CD"/>
    <w:rsid w:val="00754F5E"/>
    <w:rsid w:val="007550FE"/>
    <w:rsid w:val="00755721"/>
    <w:rsid w:val="00755CE8"/>
    <w:rsid w:val="00756C7E"/>
    <w:rsid w:val="00757755"/>
    <w:rsid w:val="007604FB"/>
    <w:rsid w:val="007615EF"/>
    <w:rsid w:val="00761B67"/>
    <w:rsid w:val="00763440"/>
    <w:rsid w:val="0076352C"/>
    <w:rsid w:val="00763A24"/>
    <w:rsid w:val="00763A72"/>
    <w:rsid w:val="00764005"/>
    <w:rsid w:val="00764085"/>
    <w:rsid w:val="0076426C"/>
    <w:rsid w:val="00767B35"/>
    <w:rsid w:val="00767DCD"/>
    <w:rsid w:val="007709C0"/>
    <w:rsid w:val="00770D17"/>
    <w:rsid w:val="00771293"/>
    <w:rsid w:val="00771628"/>
    <w:rsid w:val="00771A5F"/>
    <w:rsid w:val="00771BA2"/>
    <w:rsid w:val="00771DA3"/>
    <w:rsid w:val="00771EA2"/>
    <w:rsid w:val="00772D14"/>
    <w:rsid w:val="0077354E"/>
    <w:rsid w:val="00773F60"/>
    <w:rsid w:val="007741CD"/>
    <w:rsid w:val="0077429A"/>
    <w:rsid w:val="0077524C"/>
    <w:rsid w:val="00776715"/>
    <w:rsid w:val="007769F4"/>
    <w:rsid w:val="0077768C"/>
    <w:rsid w:val="0078006D"/>
    <w:rsid w:val="0078014D"/>
    <w:rsid w:val="00780869"/>
    <w:rsid w:val="00780CCE"/>
    <w:rsid w:val="00781B0F"/>
    <w:rsid w:val="00781EF3"/>
    <w:rsid w:val="00781F85"/>
    <w:rsid w:val="007838FC"/>
    <w:rsid w:val="00784124"/>
    <w:rsid w:val="00784656"/>
    <w:rsid w:val="00785BF3"/>
    <w:rsid w:val="0078684A"/>
    <w:rsid w:val="007900FE"/>
    <w:rsid w:val="00792302"/>
    <w:rsid w:val="007927E7"/>
    <w:rsid w:val="00792AA5"/>
    <w:rsid w:val="0079367B"/>
    <w:rsid w:val="00793EF6"/>
    <w:rsid w:val="00794924"/>
    <w:rsid w:val="00794CA6"/>
    <w:rsid w:val="00794E88"/>
    <w:rsid w:val="00795DD9"/>
    <w:rsid w:val="007971B7"/>
    <w:rsid w:val="007976FB"/>
    <w:rsid w:val="007A0946"/>
    <w:rsid w:val="007A127B"/>
    <w:rsid w:val="007A1D72"/>
    <w:rsid w:val="007A21C9"/>
    <w:rsid w:val="007A26FC"/>
    <w:rsid w:val="007A27C0"/>
    <w:rsid w:val="007A4182"/>
    <w:rsid w:val="007A41E1"/>
    <w:rsid w:val="007A5158"/>
    <w:rsid w:val="007A5201"/>
    <w:rsid w:val="007A5774"/>
    <w:rsid w:val="007A6735"/>
    <w:rsid w:val="007A68F1"/>
    <w:rsid w:val="007A7185"/>
    <w:rsid w:val="007A7788"/>
    <w:rsid w:val="007A7C4D"/>
    <w:rsid w:val="007B0214"/>
    <w:rsid w:val="007B130C"/>
    <w:rsid w:val="007B1B5B"/>
    <w:rsid w:val="007B1BAB"/>
    <w:rsid w:val="007B1CD2"/>
    <w:rsid w:val="007B2DB4"/>
    <w:rsid w:val="007B2F45"/>
    <w:rsid w:val="007B361F"/>
    <w:rsid w:val="007B4EDE"/>
    <w:rsid w:val="007B70C3"/>
    <w:rsid w:val="007B75D5"/>
    <w:rsid w:val="007B773F"/>
    <w:rsid w:val="007B7D6F"/>
    <w:rsid w:val="007C0323"/>
    <w:rsid w:val="007C0459"/>
    <w:rsid w:val="007C04BC"/>
    <w:rsid w:val="007C285A"/>
    <w:rsid w:val="007C3562"/>
    <w:rsid w:val="007C359F"/>
    <w:rsid w:val="007C3F2A"/>
    <w:rsid w:val="007C3F4B"/>
    <w:rsid w:val="007C4164"/>
    <w:rsid w:val="007C4426"/>
    <w:rsid w:val="007C4F86"/>
    <w:rsid w:val="007C52EA"/>
    <w:rsid w:val="007C5BDF"/>
    <w:rsid w:val="007C6F61"/>
    <w:rsid w:val="007C798B"/>
    <w:rsid w:val="007D05E5"/>
    <w:rsid w:val="007D0FAC"/>
    <w:rsid w:val="007D1168"/>
    <w:rsid w:val="007D1CD7"/>
    <w:rsid w:val="007D1DF1"/>
    <w:rsid w:val="007D1FEE"/>
    <w:rsid w:val="007D20DA"/>
    <w:rsid w:val="007D2FD3"/>
    <w:rsid w:val="007D3E26"/>
    <w:rsid w:val="007D4408"/>
    <w:rsid w:val="007D4C7D"/>
    <w:rsid w:val="007D642C"/>
    <w:rsid w:val="007D7C6D"/>
    <w:rsid w:val="007E05AE"/>
    <w:rsid w:val="007E0641"/>
    <w:rsid w:val="007E06CE"/>
    <w:rsid w:val="007E07F2"/>
    <w:rsid w:val="007E167D"/>
    <w:rsid w:val="007E1889"/>
    <w:rsid w:val="007E1E2C"/>
    <w:rsid w:val="007E39CD"/>
    <w:rsid w:val="007E4F78"/>
    <w:rsid w:val="007E543C"/>
    <w:rsid w:val="007E5C7A"/>
    <w:rsid w:val="007E5E39"/>
    <w:rsid w:val="007E5E79"/>
    <w:rsid w:val="007E5F69"/>
    <w:rsid w:val="007E62E4"/>
    <w:rsid w:val="007E6EA8"/>
    <w:rsid w:val="007F0040"/>
    <w:rsid w:val="007F03F4"/>
    <w:rsid w:val="007F0C1B"/>
    <w:rsid w:val="007F2B15"/>
    <w:rsid w:val="007F2E3D"/>
    <w:rsid w:val="007F40B6"/>
    <w:rsid w:val="007F452E"/>
    <w:rsid w:val="007F4693"/>
    <w:rsid w:val="007F4D6C"/>
    <w:rsid w:val="007F4DE0"/>
    <w:rsid w:val="007F5766"/>
    <w:rsid w:val="007F5E0C"/>
    <w:rsid w:val="007F6734"/>
    <w:rsid w:val="007F67A4"/>
    <w:rsid w:val="007F6A71"/>
    <w:rsid w:val="007F7A1B"/>
    <w:rsid w:val="007F7F4F"/>
    <w:rsid w:val="008002AC"/>
    <w:rsid w:val="00801475"/>
    <w:rsid w:val="00801612"/>
    <w:rsid w:val="00802911"/>
    <w:rsid w:val="00802A8E"/>
    <w:rsid w:val="00804EE8"/>
    <w:rsid w:val="008051E8"/>
    <w:rsid w:val="00805A06"/>
    <w:rsid w:val="00805FEB"/>
    <w:rsid w:val="00806091"/>
    <w:rsid w:val="008063C5"/>
    <w:rsid w:val="00806654"/>
    <w:rsid w:val="008066D8"/>
    <w:rsid w:val="00806F52"/>
    <w:rsid w:val="008073AD"/>
    <w:rsid w:val="00807A31"/>
    <w:rsid w:val="00807F1F"/>
    <w:rsid w:val="0081099F"/>
    <w:rsid w:val="008115E4"/>
    <w:rsid w:val="008118B2"/>
    <w:rsid w:val="00812040"/>
    <w:rsid w:val="008124E6"/>
    <w:rsid w:val="00812E21"/>
    <w:rsid w:val="00813374"/>
    <w:rsid w:val="008136A3"/>
    <w:rsid w:val="008140D1"/>
    <w:rsid w:val="00814A2E"/>
    <w:rsid w:val="00814AD7"/>
    <w:rsid w:val="00814B26"/>
    <w:rsid w:val="00815897"/>
    <w:rsid w:val="00815F0A"/>
    <w:rsid w:val="00816752"/>
    <w:rsid w:val="00817191"/>
    <w:rsid w:val="00817CC9"/>
    <w:rsid w:val="00817D58"/>
    <w:rsid w:val="008201A2"/>
    <w:rsid w:val="008204D1"/>
    <w:rsid w:val="0082072D"/>
    <w:rsid w:val="0082081D"/>
    <w:rsid w:val="00820F5A"/>
    <w:rsid w:val="008217AF"/>
    <w:rsid w:val="008228F2"/>
    <w:rsid w:val="00822D67"/>
    <w:rsid w:val="00824092"/>
    <w:rsid w:val="00824CA2"/>
    <w:rsid w:val="008254D6"/>
    <w:rsid w:val="00826C9F"/>
    <w:rsid w:val="008275BB"/>
    <w:rsid w:val="00827796"/>
    <w:rsid w:val="00827CA0"/>
    <w:rsid w:val="00827EE3"/>
    <w:rsid w:val="00830143"/>
    <w:rsid w:val="00830720"/>
    <w:rsid w:val="00830881"/>
    <w:rsid w:val="0083108D"/>
    <w:rsid w:val="008311E8"/>
    <w:rsid w:val="008314F9"/>
    <w:rsid w:val="0083198D"/>
    <w:rsid w:val="00833CAA"/>
    <w:rsid w:val="0083432A"/>
    <w:rsid w:val="00835326"/>
    <w:rsid w:val="008353C5"/>
    <w:rsid w:val="008367B9"/>
    <w:rsid w:val="00836AC6"/>
    <w:rsid w:val="00836E15"/>
    <w:rsid w:val="00842F85"/>
    <w:rsid w:val="008431C6"/>
    <w:rsid w:val="008433BB"/>
    <w:rsid w:val="0084589D"/>
    <w:rsid w:val="00845BB4"/>
    <w:rsid w:val="008462EA"/>
    <w:rsid w:val="00846FD1"/>
    <w:rsid w:val="0084747B"/>
    <w:rsid w:val="00847C0F"/>
    <w:rsid w:val="00847F2D"/>
    <w:rsid w:val="008508B0"/>
    <w:rsid w:val="00850CDE"/>
    <w:rsid w:val="00851009"/>
    <w:rsid w:val="008512D0"/>
    <w:rsid w:val="00851DA3"/>
    <w:rsid w:val="00851EC3"/>
    <w:rsid w:val="00851EFD"/>
    <w:rsid w:val="00852749"/>
    <w:rsid w:val="00854127"/>
    <w:rsid w:val="008541BD"/>
    <w:rsid w:val="008545CF"/>
    <w:rsid w:val="00854CE0"/>
    <w:rsid w:val="00855467"/>
    <w:rsid w:val="008558F4"/>
    <w:rsid w:val="00855C82"/>
    <w:rsid w:val="008569D1"/>
    <w:rsid w:val="00857C40"/>
    <w:rsid w:val="00857D66"/>
    <w:rsid w:val="008604B3"/>
    <w:rsid w:val="0086065E"/>
    <w:rsid w:val="00860D44"/>
    <w:rsid w:val="00861777"/>
    <w:rsid w:val="008618BC"/>
    <w:rsid w:val="008625CF"/>
    <w:rsid w:val="008631A9"/>
    <w:rsid w:val="00863B1E"/>
    <w:rsid w:val="008644AA"/>
    <w:rsid w:val="00870412"/>
    <w:rsid w:val="00870EBE"/>
    <w:rsid w:val="00871286"/>
    <w:rsid w:val="0087150C"/>
    <w:rsid w:val="008726C1"/>
    <w:rsid w:val="0087317F"/>
    <w:rsid w:val="00873244"/>
    <w:rsid w:val="00873488"/>
    <w:rsid w:val="00873586"/>
    <w:rsid w:val="00873B3D"/>
    <w:rsid w:val="008746CF"/>
    <w:rsid w:val="008747AD"/>
    <w:rsid w:val="00874831"/>
    <w:rsid w:val="00874861"/>
    <w:rsid w:val="00874E4B"/>
    <w:rsid w:val="00876C60"/>
    <w:rsid w:val="008771F7"/>
    <w:rsid w:val="00877736"/>
    <w:rsid w:val="00880506"/>
    <w:rsid w:val="0088114A"/>
    <w:rsid w:val="00881758"/>
    <w:rsid w:val="0088237B"/>
    <w:rsid w:val="00882739"/>
    <w:rsid w:val="00882863"/>
    <w:rsid w:val="00882DFA"/>
    <w:rsid w:val="0088455D"/>
    <w:rsid w:val="008854F6"/>
    <w:rsid w:val="0088566E"/>
    <w:rsid w:val="00887615"/>
    <w:rsid w:val="00890576"/>
    <w:rsid w:val="00890A11"/>
    <w:rsid w:val="008917C1"/>
    <w:rsid w:val="008919D8"/>
    <w:rsid w:val="00891C32"/>
    <w:rsid w:val="00891D81"/>
    <w:rsid w:val="00892F7A"/>
    <w:rsid w:val="0089332E"/>
    <w:rsid w:val="00893463"/>
    <w:rsid w:val="00893902"/>
    <w:rsid w:val="0089431F"/>
    <w:rsid w:val="00894DCB"/>
    <w:rsid w:val="00894FBE"/>
    <w:rsid w:val="00895B32"/>
    <w:rsid w:val="00896169"/>
    <w:rsid w:val="00896671"/>
    <w:rsid w:val="00897794"/>
    <w:rsid w:val="008A01F2"/>
    <w:rsid w:val="008A040A"/>
    <w:rsid w:val="008A059F"/>
    <w:rsid w:val="008A08FF"/>
    <w:rsid w:val="008A0B95"/>
    <w:rsid w:val="008A1712"/>
    <w:rsid w:val="008A1CF2"/>
    <w:rsid w:val="008A2622"/>
    <w:rsid w:val="008A2CAD"/>
    <w:rsid w:val="008A3788"/>
    <w:rsid w:val="008A4912"/>
    <w:rsid w:val="008A5076"/>
    <w:rsid w:val="008A5662"/>
    <w:rsid w:val="008A599D"/>
    <w:rsid w:val="008A5FF2"/>
    <w:rsid w:val="008A6928"/>
    <w:rsid w:val="008A6976"/>
    <w:rsid w:val="008A6CBE"/>
    <w:rsid w:val="008A7EE8"/>
    <w:rsid w:val="008B0DE7"/>
    <w:rsid w:val="008B1D38"/>
    <w:rsid w:val="008B280C"/>
    <w:rsid w:val="008B304A"/>
    <w:rsid w:val="008B32A3"/>
    <w:rsid w:val="008B3F1E"/>
    <w:rsid w:val="008B3FF9"/>
    <w:rsid w:val="008B4641"/>
    <w:rsid w:val="008B4D28"/>
    <w:rsid w:val="008B5D25"/>
    <w:rsid w:val="008B6294"/>
    <w:rsid w:val="008B66EC"/>
    <w:rsid w:val="008B6D7A"/>
    <w:rsid w:val="008C0197"/>
    <w:rsid w:val="008C07D0"/>
    <w:rsid w:val="008C0B7B"/>
    <w:rsid w:val="008C0BCA"/>
    <w:rsid w:val="008C1FAE"/>
    <w:rsid w:val="008C2336"/>
    <w:rsid w:val="008C26A4"/>
    <w:rsid w:val="008C29B2"/>
    <w:rsid w:val="008C34A9"/>
    <w:rsid w:val="008C466B"/>
    <w:rsid w:val="008C5F6D"/>
    <w:rsid w:val="008C6044"/>
    <w:rsid w:val="008C69AD"/>
    <w:rsid w:val="008C69BC"/>
    <w:rsid w:val="008C741E"/>
    <w:rsid w:val="008D081C"/>
    <w:rsid w:val="008D08A4"/>
    <w:rsid w:val="008D0F5E"/>
    <w:rsid w:val="008D17DD"/>
    <w:rsid w:val="008D1D11"/>
    <w:rsid w:val="008D479D"/>
    <w:rsid w:val="008D5278"/>
    <w:rsid w:val="008D556A"/>
    <w:rsid w:val="008D5696"/>
    <w:rsid w:val="008D619E"/>
    <w:rsid w:val="008D6BAE"/>
    <w:rsid w:val="008E0D8F"/>
    <w:rsid w:val="008E128C"/>
    <w:rsid w:val="008E1C9B"/>
    <w:rsid w:val="008E3B40"/>
    <w:rsid w:val="008E55CE"/>
    <w:rsid w:val="008E582E"/>
    <w:rsid w:val="008E5B5E"/>
    <w:rsid w:val="008E5CC0"/>
    <w:rsid w:val="008E601C"/>
    <w:rsid w:val="008E626D"/>
    <w:rsid w:val="008E6D20"/>
    <w:rsid w:val="008E7CA7"/>
    <w:rsid w:val="008F156B"/>
    <w:rsid w:val="008F191F"/>
    <w:rsid w:val="008F2F0A"/>
    <w:rsid w:val="008F451D"/>
    <w:rsid w:val="008F55C0"/>
    <w:rsid w:val="008F5751"/>
    <w:rsid w:val="008F5B0A"/>
    <w:rsid w:val="008F5EA9"/>
    <w:rsid w:val="008F7C2F"/>
    <w:rsid w:val="00900130"/>
    <w:rsid w:val="00901034"/>
    <w:rsid w:val="00901911"/>
    <w:rsid w:val="009024D7"/>
    <w:rsid w:val="00902520"/>
    <w:rsid w:val="0090254C"/>
    <w:rsid w:val="00902D20"/>
    <w:rsid w:val="0090353E"/>
    <w:rsid w:val="009038F1"/>
    <w:rsid w:val="0090392D"/>
    <w:rsid w:val="00904D25"/>
    <w:rsid w:val="00904E04"/>
    <w:rsid w:val="00906450"/>
    <w:rsid w:val="009067E6"/>
    <w:rsid w:val="0090683B"/>
    <w:rsid w:val="009076C9"/>
    <w:rsid w:val="00907B80"/>
    <w:rsid w:val="00910CA5"/>
    <w:rsid w:val="00911060"/>
    <w:rsid w:val="00911600"/>
    <w:rsid w:val="00912854"/>
    <w:rsid w:val="0091461A"/>
    <w:rsid w:val="00915CE8"/>
    <w:rsid w:val="00916EA1"/>
    <w:rsid w:val="00916F91"/>
    <w:rsid w:val="00917CA5"/>
    <w:rsid w:val="00920A83"/>
    <w:rsid w:val="009211E9"/>
    <w:rsid w:val="00922085"/>
    <w:rsid w:val="0092319C"/>
    <w:rsid w:val="00923573"/>
    <w:rsid w:val="00923DBC"/>
    <w:rsid w:val="00924D5F"/>
    <w:rsid w:val="00925380"/>
    <w:rsid w:val="0092582C"/>
    <w:rsid w:val="00925B41"/>
    <w:rsid w:val="00925F6E"/>
    <w:rsid w:val="00926535"/>
    <w:rsid w:val="00926FCA"/>
    <w:rsid w:val="00927160"/>
    <w:rsid w:val="00927A54"/>
    <w:rsid w:val="00930568"/>
    <w:rsid w:val="0093094E"/>
    <w:rsid w:val="00931BB4"/>
    <w:rsid w:val="00932284"/>
    <w:rsid w:val="00933AF5"/>
    <w:rsid w:val="009340F4"/>
    <w:rsid w:val="00934291"/>
    <w:rsid w:val="00935AF5"/>
    <w:rsid w:val="00935B3A"/>
    <w:rsid w:val="00935EDE"/>
    <w:rsid w:val="00940C05"/>
    <w:rsid w:val="00943C7C"/>
    <w:rsid w:val="00944CB1"/>
    <w:rsid w:val="00944D93"/>
    <w:rsid w:val="00945B2A"/>
    <w:rsid w:val="00945B4F"/>
    <w:rsid w:val="00945CD7"/>
    <w:rsid w:val="00947CCD"/>
    <w:rsid w:val="00951737"/>
    <w:rsid w:val="009518B9"/>
    <w:rsid w:val="00952047"/>
    <w:rsid w:val="0095238C"/>
    <w:rsid w:val="00953021"/>
    <w:rsid w:val="009539D5"/>
    <w:rsid w:val="00954802"/>
    <w:rsid w:val="00954D23"/>
    <w:rsid w:val="00954E10"/>
    <w:rsid w:val="00955131"/>
    <w:rsid w:val="0095513A"/>
    <w:rsid w:val="00955DC9"/>
    <w:rsid w:val="00956987"/>
    <w:rsid w:val="00956C0F"/>
    <w:rsid w:val="00957CE3"/>
    <w:rsid w:val="009615C0"/>
    <w:rsid w:val="009619FB"/>
    <w:rsid w:val="00961F6F"/>
    <w:rsid w:val="009629F7"/>
    <w:rsid w:val="00963200"/>
    <w:rsid w:val="009634A8"/>
    <w:rsid w:val="00963865"/>
    <w:rsid w:val="009647DE"/>
    <w:rsid w:val="00965BE5"/>
    <w:rsid w:val="00965D6D"/>
    <w:rsid w:val="0096721E"/>
    <w:rsid w:val="00967499"/>
    <w:rsid w:val="009678C6"/>
    <w:rsid w:val="009678CB"/>
    <w:rsid w:val="00967A83"/>
    <w:rsid w:val="009700F7"/>
    <w:rsid w:val="00970D15"/>
    <w:rsid w:val="009717E4"/>
    <w:rsid w:val="00971861"/>
    <w:rsid w:val="00972C4F"/>
    <w:rsid w:val="00972FF8"/>
    <w:rsid w:val="00973322"/>
    <w:rsid w:val="00973B22"/>
    <w:rsid w:val="00974B5C"/>
    <w:rsid w:val="009763A2"/>
    <w:rsid w:val="009768B0"/>
    <w:rsid w:val="00980C1A"/>
    <w:rsid w:val="0098119B"/>
    <w:rsid w:val="0098352A"/>
    <w:rsid w:val="00983D97"/>
    <w:rsid w:val="0098535F"/>
    <w:rsid w:val="00985785"/>
    <w:rsid w:val="0098653C"/>
    <w:rsid w:val="009865D9"/>
    <w:rsid w:val="00986D20"/>
    <w:rsid w:val="00986D76"/>
    <w:rsid w:val="00987FCC"/>
    <w:rsid w:val="0099002E"/>
    <w:rsid w:val="00990FCB"/>
    <w:rsid w:val="00992ADB"/>
    <w:rsid w:val="009937FC"/>
    <w:rsid w:val="00995784"/>
    <w:rsid w:val="009957F2"/>
    <w:rsid w:val="0099634D"/>
    <w:rsid w:val="00997714"/>
    <w:rsid w:val="009A0F2E"/>
    <w:rsid w:val="009A23D1"/>
    <w:rsid w:val="009A2623"/>
    <w:rsid w:val="009A26B4"/>
    <w:rsid w:val="009A2CA5"/>
    <w:rsid w:val="009A36C9"/>
    <w:rsid w:val="009A3DD0"/>
    <w:rsid w:val="009A3F4F"/>
    <w:rsid w:val="009A41E9"/>
    <w:rsid w:val="009A4CB1"/>
    <w:rsid w:val="009A5014"/>
    <w:rsid w:val="009A58D9"/>
    <w:rsid w:val="009A66B4"/>
    <w:rsid w:val="009A6F18"/>
    <w:rsid w:val="009A7031"/>
    <w:rsid w:val="009B0EBD"/>
    <w:rsid w:val="009B1893"/>
    <w:rsid w:val="009B24A4"/>
    <w:rsid w:val="009B2621"/>
    <w:rsid w:val="009B34E3"/>
    <w:rsid w:val="009B38A3"/>
    <w:rsid w:val="009B44FE"/>
    <w:rsid w:val="009B50F1"/>
    <w:rsid w:val="009B5107"/>
    <w:rsid w:val="009B6D2B"/>
    <w:rsid w:val="009C0007"/>
    <w:rsid w:val="009C0924"/>
    <w:rsid w:val="009C19DC"/>
    <w:rsid w:val="009C2A4C"/>
    <w:rsid w:val="009C2CB0"/>
    <w:rsid w:val="009C3B75"/>
    <w:rsid w:val="009C3E28"/>
    <w:rsid w:val="009C4064"/>
    <w:rsid w:val="009C434F"/>
    <w:rsid w:val="009C43F3"/>
    <w:rsid w:val="009C4AC7"/>
    <w:rsid w:val="009C4CE2"/>
    <w:rsid w:val="009C4FC4"/>
    <w:rsid w:val="009C6373"/>
    <w:rsid w:val="009C7251"/>
    <w:rsid w:val="009C7D4B"/>
    <w:rsid w:val="009D037F"/>
    <w:rsid w:val="009D076A"/>
    <w:rsid w:val="009D108B"/>
    <w:rsid w:val="009D194F"/>
    <w:rsid w:val="009D1F58"/>
    <w:rsid w:val="009D24BE"/>
    <w:rsid w:val="009D2930"/>
    <w:rsid w:val="009D2AE5"/>
    <w:rsid w:val="009D2CF3"/>
    <w:rsid w:val="009D37F9"/>
    <w:rsid w:val="009D3921"/>
    <w:rsid w:val="009D3AE8"/>
    <w:rsid w:val="009D3CBC"/>
    <w:rsid w:val="009D47EF"/>
    <w:rsid w:val="009D4AD8"/>
    <w:rsid w:val="009D4B56"/>
    <w:rsid w:val="009D4C64"/>
    <w:rsid w:val="009D5C59"/>
    <w:rsid w:val="009D6620"/>
    <w:rsid w:val="009D6C33"/>
    <w:rsid w:val="009D7108"/>
    <w:rsid w:val="009D7273"/>
    <w:rsid w:val="009D773E"/>
    <w:rsid w:val="009D7C39"/>
    <w:rsid w:val="009E0981"/>
    <w:rsid w:val="009E0D44"/>
    <w:rsid w:val="009E114C"/>
    <w:rsid w:val="009E1D97"/>
    <w:rsid w:val="009E230A"/>
    <w:rsid w:val="009E30CC"/>
    <w:rsid w:val="009E3C16"/>
    <w:rsid w:val="009E4D7C"/>
    <w:rsid w:val="009E4DD0"/>
    <w:rsid w:val="009E5F04"/>
    <w:rsid w:val="009E7B97"/>
    <w:rsid w:val="009F00F6"/>
    <w:rsid w:val="009F09F3"/>
    <w:rsid w:val="009F0C4E"/>
    <w:rsid w:val="009F0E84"/>
    <w:rsid w:val="009F130C"/>
    <w:rsid w:val="009F2D54"/>
    <w:rsid w:val="009F2F92"/>
    <w:rsid w:val="009F3395"/>
    <w:rsid w:val="009F4163"/>
    <w:rsid w:val="009F50DD"/>
    <w:rsid w:val="009F6DDF"/>
    <w:rsid w:val="009F70B8"/>
    <w:rsid w:val="009F7CF5"/>
    <w:rsid w:val="00A009B3"/>
    <w:rsid w:val="00A00C92"/>
    <w:rsid w:val="00A02691"/>
    <w:rsid w:val="00A03272"/>
    <w:rsid w:val="00A06AAB"/>
    <w:rsid w:val="00A07553"/>
    <w:rsid w:val="00A0758E"/>
    <w:rsid w:val="00A0783C"/>
    <w:rsid w:val="00A078F5"/>
    <w:rsid w:val="00A07E1C"/>
    <w:rsid w:val="00A11238"/>
    <w:rsid w:val="00A11F67"/>
    <w:rsid w:val="00A11FCC"/>
    <w:rsid w:val="00A12825"/>
    <w:rsid w:val="00A12B21"/>
    <w:rsid w:val="00A12E36"/>
    <w:rsid w:val="00A13146"/>
    <w:rsid w:val="00A132BF"/>
    <w:rsid w:val="00A13B08"/>
    <w:rsid w:val="00A1481C"/>
    <w:rsid w:val="00A14FA1"/>
    <w:rsid w:val="00A15384"/>
    <w:rsid w:val="00A157A3"/>
    <w:rsid w:val="00A16207"/>
    <w:rsid w:val="00A163EA"/>
    <w:rsid w:val="00A1667D"/>
    <w:rsid w:val="00A16E2A"/>
    <w:rsid w:val="00A16F5C"/>
    <w:rsid w:val="00A174BA"/>
    <w:rsid w:val="00A174EE"/>
    <w:rsid w:val="00A17AD1"/>
    <w:rsid w:val="00A17E5E"/>
    <w:rsid w:val="00A200BF"/>
    <w:rsid w:val="00A202E6"/>
    <w:rsid w:val="00A2039D"/>
    <w:rsid w:val="00A20D9D"/>
    <w:rsid w:val="00A20EE7"/>
    <w:rsid w:val="00A2144C"/>
    <w:rsid w:val="00A21F65"/>
    <w:rsid w:val="00A2227D"/>
    <w:rsid w:val="00A2279E"/>
    <w:rsid w:val="00A23769"/>
    <w:rsid w:val="00A24EAE"/>
    <w:rsid w:val="00A25699"/>
    <w:rsid w:val="00A25723"/>
    <w:rsid w:val="00A25A39"/>
    <w:rsid w:val="00A25A8C"/>
    <w:rsid w:val="00A27BCB"/>
    <w:rsid w:val="00A304D0"/>
    <w:rsid w:val="00A30D97"/>
    <w:rsid w:val="00A30ED2"/>
    <w:rsid w:val="00A333A6"/>
    <w:rsid w:val="00A33719"/>
    <w:rsid w:val="00A345A7"/>
    <w:rsid w:val="00A34D0F"/>
    <w:rsid w:val="00A35B59"/>
    <w:rsid w:val="00A368B3"/>
    <w:rsid w:val="00A36E07"/>
    <w:rsid w:val="00A371EB"/>
    <w:rsid w:val="00A37219"/>
    <w:rsid w:val="00A37D42"/>
    <w:rsid w:val="00A40544"/>
    <w:rsid w:val="00A4170D"/>
    <w:rsid w:val="00A41E6F"/>
    <w:rsid w:val="00A425C1"/>
    <w:rsid w:val="00A431C0"/>
    <w:rsid w:val="00A43902"/>
    <w:rsid w:val="00A4422F"/>
    <w:rsid w:val="00A4426D"/>
    <w:rsid w:val="00A44B7E"/>
    <w:rsid w:val="00A44FDF"/>
    <w:rsid w:val="00A450A8"/>
    <w:rsid w:val="00A479D5"/>
    <w:rsid w:val="00A51227"/>
    <w:rsid w:val="00A517BD"/>
    <w:rsid w:val="00A52410"/>
    <w:rsid w:val="00A5330A"/>
    <w:rsid w:val="00A533C0"/>
    <w:rsid w:val="00A53BE0"/>
    <w:rsid w:val="00A55075"/>
    <w:rsid w:val="00A55120"/>
    <w:rsid w:val="00A55398"/>
    <w:rsid w:val="00A553A4"/>
    <w:rsid w:val="00A56520"/>
    <w:rsid w:val="00A567CB"/>
    <w:rsid w:val="00A6117A"/>
    <w:rsid w:val="00A6177D"/>
    <w:rsid w:val="00A61C04"/>
    <w:rsid w:val="00A6310C"/>
    <w:rsid w:val="00A63A13"/>
    <w:rsid w:val="00A643F8"/>
    <w:rsid w:val="00A65DD1"/>
    <w:rsid w:val="00A663EC"/>
    <w:rsid w:val="00A66E0B"/>
    <w:rsid w:val="00A6760C"/>
    <w:rsid w:val="00A70557"/>
    <w:rsid w:val="00A70C31"/>
    <w:rsid w:val="00A7104B"/>
    <w:rsid w:val="00A712CE"/>
    <w:rsid w:val="00A71DB5"/>
    <w:rsid w:val="00A729A6"/>
    <w:rsid w:val="00A7346F"/>
    <w:rsid w:val="00A74A86"/>
    <w:rsid w:val="00A74C39"/>
    <w:rsid w:val="00A75615"/>
    <w:rsid w:val="00A75C0F"/>
    <w:rsid w:val="00A760F3"/>
    <w:rsid w:val="00A7624A"/>
    <w:rsid w:val="00A776C2"/>
    <w:rsid w:val="00A776D1"/>
    <w:rsid w:val="00A77E09"/>
    <w:rsid w:val="00A816AF"/>
    <w:rsid w:val="00A81720"/>
    <w:rsid w:val="00A818E4"/>
    <w:rsid w:val="00A8243B"/>
    <w:rsid w:val="00A82B19"/>
    <w:rsid w:val="00A83C04"/>
    <w:rsid w:val="00A83ED1"/>
    <w:rsid w:val="00A84DE6"/>
    <w:rsid w:val="00A87111"/>
    <w:rsid w:val="00A87CA6"/>
    <w:rsid w:val="00A9066E"/>
    <w:rsid w:val="00A90D15"/>
    <w:rsid w:val="00A90F3D"/>
    <w:rsid w:val="00A920A7"/>
    <w:rsid w:val="00A92878"/>
    <w:rsid w:val="00A929A2"/>
    <w:rsid w:val="00A92FE9"/>
    <w:rsid w:val="00A93DF7"/>
    <w:rsid w:val="00A94383"/>
    <w:rsid w:val="00A9448C"/>
    <w:rsid w:val="00A94545"/>
    <w:rsid w:val="00A95A20"/>
    <w:rsid w:val="00A96F32"/>
    <w:rsid w:val="00A9721B"/>
    <w:rsid w:val="00A97BAE"/>
    <w:rsid w:val="00AA0635"/>
    <w:rsid w:val="00AA068C"/>
    <w:rsid w:val="00AA11B7"/>
    <w:rsid w:val="00AA1412"/>
    <w:rsid w:val="00AA162D"/>
    <w:rsid w:val="00AA21C4"/>
    <w:rsid w:val="00AA2A40"/>
    <w:rsid w:val="00AA3282"/>
    <w:rsid w:val="00AA36ED"/>
    <w:rsid w:val="00AA37B5"/>
    <w:rsid w:val="00AA4737"/>
    <w:rsid w:val="00AA4899"/>
    <w:rsid w:val="00AA48B5"/>
    <w:rsid w:val="00AA5262"/>
    <w:rsid w:val="00AA57D4"/>
    <w:rsid w:val="00AA5AB7"/>
    <w:rsid w:val="00AA5BE3"/>
    <w:rsid w:val="00AA77EF"/>
    <w:rsid w:val="00AB019A"/>
    <w:rsid w:val="00AB22B2"/>
    <w:rsid w:val="00AB2877"/>
    <w:rsid w:val="00AB2F06"/>
    <w:rsid w:val="00AB315D"/>
    <w:rsid w:val="00AB3E95"/>
    <w:rsid w:val="00AB54CB"/>
    <w:rsid w:val="00AB661C"/>
    <w:rsid w:val="00AB689D"/>
    <w:rsid w:val="00AB7491"/>
    <w:rsid w:val="00AB74F9"/>
    <w:rsid w:val="00AB7519"/>
    <w:rsid w:val="00AB79CA"/>
    <w:rsid w:val="00AB7A7D"/>
    <w:rsid w:val="00AC0487"/>
    <w:rsid w:val="00AC1797"/>
    <w:rsid w:val="00AC1E7A"/>
    <w:rsid w:val="00AC2E6C"/>
    <w:rsid w:val="00AC4151"/>
    <w:rsid w:val="00AC5372"/>
    <w:rsid w:val="00AC656E"/>
    <w:rsid w:val="00AC6B32"/>
    <w:rsid w:val="00AC6CEC"/>
    <w:rsid w:val="00AC6EAD"/>
    <w:rsid w:val="00AC7C73"/>
    <w:rsid w:val="00AC7F3E"/>
    <w:rsid w:val="00AD0375"/>
    <w:rsid w:val="00AD26BD"/>
    <w:rsid w:val="00AD3A05"/>
    <w:rsid w:val="00AD3AEF"/>
    <w:rsid w:val="00AD3E0E"/>
    <w:rsid w:val="00AD50F5"/>
    <w:rsid w:val="00AD554D"/>
    <w:rsid w:val="00AD59DD"/>
    <w:rsid w:val="00AD6676"/>
    <w:rsid w:val="00AD67B3"/>
    <w:rsid w:val="00AD68C8"/>
    <w:rsid w:val="00AD6C4D"/>
    <w:rsid w:val="00AE0021"/>
    <w:rsid w:val="00AE0E2E"/>
    <w:rsid w:val="00AE1841"/>
    <w:rsid w:val="00AE2231"/>
    <w:rsid w:val="00AE2348"/>
    <w:rsid w:val="00AE24DA"/>
    <w:rsid w:val="00AE25A2"/>
    <w:rsid w:val="00AE283B"/>
    <w:rsid w:val="00AE3E0B"/>
    <w:rsid w:val="00AE4C8C"/>
    <w:rsid w:val="00AE5231"/>
    <w:rsid w:val="00AE588D"/>
    <w:rsid w:val="00AE5D50"/>
    <w:rsid w:val="00AE624F"/>
    <w:rsid w:val="00AE63E4"/>
    <w:rsid w:val="00AE7A44"/>
    <w:rsid w:val="00AE7B48"/>
    <w:rsid w:val="00AF007F"/>
    <w:rsid w:val="00AF1536"/>
    <w:rsid w:val="00AF1A4C"/>
    <w:rsid w:val="00AF2B90"/>
    <w:rsid w:val="00AF4A9F"/>
    <w:rsid w:val="00AF4BC0"/>
    <w:rsid w:val="00AF4CF2"/>
    <w:rsid w:val="00AF4F99"/>
    <w:rsid w:val="00AF501B"/>
    <w:rsid w:val="00AF56ED"/>
    <w:rsid w:val="00AF62F4"/>
    <w:rsid w:val="00AF6473"/>
    <w:rsid w:val="00AF7CBB"/>
    <w:rsid w:val="00AF7F4D"/>
    <w:rsid w:val="00B00065"/>
    <w:rsid w:val="00B01DF9"/>
    <w:rsid w:val="00B01EDB"/>
    <w:rsid w:val="00B028FA"/>
    <w:rsid w:val="00B03C25"/>
    <w:rsid w:val="00B04490"/>
    <w:rsid w:val="00B0491A"/>
    <w:rsid w:val="00B05374"/>
    <w:rsid w:val="00B05ECB"/>
    <w:rsid w:val="00B067AF"/>
    <w:rsid w:val="00B10129"/>
    <w:rsid w:val="00B1026B"/>
    <w:rsid w:val="00B10F2A"/>
    <w:rsid w:val="00B11B90"/>
    <w:rsid w:val="00B11D89"/>
    <w:rsid w:val="00B121C0"/>
    <w:rsid w:val="00B1252E"/>
    <w:rsid w:val="00B12FBB"/>
    <w:rsid w:val="00B13044"/>
    <w:rsid w:val="00B14455"/>
    <w:rsid w:val="00B14699"/>
    <w:rsid w:val="00B14D9F"/>
    <w:rsid w:val="00B14DB1"/>
    <w:rsid w:val="00B15058"/>
    <w:rsid w:val="00B156B7"/>
    <w:rsid w:val="00B1585A"/>
    <w:rsid w:val="00B15F1B"/>
    <w:rsid w:val="00B16181"/>
    <w:rsid w:val="00B16D73"/>
    <w:rsid w:val="00B17BE7"/>
    <w:rsid w:val="00B204F6"/>
    <w:rsid w:val="00B21A74"/>
    <w:rsid w:val="00B21F71"/>
    <w:rsid w:val="00B22797"/>
    <w:rsid w:val="00B22D45"/>
    <w:rsid w:val="00B232E1"/>
    <w:rsid w:val="00B238C9"/>
    <w:rsid w:val="00B248C2"/>
    <w:rsid w:val="00B27178"/>
    <w:rsid w:val="00B2717C"/>
    <w:rsid w:val="00B27414"/>
    <w:rsid w:val="00B3092D"/>
    <w:rsid w:val="00B30A4B"/>
    <w:rsid w:val="00B30B15"/>
    <w:rsid w:val="00B31853"/>
    <w:rsid w:val="00B3191E"/>
    <w:rsid w:val="00B31E1E"/>
    <w:rsid w:val="00B320A7"/>
    <w:rsid w:val="00B32204"/>
    <w:rsid w:val="00B330B8"/>
    <w:rsid w:val="00B333E1"/>
    <w:rsid w:val="00B33DB2"/>
    <w:rsid w:val="00B33F8E"/>
    <w:rsid w:val="00B3407F"/>
    <w:rsid w:val="00B345D2"/>
    <w:rsid w:val="00B35148"/>
    <w:rsid w:val="00B3569F"/>
    <w:rsid w:val="00B364AD"/>
    <w:rsid w:val="00B36740"/>
    <w:rsid w:val="00B3716B"/>
    <w:rsid w:val="00B37DE4"/>
    <w:rsid w:val="00B40765"/>
    <w:rsid w:val="00B40FE7"/>
    <w:rsid w:val="00B41E4B"/>
    <w:rsid w:val="00B4365F"/>
    <w:rsid w:val="00B44A73"/>
    <w:rsid w:val="00B46EFE"/>
    <w:rsid w:val="00B473B8"/>
    <w:rsid w:val="00B5187F"/>
    <w:rsid w:val="00B52206"/>
    <w:rsid w:val="00B53D03"/>
    <w:rsid w:val="00B55359"/>
    <w:rsid w:val="00B557E1"/>
    <w:rsid w:val="00B558D1"/>
    <w:rsid w:val="00B56207"/>
    <w:rsid w:val="00B56D7A"/>
    <w:rsid w:val="00B61369"/>
    <w:rsid w:val="00B64716"/>
    <w:rsid w:val="00B649ED"/>
    <w:rsid w:val="00B64E56"/>
    <w:rsid w:val="00B64FA6"/>
    <w:rsid w:val="00B65CF4"/>
    <w:rsid w:val="00B66B9F"/>
    <w:rsid w:val="00B66C2B"/>
    <w:rsid w:val="00B70728"/>
    <w:rsid w:val="00B70A6C"/>
    <w:rsid w:val="00B712BB"/>
    <w:rsid w:val="00B7175B"/>
    <w:rsid w:val="00B718C5"/>
    <w:rsid w:val="00B71ECC"/>
    <w:rsid w:val="00B72CBC"/>
    <w:rsid w:val="00B730D5"/>
    <w:rsid w:val="00B73A1A"/>
    <w:rsid w:val="00B73D09"/>
    <w:rsid w:val="00B7416C"/>
    <w:rsid w:val="00B74604"/>
    <w:rsid w:val="00B757BB"/>
    <w:rsid w:val="00B75904"/>
    <w:rsid w:val="00B760E3"/>
    <w:rsid w:val="00B76FFC"/>
    <w:rsid w:val="00B7782C"/>
    <w:rsid w:val="00B80280"/>
    <w:rsid w:val="00B80B44"/>
    <w:rsid w:val="00B810A1"/>
    <w:rsid w:val="00B81F41"/>
    <w:rsid w:val="00B81FED"/>
    <w:rsid w:val="00B82263"/>
    <w:rsid w:val="00B829A2"/>
    <w:rsid w:val="00B82BD0"/>
    <w:rsid w:val="00B82C93"/>
    <w:rsid w:val="00B82F8E"/>
    <w:rsid w:val="00B84396"/>
    <w:rsid w:val="00B845A2"/>
    <w:rsid w:val="00B84611"/>
    <w:rsid w:val="00B84E0E"/>
    <w:rsid w:val="00B84FB9"/>
    <w:rsid w:val="00B85493"/>
    <w:rsid w:val="00B85D6B"/>
    <w:rsid w:val="00B8726C"/>
    <w:rsid w:val="00B87793"/>
    <w:rsid w:val="00B879AD"/>
    <w:rsid w:val="00B91324"/>
    <w:rsid w:val="00B915B7"/>
    <w:rsid w:val="00B91C34"/>
    <w:rsid w:val="00B9224A"/>
    <w:rsid w:val="00B9228D"/>
    <w:rsid w:val="00B9249D"/>
    <w:rsid w:val="00B928A6"/>
    <w:rsid w:val="00B92B28"/>
    <w:rsid w:val="00B9378D"/>
    <w:rsid w:val="00B937CE"/>
    <w:rsid w:val="00B94C5B"/>
    <w:rsid w:val="00B94C69"/>
    <w:rsid w:val="00B966D0"/>
    <w:rsid w:val="00B974DE"/>
    <w:rsid w:val="00B97E0C"/>
    <w:rsid w:val="00BA03D4"/>
    <w:rsid w:val="00BA0EF1"/>
    <w:rsid w:val="00BA29C7"/>
    <w:rsid w:val="00BA2CE6"/>
    <w:rsid w:val="00BA3BF9"/>
    <w:rsid w:val="00BA3F9C"/>
    <w:rsid w:val="00BA5C2F"/>
    <w:rsid w:val="00BA6488"/>
    <w:rsid w:val="00BA6830"/>
    <w:rsid w:val="00BA6CA3"/>
    <w:rsid w:val="00BA6E26"/>
    <w:rsid w:val="00BA73FE"/>
    <w:rsid w:val="00BA74AB"/>
    <w:rsid w:val="00BA789B"/>
    <w:rsid w:val="00BA7F0D"/>
    <w:rsid w:val="00BB0786"/>
    <w:rsid w:val="00BB0EB1"/>
    <w:rsid w:val="00BB101A"/>
    <w:rsid w:val="00BB2296"/>
    <w:rsid w:val="00BB3443"/>
    <w:rsid w:val="00BB4344"/>
    <w:rsid w:val="00BB43C3"/>
    <w:rsid w:val="00BB45B4"/>
    <w:rsid w:val="00BB53C1"/>
    <w:rsid w:val="00BB566B"/>
    <w:rsid w:val="00BB5E2A"/>
    <w:rsid w:val="00BB639A"/>
    <w:rsid w:val="00BB6CDC"/>
    <w:rsid w:val="00BB713F"/>
    <w:rsid w:val="00BC03DE"/>
    <w:rsid w:val="00BC2790"/>
    <w:rsid w:val="00BC3892"/>
    <w:rsid w:val="00BC4BD9"/>
    <w:rsid w:val="00BC4E9C"/>
    <w:rsid w:val="00BC58C9"/>
    <w:rsid w:val="00BC5BCB"/>
    <w:rsid w:val="00BC5F7D"/>
    <w:rsid w:val="00BC746F"/>
    <w:rsid w:val="00BD0221"/>
    <w:rsid w:val="00BD0B37"/>
    <w:rsid w:val="00BD0E48"/>
    <w:rsid w:val="00BD1225"/>
    <w:rsid w:val="00BD1CD8"/>
    <w:rsid w:val="00BD2F8E"/>
    <w:rsid w:val="00BD30D5"/>
    <w:rsid w:val="00BD3281"/>
    <w:rsid w:val="00BD3DFB"/>
    <w:rsid w:val="00BD538C"/>
    <w:rsid w:val="00BD59D4"/>
    <w:rsid w:val="00BD6083"/>
    <w:rsid w:val="00BD608A"/>
    <w:rsid w:val="00BD60D9"/>
    <w:rsid w:val="00BD68E0"/>
    <w:rsid w:val="00BD79ED"/>
    <w:rsid w:val="00BE04D0"/>
    <w:rsid w:val="00BE0DE5"/>
    <w:rsid w:val="00BE0F85"/>
    <w:rsid w:val="00BE16CE"/>
    <w:rsid w:val="00BE1D2C"/>
    <w:rsid w:val="00BE1F84"/>
    <w:rsid w:val="00BE270B"/>
    <w:rsid w:val="00BE4A5B"/>
    <w:rsid w:val="00BE5B39"/>
    <w:rsid w:val="00BE6456"/>
    <w:rsid w:val="00BE6784"/>
    <w:rsid w:val="00BE7CF6"/>
    <w:rsid w:val="00BF26D7"/>
    <w:rsid w:val="00BF3228"/>
    <w:rsid w:val="00BF3260"/>
    <w:rsid w:val="00BF3B1C"/>
    <w:rsid w:val="00BF4BDF"/>
    <w:rsid w:val="00BF67CA"/>
    <w:rsid w:val="00BF7B0F"/>
    <w:rsid w:val="00C00816"/>
    <w:rsid w:val="00C014BE"/>
    <w:rsid w:val="00C014D1"/>
    <w:rsid w:val="00C01702"/>
    <w:rsid w:val="00C0174D"/>
    <w:rsid w:val="00C0190A"/>
    <w:rsid w:val="00C01ABD"/>
    <w:rsid w:val="00C021A4"/>
    <w:rsid w:val="00C0335F"/>
    <w:rsid w:val="00C03999"/>
    <w:rsid w:val="00C04E1F"/>
    <w:rsid w:val="00C05505"/>
    <w:rsid w:val="00C05E35"/>
    <w:rsid w:val="00C06A89"/>
    <w:rsid w:val="00C06CFB"/>
    <w:rsid w:val="00C07044"/>
    <w:rsid w:val="00C112EE"/>
    <w:rsid w:val="00C11313"/>
    <w:rsid w:val="00C11FA6"/>
    <w:rsid w:val="00C121EC"/>
    <w:rsid w:val="00C126AC"/>
    <w:rsid w:val="00C129A2"/>
    <w:rsid w:val="00C12D8D"/>
    <w:rsid w:val="00C14070"/>
    <w:rsid w:val="00C147DD"/>
    <w:rsid w:val="00C149B9"/>
    <w:rsid w:val="00C1548D"/>
    <w:rsid w:val="00C166FB"/>
    <w:rsid w:val="00C167EF"/>
    <w:rsid w:val="00C16869"/>
    <w:rsid w:val="00C16F23"/>
    <w:rsid w:val="00C17337"/>
    <w:rsid w:val="00C20444"/>
    <w:rsid w:val="00C20EBB"/>
    <w:rsid w:val="00C21065"/>
    <w:rsid w:val="00C21185"/>
    <w:rsid w:val="00C21EBC"/>
    <w:rsid w:val="00C2206E"/>
    <w:rsid w:val="00C22477"/>
    <w:rsid w:val="00C22C1A"/>
    <w:rsid w:val="00C22C27"/>
    <w:rsid w:val="00C234D3"/>
    <w:rsid w:val="00C23C53"/>
    <w:rsid w:val="00C24157"/>
    <w:rsid w:val="00C241C7"/>
    <w:rsid w:val="00C2526D"/>
    <w:rsid w:val="00C25332"/>
    <w:rsid w:val="00C2543D"/>
    <w:rsid w:val="00C26316"/>
    <w:rsid w:val="00C266D1"/>
    <w:rsid w:val="00C26B21"/>
    <w:rsid w:val="00C26F54"/>
    <w:rsid w:val="00C31B96"/>
    <w:rsid w:val="00C32BB7"/>
    <w:rsid w:val="00C33E4C"/>
    <w:rsid w:val="00C3487F"/>
    <w:rsid w:val="00C34FAA"/>
    <w:rsid w:val="00C35245"/>
    <w:rsid w:val="00C35655"/>
    <w:rsid w:val="00C357DB"/>
    <w:rsid w:val="00C37A26"/>
    <w:rsid w:val="00C41C76"/>
    <w:rsid w:val="00C41D75"/>
    <w:rsid w:val="00C4221D"/>
    <w:rsid w:val="00C426EF"/>
    <w:rsid w:val="00C427EA"/>
    <w:rsid w:val="00C4297A"/>
    <w:rsid w:val="00C42E0F"/>
    <w:rsid w:val="00C432D2"/>
    <w:rsid w:val="00C43980"/>
    <w:rsid w:val="00C43A62"/>
    <w:rsid w:val="00C44A54"/>
    <w:rsid w:val="00C44B2A"/>
    <w:rsid w:val="00C44EDC"/>
    <w:rsid w:val="00C4526C"/>
    <w:rsid w:val="00C46FB0"/>
    <w:rsid w:val="00C47DE7"/>
    <w:rsid w:val="00C5095B"/>
    <w:rsid w:val="00C50AF2"/>
    <w:rsid w:val="00C50F65"/>
    <w:rsid w:val="00C51006"/>
    <w:rsid w:val="00C51B9A"/>
    <w:rsid w:val="00C520E6"/>
    <w:rsid w:val="00C521ED"/>
    <w:rsid w:val="00C522F3"/>
    <w:rsid w:val="00C536ED"/>
    <w:rsid w:val="00C539DD"/>
    <w:rsid w:val="00C541F9"/>
    <w:rsid w:val="00C543EE"/>
    <w:rsid w:val="00C543F3"/>
    <w:rsid w:val="00C55D19"/>
    <w:rsid w:val="00C56429"/>
    <w:rsid w:val="00C5693C"/>
    <w:rsid w:val="00C5783C"/>
    <w:rsid w:val="00C602AF"/>
    <w:rsid w:val="00C63703"/>
    <w:rsid w:val="00C647A6"/>
    <w:rsid w:val="00C64C37"/>
    <w:rsid w:val="00C655BE"/>
    <w:rsid w:val="00C65D0E"/>
    <w:rsid w:val="00C66156"/>
    <w:rsid w:val="00C666CD"/>
    <w:rsid w:val="00C67684"/>
    <w:rsid w:val="00C679A1"/>
    <w:rsid w:val="00C67F18"/>
    <w:rsid w:val="00C7080B"/>
    <w:rsid w:val="00C70F8D"/>
    <w:rsid w:val="00C72031"/>
    <w:rsid w:val="00C725A3"/>
    <w:rsid w:val="00C7270D"/>
    <w:rsid w:val="00C72C20"/>
    <w:rsid w:val="00C730F9"/>
    <w:rsid w:val="00C74557"/>
    <w:rsid w:val="00C75B0A"/>
    <w:rsid w:val="00C75D10"/>
    <w:rsid w:val="00C76834"/>
    <w:rsid w:val="00C76FEB"/>
    <w:rsid w:val="00C8000E"/>
    <w:rsid w:val="00C8093C"/>
    <w:rsid w:val="00C80A8B"/>
    <w:rsid w:val="00C8118D"/>
    <w:rsid w:val="00C81D7F"/>
    <w:rsid w:val="00C82108"/>
    <w:rsid w:val="00C8314F"/>
    <w:rsid w:val="00C8376F"/>
    <w:rsid w:val="00C83C87"/>
    <w:rsid w:val="00C8449B"/>
    <w:rsid w:val="00C8642F"/>
    <w:rsid w:val="00C86596"/>
    <w:rsid w:val="00C876E4"/>
    <w:rsid w:val="00C87CDF"/>
    <w:rsid w:val="00C90B07"/>
    <w:rsid w:val="00C9124D"/>
    <w:rsid w:val="00C9228D"/>
    <w:rsid w:val="00C92772"/>
    <w:rsid w:val="00C92A40"/>
    <w:rsid w:val="00C92A53"/>
    <w:rsid w:val="00C92B48"/>
    <w:rsid w:val="00C960EB"/>
    <w:rsid w:val="00C964D5"/>
    <w:rsid w:val="00CA213B"/>
    <w:rsid w:val="00CA2D27"/>
    <w:rsid w:val="00CA42C9"/>
    <w:rsid w:val="00CA4458"/>
    <w:rsid w:val="00CA4800"/>
    <w:rsid w:val="00CA48E7"/>
    <w:rsid w:val="00CA4EF5"/>
    <w:rsid w:val="00CA51B9"/>
    <w:rsid w:val="00CA5B37"/>
    <w:rsid w:val="00CA5B85"/>
    <w:rsid w:val="00CB0BC4"/>
    <w:rsid w:val="00CB1407"/>
    <w:rsid w:val="00CB2195"/>
    <w:rsid w:val="00CB2EAC"/>
    <w:rsid w:val="00CB3118"/>
    <w:rsid w:val="00CB3341"/>
    <w:rsid w:val="00CB3617"/>
    <w:rsid w:val="00CB3A12"/>
    <w:rsid w:val="00CB44DA"/>
    <w:rsid w:val="00CB495D"/>
    <w:rsid w:val="00CB5035"/>
    <w:rsid w:val="00CB512B"/>
    <w:rsid w:val="00CB52B2"/>
    <w:rsid w:val="00CB5359"/>
    <w:rsid w:val="00CB55F0"/>
    <w:rsid w:val="00CB68D8"/>
    <w:rsid w:val="00CB7DD3"/>
    <w:rsid w:val="00CC0967"/>
    <w:rsid w:val="00CC0ACB"/>
    <w:rsid w:val="00CC0CDD"/>
    <w:rsid w:val="00CC1FF4"/>
    <w:rsid w:val="00CC2777"/>
    <w:rsid w:val="00CC30B6"/>
    <w:rsid w:val="00CC4280"/>
    <w:rsid w:val="00CC552B"/>
    <w:rsid w:val="00CC642C"/>
    <w:rsid w:val="00CC65DB"/>
    <w:rsid w:val="00CC6931"/>
    <w:rsid w:val="00CC6AD5"/>
    <w:rsid w:val="00CC71B4"/>
    <w:rsid w:val="00CD00A5"/>
    <w:rsid w:val="00CD00EF"/>
    <w:rsid w:val="00CD1331"/>
    <w:rsid w:val="00CD16A3"/>
    <w:rsid w:val="00CD2D67"/>
    <w:rsid w:val="00CD31D8"/>
    <w:rsid w:val="00CD3DBB"/>
    <w:rsid w:val="00CD455C"/>
    <w:rsid w:val="00CD4E3E"/>
    <w:rsid w:val="00CD5373"/>
    <w:rsid w:val="00CD57CE"/>
    <w:rsid w:val="00CD5C53"/>
    <w:rsid w:val="00CD6005"/>
    <w:rsid w:val="00CD603B"/>
    <w:rsid w:val="00CD6131"/>
    <w:rsid w:val="00CD65CC"/>
    <w:rsid w:val="00CD686F"/>
    <w:rsid w:val="00CD6B27"/>
    <w:rsid w:val="00CD6B44"/>
    <w:rsid w:val="00CD6C7A"/>
    <w:rsid w:val="00CD728A"/>
    <w:rsid w:val="00CD75FB"/>
    <w:rsid w:val="00CE02DE"/>
    <w:rsid w:val="00CE1295"/>
    <w:rsid w:val="00CE1838"/>
    <w:rsid w:val="00CE1A55"/>
    <w:rsid w:val="00CE33C6"/>
    <w:rsid w:val="00CE3862"/>
    <w:rsid w:val="00CE393F"/>
    <w:rsid w:val="00CE41E1"/>
    <w:rsid w:val="00CE47CA"/>
    <w:rsid w:val="00CE5294"/>
    <w:rsid w:val="00CE5E7A"/>
    <w:rsid w:val="00CE5EC0"/>
    <w:rsid w:val="00CE6071"/>
    <w:rsid w:val="00CE7253"/>
    <w:rsid w:val="00CE7D13"/>
    <w:rsid w:val="00CF0B5D"/>
    <w:rsid w:val="00CF2621"/>
    <w:rsid w:val="00CF2EA3"/>
    <w:rsid w:val="00CF2ED6"/>
    <w:rsid w:val="00CF3926"/>
    <w:rsid w:val="00CF3DF7"/>
    <w:rsid w:val="00CF5476"/>
    <w:rsid w:val="00CF5A08"/>
    <w:rsid w:val="00CF5AEC"/>
    <w:rsid w:val="00CF5FCD"/>
    <w:rsid w:val="00CF6C04"/>
    <w:rsid w:val="00CF7883"/>
    <w:rsid w:val="00CF7F9F"/>
    <w:rsid w:val="00D0085C"/>
    <w:rsid w:val="00D00DCF"/>
    <w:rsid w:val="00D0139A"/>
    <w:rsid w:val="00D01AB1"/>
    <w:rsid w:val="00D02201"/>
    <w:rsid w:val="00D02643"/>
    <w:rsid w:val="00D03E5E"/>
    <w:rsid w:val="00D04DA6"/>
    <w:rsid w:val="00D05B8C"/>
    <w:rsid w:val="00D06725"/>
    <w:rsid w:val="00D071F2"/>
    <w:rsid w:val="00D073F9"/>
    <w:rsid w:val="00D10337"/>
    <w:rsid w:val="00D10859"/>
    <w:rsid w:val="00D10EC5"/>
    <w:rsid w:val="00D11784"/>
    <w:rsid w:val="00D1221F"/>
    <w:rsid w:val="00D126B1"/>
    <w:rsid w:val="00D13B4B"/>
    <w:rsid w:val="00D160D4"/>
    <w:rsid w:val="00D161D3"/>
    <w:rsid w:val="00D1654C"/>
    <w:rsid w:val="00D1657E"/>
    <w:rsid w:val="00D16E24"/>
    <w:rsid w:val="00D2013B"/>
    <w:rsid w:val="00D207F5"/>
    <w:rsid w:val="00D20DE3"/>
    <w:rsid w:val="00D21072"/>
    <w:rsid w:val="00D21526"/>
    <w:rsid w:val="00D2153B"/>
    <w:rsid w:val="00D21691"/>
    <w:rsid w:val="00D2187E"/>
    <w:rsid w:val="00D21F51"/>
    <w:rsid w:val="00D226A5"/>
    <w:rsid w:val="00D22BCC"/>
    <w:rsid w:val="00D25868"/>
    <w:rsid w:val="00D25AD0"/>
    <w:rsid w:val="00D25B75"/>
    <w:rsid w:val="00D25EBB"/>
    <w:rsid w:val="00D26B05"/>
    <w:rsid w:val="00D26BE3"/>
    <w:rsid w:val="00D26FC1"/>
    <w:rsid w:val="00D27A2D"/>
    <w:rsid w:val="00D31956"/>
    <w:rsid w:val="00D31B91"/>
    <w:rsid w:val="00D32B06"/>
    <w:rsid w:val="00D32D41"/>
    <w:rsid w:val="00D335DA"/>
    <w:rsid w:val="00D33766"/>
    <w:rsid w:val="00D33996"/>
    <w:rsid w:val="00D34711"/>
    <w:rsid w:val="00D34779"/>
    <w:rsid w:val="00D35050"/>
    <w:rsid w:val="00D352DB"/>
    <w:rsid w:val="00D3534A"/>
    <w:rsid w:val="00D35B32"/>
    <w:rsid w:val="00D36556"/>
    <w:rsid w:val="00D36B7F"/>
    <w:rsid w:val="00D36C82"/>
    <w:rsid w:val="00D372E1"/>
    <w:rsid w:val="00D40100"/>
    <w:rsid w:val="00D40C39"/>
    <w:rsid w:val="00D41F92"/>
    <w:rsid w:val="00D429F0"/>
    <w:rsid w:val="00D42C8C"/>
    <w:rsid w:val="00D45057"/>
    <w:rsid w:val="00D45EFC"/>
    <w:rsid w:val="00D4654F"/>
    <w:rsid w:val="00D467EF"/>
    <w:rsid w:val="00D51B97"/>
    <w:rsid w:val="00D523B3"/>
    <w:rsid w:val="00D52DA8"/>
    <w:rsid w:val="00D54942"/>
    <w:rsid w:val="00D54F7E"/>
    <w:rsid w:val="00D56336"/>
    <w:rsid w:val="00D56FAE"/>
    <w:rsid w:val="00D5718E"/>
    <w:rsid w:val="00D5771F"/>
    <w:rsid w:val="00D577B2"/>
    <w:rsid w:val="00D604ED"/>
    <w:rsid w:val="00D60F10"/>
    <w:rsid w:val="00D62BF4"/>
    <w:rsid w:val="00D634FD"/>
    <w:rsid w:val="00D636FF"/>
    <w:rsid w:val="00D64314"/>
    <w:rsid w:val="00D64567"/>
    <w:rsid w:val="00D646D8"/>
    <w:rsid w:val="00D659FA"/>
    <w:rsid w:val="00D65D3B"/>
    <w:rsid w:val="00D665F6"/>
    <w:rsid w:val="00D67EBE"/>
    <w:rsid w:val="00D7039D"/>
    <w:rsid w:val="00D704B0"/>
    <w:rsid w:val="00D7100F"/>
    <w:rsid w:val="00D7161A"/>
    <w:rsid w:val="00D72EF0"/>
    <w:rsid w:val="00D73215"/>
    <w:rsid w:val="00D744BC"/>
    <w:rsid w:val="00D74D73"/>
    <w:rsid w:val="00D75C55"/>
    <w:rsid w:val="00D76B29"/>
    <w:rsid w:val="00D76D98"/>
    <w:rsid w:val="00D77AFA"/>
    <w:rsid w:val="00D77FB1"/>
    <w:rsid w:val="00D8046D"/>
    <w:rsid w:val="00D80A35"/>
    <w:rsid w:val="00D81ADE"/>
    <w:rsid w:val="00D81D7C"/>
    <w:rsid w:val="00D821D2"/>
    <w:rsid w:val="00D83CCD"/>
    <w:rsid w:val="00D83D28"/>
    <w:rsid w:val="00D83E8F"/>
    <w:rsid w:val="00D83FF1"/>
    <w:rsid w:val="00D84F9E"/>
    <w:rsid w:val="00D870A5"/>
    <w:rsid w:val="00D87136"/>
    <w:rsid w:val="00D907F5"/>
    <w:rsid w:val="00D917FD"/>
    <w:rsid w:val="00D9264F"/>
    <w:rsid w:val="00D92F8A"/>
    <w:rsid w:val="00D93379"/>
    <w:rsid w:val="00D969D1"/>
    <w:rsid w:val="00DA0302"/>
    <w:rsid w:val="00DA0369"/>
    <w:rsid w:val="00DA0496"/>
    <w:rsid w:val="00DA07DE"/>
    <w:rsid w:val="00DA0BED"/>
    <w:rsid w:val="00DA1E08"/>
    <w:rsid w:val="00DA2047"/>
    <w:rsid w:val="00DA26AA"/>
    <w:rsid w:val="00DA326C"/>
    <w:rsid w:val="00DA36FD"/>
    <w:rsid w:val="00DA3EC7"/>
    <w:rsid w:val="00DA5430"/>
    <w:rsid w:val="00DA5854"/>
    <w:rsid w:val="00DA62D6"/>
    <w:rsid w:val="00DA64AB"/>
    <w:rsid w:val="00DA675A"/>
    <w:rsid w:val="00DA6C90"/>
    <w:rsid w:val="00DA73A2"/>
    <w:rsid w:val="00DB0865"/>
    <w:rsid w:val="00DB119D"/>
    <w:rsid w:val="00DB1B65"/>
    <w:rsid w:val="00DB1CDB"/>
    <w:rsid w:val="00DB2DF4"/>
    <w:rsid w:val="00DB4D7C"/>
    <w:rsid w:val="00DB5213"/>
    <w:rsid w:val="00DB5749"/>
    <w:rsid w:val="00DB5BB9"/>
    <w:rsid w:val="00DB6038"/>
    <w:rsid w:val="00DB60AF"/>
    <w:rsid w:val="00DB64AD"/>
    <w:rsid w:val="00DB6BD9"/>
    <w:rsid w:val="00DB6C95"/>
    <w:rsid w:val="00DB6C9F"/>
    <w:rsid w:val="00DB7AD6"/>
    <w:rsid w:val="00DB7B8B"/>
    <w:rsid w:val="00DC157B"/>
    <w:rsid w:val="00DC287C"/>
    <w:rsid w:val="00DC2B68"/>
    <w:rsid w:val="00DC34D4"/>
    <w:rsid w:val="00DC3674"/>
    <w:rsid w:val="00DC5581"/>
    <w:rsid w:val="00DC674C"/>
    <w:rsid w:val="00DC7452"/>
    <w:rsid w:val="00DD05FF"/>
    <w:rsid w:val="00DD06EF"/>
    <w:rsid w:val="00DD0B9D"/>
    <w:rsid w:val="00DD0D00"/>
    <w:rsid w:val="00DD0DCA"/>
    <w:rsid w:val="00DD2CAD"/>
    <w:rsid w:val="00DD2CE7"/>
    <w:rsid w:val="00DD2ED8"/>
    <w:rsid w:val="00DD3370"/>
    <w:rsid w:val="00DD376D"/>
    <w:rsid w:val="00DD4286"/>
    <w:rsid w:val="00DD4383"/>
    <w:rsid w:val="00DD43B9"/>
    <w:rsid w:val="00DD4F6F"/>
    <w:rsid w:val="00DD7853"/>
    <w:rsid w:val="00DE1399"/>
    <w:rsid w:val="00DE1888"/>
    <w:rsid w:val="00DE1CDF"/>
    <w:rsid w:val="00DE1EBB"/>
    <w:rsid w:val="00DE2F78"/>
    <w:rsid w:val="00DE2FA9"/>
    <w:rsid w:val="00DE35EE"/>
    <w:rsid w:val="00DE39C4"/>
    <w:rsid w:val="00DE3C25"/>
    <w:rsid w:val="00DE3CF2"/>
    <w:rsid w:val="00DE419F"/>
    <w:rsid w:val="00DE44F7"/>
    <w:rsid w:val="00DE462E"/>
    <w:rsid w:val="00DE5652"/>
    <w:rsid w:val="00DE66F2"/>
    <w:rsid w:val="00DF0D48"/>
    <w:rsid w:val="00DF1FD2"/>
    <w:rsid w:val="00DF2C55"/>
    <w:rsid w:val="00DF3917"/>
    <w:rsid w:val="00DF3D68"/>
    <w:rsid w:val="00DF4C1E"/>
    <w:rsid w:val="00DF5151"/>
    <w:rsid w:val="00DF5373"/>
    <w:rsid w:val="00DF5BE1"/>
    <w:rsid w:val="00DF5F7E"/>
    <w:rsid w:val="00DF64FF"/>
    <w:rsid w:val="00E00F29"/>
    <w:rsid w:val="00E01129"/>
    <w:rsid w:val="00E01201"/>
    <w:rsid w:val="00E01C52"/>
    <w:rsid w:val="00E024A7"/>
    <w:rsid w:val="00E02E63"/>
    <w:rsid w:val="00E05F28"/>
    <w:rsid w:val="00E06D35"/>
    <w:rsid w:val="00E07F5E"/>
    <w:rsid w:val="00E1018C"/>
    <w:rsid w:val="00E118CC"/>
    <w:rsid w:val="00E12149"/>
    <w:rsid w:val="00E132AD"/>
    <w:rsid w:val="00E13809"/>
    <w:rsid w:val="00E1431C"/>
    <w:rsid w:val="00E14521"/>
    <w:rsid w:val="00E14850"/>
    <w:rsid w:val="00E171E9"/>
    <w:rsid w:val="00E171F6"/>
    <w:rsid w:val="00E20BCE"/>
    <w:rsid w:val="00E20F38"/>
    <w:rsid w:val="00E2104A"/>
    <w:rsid w:val="00E22CE6"/>
    <w:rsid w:val="00E233DE"/>
    <w:rsid w:val="00E2443B"/>
    <w:rsid w:val="00E2487A"/>
    <w:rsid w:val="00E25255"/>
    <w:rsid w:val="00E252B2"/>
    <w:rsid w:val="00E25481"/>
    <w:rsid w:val="00E25483"/>
    <w:rsid w:val="00E256F5"/>
    <w:rsid w:val="00E259B8"/>
    <w:rsid w:val="00E261EE"/>
    <w:rsid w:val="00E26931"/>
    <w:rsid w:val="00E27141"/>
    <w:rsid w:val="00E27F67"/>
    <w:rsid w:val="00E316DD"/>
    <w:rsid w:val="00E318EE"/>
    <w:rsid w:val="00E3316D"/>
    <w:rsid w:val="00E36A5F"/>
    <w:rsid w:val="00E404D3"/>
    <w:rsid w:val="00E410BA"/>
    <w:rsid w:val="00E4118B"/>
    <w:rsid w:val="00E41762"/>
    <w:rsid w:val="00E41A8B"/>
    <w:rsid w:val="00E42601"/>
    <w:rsid w:val="00E45359"/>
    <w:rsid w:val="00E45626"/>
    <w:rsid w:val="00E45EEA"/>
    <w:rsid w:val="00E4631A"/>
    <w:rsid w:val="00E46AEE"/>
    <w:rsid w:val="00E46C04"/>
    <w:rsid w:val="00E4769F"/>
    <w:rsid w:val="00E47A93"/>
    <w:rsid w:val="00E50C5D"/>
    <w:rsid w:val="00E50D84"/>
    <w:rsid w:val="00E50EBA"/>
    <w:rsid w:val="00E51114"/>
    <w:rsid w:val="00E512ED"/>
    <w:rsid w:val="00E51558"/>
    <w:rsid w:val="00E51595"/>
    <w:rsid w:val="00E534C8"/>
    <w:rsid w:val="00E541A0"/>
    <w:rsid w:val="00E56602"/>
    <w:rsid w:val="00E56D48"/>
    <w:rsid w:val="00E5799C"/>
    <w:rsid w:val="00E60F41"/>
    <w:rsid w:val="00E61F35"/>
    <w:rsid w:val="00E61FB6"/>
    <w:rsid w:val="00E62B88"/>
    <w:rsid w:val="00E6329E"/>
    <w:rsid w:val="00E63861"/>
    <w:rsid w:val="00E63881"/>
    <w:rsid w:val="00E6464E"/>
    <w:rsid w:val="00E6512C"/>
    <w:rsid w:val="00E663B5"/>
    <w:rsid w:val="00E66EE1"/>
    <w:rsid w:val="00E675A2"/>
    <w:rsid w:val="00E67E41"/>
    <w:rsid w:val="00E70007"/>
    <w:rsid w:val="00E70552"/>
    <w:rsid w:val="00E70838"/>
    <w:rsid w:val="00E7161A"/>
    <w:rsid w:val="00E71681"/>
    <w:rsid w:val="00E71AE5"/>
    <w:rsid w:val="00E72586"/>
    <w:rsid w:val="00E72682"/>
    <w:rsid w:val="00E734C9"/>
    <w:rsid w:val="00E73D82"/>
    <w:rsid w:val="00E73FD9"/>
    <w:rsid w:val="00E801B6"/>
    <w:rsid w:val="00E80CF8"/>
    <w:rsid w:val="00E816C9"/>
    <w:rsid w:val="00E817DA"/>
    <w:rsid w:val="00E81D4B"/>
    <w:rsid w:val="00E83271"/>
    <w:rsid w:val="00E83AEE"/>
    <w:rsid w:val="00E84406"/>
    <w:rsid w:val="00E8473D"/>
    <w:rsid w:val="00E8484E"/>
    <w:rsid w:val="00E849E3"/>
    <w:rsid w:val="00E84A78"/>
    <w:rsid w:val="00E86053"/>
    <w:rsid w:val="00E86097"/>
    <w:rsid w:val="00E86566"/>
    <w:rsid w:val="00E867CC"/>
    <w:rsid w:val="00E86987"/>
    <w:rsid w:val="00E86E65"/>
    <w:rsid w:val="00E87129"/>
    <w:rsid w:val="00E87130"/>
    <w:rsid w:val="00E91EBC"/>
    <w:rsid w:val="00E92D94"/>
    <w:rsid w:val="00E9398B"/>
    <w:rsid w:val="00E93AA4"/>
    <w:rsid w:val="00E942B7"/>
    <w:rsid w:val="00E94F81"/>
    <w:rsid w:val="00E952F3"/>
    <w:rsid w:val="00E95A72"/>
    <w:rsid w:val="00E95A93"/>
    <w:rsid w:val="00E965B8"/>
    <w:rsid w:val="00E96746"/>
    <w:rsid w:val="00E975FC"/>
    <w:rsid w:val="00EA02C5"/>
    <w:rsid w:val="00EA06C2"/>
    <w:rsid w:val="00EA0800"/>
    <w:rsid w:val="00EA0B57"/>
    <w:rsid w:val="00EA1072"/>
    <w:rsid w:val="00EA2AE8"/>
    <w:rsid w:val="00EA415F"/>
    <w:rsid w:val="00EA46E3"/>
    <w:rsid w:val="00EA4999"/>
    <w:rsid w:val="00EA513C"/>
    <w:rsid w:val="00EA576B"/>
    <w:rsid w:val="00EA5D05"/>
    <w:rsid w:val="00EA7670"/>
    <w:rsid w:val="00EB083C"/>
    <w:rsid w:val="00EB17EF"/>
    <w:rsid w:val="00EB20D2"/>
    <w:rsid w:val="00EB2305"/>
    <w:rsid w:val="00EB3DE4"/>
    <w:rsid w:val="00EB4580"/>
    <w:rsid w:val="00EB4DDB"/>
    <w:rsid w:val="00EB5C0D"/>
    <w:rsid w:val="00EB6C2E"/>
    <w:rsid w:val="00EB79C7"/>
    <w:rsid w:val="00EB7E92"/>
    <w:rsid w:val="00EC09D7"/>
    <w:rsid w:val="00EC0A46"/>
    <w:rsid w:val="00EC1EEF"/>
    <w:rsid w:val="00EC220B"/>
    <w:rsid w:val="00EC27C1"/>
    <w:rsid w:val="00EC287D"/>
    <w:rsid w:val="00EC36C5"/>
    <w:rsid w:val="00EC3BF9"/>
    <w:rsid w:val="00EC433E"/>
    <w:rsid w:val="00EC4755"/>
    <w:rsid w:val="00EC5363"/>
    <w:rsid w:val="00EC5D20"/>
    <w:rsid w:val="00EC5DFE"/>
    <w:rsid w:val="00EC63A1"/>
    <w:rsid w:val="00EC66C4"/>
    <w:rsid w:val="00EC72AE"/>
    <w:rsid w:val="00EC7BA5"/>
    <w:rsid w:val="00EC7EB4"/>
    <w:rsid w:val="00ED0C88"/>
    <w:rsid w:val="00ED11CC"/>
    <w:rsid w:val="00ED1414"/>
    <w:rsid w:val="00ED19AB"/>
    <w:rsid w:val="00ED1EB8"/>
    <w:rsid w:val="00ED2D76"/>
    <w:rsid w:val="00ED3919"/>
    <w:rsid w:val="00ED438A"/>
    <w:rsid w:val="00ED43AC"/>
    <w:rsid w:val="00ED4DFA"/>
    <w:rsid w:val="00ED54F5"/>
    <w:rsid w:val="00ED5C9D"/>
    <w:rsid w:val="00ED78C1"/>
    <w:rsid w:val="00ED7A70"/>
    <w:rsid w:val="00ED7DA5"/>
    <w:rsid w:val="00EE0A05"/>
    <w:rsid w:val="00EE0E28"/>
    <w:rsid w:val="00EE145D"/>
    <w:rsid w:val="00EE5BEF"/>
    <w:rsid w:val="00EE646B"/>
    <w:rsid w:val="00EE6962"/>
    <w:rsid w:val="00EE6D18"/>
    <w:rsid w:val="00EE7234"/>
    <w:rsid w:val="00EE78F6"/>
    <w:rsid w:val="00EE7A29"/>
    <w:rsid w:val="00EF0D9F"/>
    <w:rsid w:val="00EF1ECC"/>
    <w:rsid w:val="00EF2A7B"/>
    <w:rsid w:val="00EF2B3F"/>
    <w:rsid w:val="00EF30BD"/>
    <w:rsid w:val="00EF35EB"/>
    <w:rsid w:val="00EF3E73"/>
    <w:rsid w:val="00EF4F08"/>
    <w:rsid w:val="00EF5801"/>
    <w:rsid w:val="00EF63A9"/>
    <w:rsid w:val="00EF657C"/>
    <w:rsid w:val="00EF6DB2"/>
    <w:rsid w:val="00EF6F37"/>
    <w:rsid w:val="00F003BF"/>
    <w:rsid w:val="00F02DBA"/>
    <w:rsid w:val="00F0315C"/>
    <w:rsid w:val="00F0389C"/>
    <w:rsid w:val="00F04313"/>
    <w:rsid w:val="00F06086"/>
    <w:rsid w:val="00F0642E"/>
    <w:rsid w:val="00F0726F"/>
    <w:rsid w:val="00F07B12"/>
    <w:rsid w:val="00F07D69"/>
    <w:rsid w:val="00F1034D"/>
    <w:rsid w:val="00F1079F"/>
    <w:rsid w:val="00F117ED"/>
    <w:rsid w:val="00F11876"/>
    <w:rsid w:val="00F1193D"/>
    <w:rsid w:val="00F12A31"/>
    <w:rsid w:val="00F132B1"/>
    <w:rsid w:val="00F148C3"/>
    <w:rsid w:val="00F15796"/>
    <w:rsid w:val="00F15A83"/>
    <w:rsid w:val="00F15D66"/>
    <w:rsid w:val="00F15DEB"/>
    <w:rsid w:val="00F21D22"/>
    <w:rsid w:val="00F223DB"/>
    <w:rsid w:val="00F229E1"/>
    <w:rsid w:val="00F23AB2"/>
    <w:rsid w:val="00F24BC9"/>
    <w:rsid w:val="00F25A5C"/>
    <w:rsid w:val="00F27375"/>
    <w:rsid w:val="00F27CDB"/>
    <w:rsid w:val="00F30B77"/>
    <w:rsid w:val="00F31036"/>
    <w:rsid w:val="00F311E3"/>
    <w:rsid w:val="00F33F9D"/>
    <w:rsid w:val="00F34B11"/>
    <w:rsid w:val="00F35399"/>
    <w:rsid w:val="00F37298"/>
    <w:rsid w:val="00F373EB"/>
    <w:rsid w:val="00F37BD3"/>
    <w:rsid w:val="00F4040B"/>
    <w:rsid w:val="00F420A1"/>
    <w:rsid w:val="00F4354F"/>
    <w:rsid w:val="00F43732"/>
    <w:rsid w:val="00F4397B"/>
    <w:rsid w:val="00F439B0"/>
    <w:rsid w:val="00F43E2A"/>
    <w:rsid w:val="00F45152"/>
    <w:rsid w:val="00F45668"/>
    <w:rsid w:val="00F45BAE"/>
    <w:rsid w:val="00F460E0"/>
    <w:rsid w:val="00F46E79"/>
    <w:rsid w:val="00F47254"/>
    <w:rsid w:val="00F47378"/>
    <w:rsid w:val="00F47678"/>
    <w:rsid w:val="00F50CDA"/>
    <w:rsid w:val="00F50D4E"/>
    <w:rsid w:val="00F50E87"/>
    <w:rsid w:val="00F52610"/>
    <w:rsid w:val="00F52876"/>
    <w:rsid w:val="00F52B6A"/>
    <w:rsid w:val="00F52CA0"/>
    <w:rsid w:val="00F52FA7"/>
    <w:rsid w:val="00F5316C"/>
    <w:rsid w:val="00F53389"/>
    <w:rsid w:val="00F542C1"/>
    <w:rsid w:val="00F5457A"/>
    <w:rsid w:val="00F547D0"/>
    <w:rsid w:val="00F557D6"/>
    <w:rsid w:val="00F558AF"/>
    <w:rsid w:val="00F558F7"/>
    <w:rsid w:val="00F559D8"/>
    <w:rsid w:val="00F55A60"/>
    <w:rsid w:val="00F56354"/>
    <w:rsid w:val="00F57267"/>
    <w:rsid w:val="00F57E43"/>
    <w:rsid w:val="00F61966"/>
    <w:rsid w:val="00F621E0"/>
    <w:rsid w:val="00F6229B"/>
    <w:rsid w:val="00F623EA"/>
    <w:rsid w:val="00F628A5"/>
    <w:rsid w:val="00F62992"/>
    <w:rsid w:val="00F6300B"/>
    <w:rsid w:val="00F63194"/>
    <w:rsid w:val="00F636F2"/>
    <w:rsid w:val="00F6382A"/>
    <w:rsid w:val="00F6395E"/>
    <w:rsid w:val="00F640AA"/>
    <w:rsid w:val="00F64BD2"/>
    <w:rsid w:val="00F64DCE"/>
    <w:rsid w:val="00F6516C"/>
    <w:rsid w:val="00F654ED"/>
    <w:rsid w:val="00F65F9E"/>
    <w:rsid w:val="00F6618C"/>
    <w:rsid w:val="00F66653"/>
    <w:rsid w:val="00F6725A"/>
    <w:rsid w:val="00F67A29"/>
    <w:rsid w:val="00F67DA6"/>
    <w:rsid w:val="00F702EB"/>
    <w:rsid w:val="00F70380"/>
    <w:rsid w:val="00F7078F"/>
    <w:rsid w:val="00F708ED"/>
    <w:rsid w:val="00F710D6"/>
    <w:rsid w:val="00F717E1"/>
    <w:rsid w:val="00F71D7D"/>
    <w:rsid w:val="00F72BDF"/>
    <w:rsid w:val="00F72EB3"/>
    <w:rsid w:val="00F73321"/>
    <w:rsid w:val="00F735A7"/>
    <w:rsid w:val="00F74441"/>
    <w:rsid w:val="00F745D9"/>
    <w:rsid w:val="00F75D17"/>
    <w:rsid w:val="00F76BB3"/>
    <w:rsid w:val="00F76D4E"/>
    <w:rsid w:val="00F772DA"/>
    <w:rsid w:val="00F7781E"/>
    <w:rsid w:val="00F81708"/>
    <w:rsid w:val="00F81F1D"/>
    <w:rsid w:val="00F82D68"/>
    <w:rsid w:val="00F8304F"/>
    <w:rsid w:val="00F847B5"/>
    <w:rsid w:val="00F85DFD"/>
    <w:rsid w:val="00F868BC"/>
    <w:rsid w:val="00F871F5"/>
    <w:rsid w:val="00F875DE"/>
    <w:rsid w:val="00F879B1"/>
    <w:rsid w:val="00F90D95"/>
    <w:rsid w:val="00F90F9D"/>
    <w:rsid w:val="00F91054"/>
    <w:rsid w:val="00F92653"/>
    <w:rsid w:val="00F92C69"/>
    <w:rsid w:val="00F9332E"/>
    <w:rsid w:val="00F94962"/>
    <w:rsid w:val="00F9521E"/>
    <w:rsid w:val="00F95E15"/>
    <w:rsid w:val="00F961DD"/>
    <w:rsid w:val="00F97015"/>
    <w:rsid w:val="00F9746E"/>
    <w:rsid w:val="00F974A9"/>
    <w:rsid w:val="00FA03B6"/>
    <w:rsid w:val="00FA1144"/>
    <w:rsid w:val="00FA1629"/>
    <w:rsid w:val="00FA226B"/>
    <w:rsid w:val="00FA2DC5"/>
    <w:rsid w:val="00FA33D9"/>
    <w:rsid w:val="00FA3486"/>
    <w:rsid w:val="00FA36DB"/>
    <w:rsid w:val="00FA429A"/>
    <w:rsid w:val="00FA4D82"/>
    <w:rsid w:val="00FA528E"/>
    <w:rsid w:val="00FA52E7"/>
    <w:rsid w:val="00FA5DD2"/>
    <w:rsid w:val="00FA63FC"/>
    <w:rsid w:val="00FA70D4"/>
    <w:rsid w:val="00FB092A"/>
    <w:rsid w:val="00FB0BC2"/>
    <w:rsid w:val="00FB2F90"/>
    <w:rsid w:val="00FB308E"/>
    <w:rsid w:val="00FB32D4"/>
    <w:rsid w:val="00FB3461"/>
    <w:rsid w:val="00FB48FD"/>
    <w:rsid w:val="00FB5CA3"/>
    <w:rsid w:val="00FC006A"/>
    <w:rsid w:val="00FC12B5"/>
    <w:rsid w:val="00FC1882"/>
    <w:rsid w:val="00FC1AD6"/>
    <w:rsid w:val="00FC1C2D"/>
    <w:rsid w:val="00FC27E6"/>
    <w:rsid w:val="00FC2803"/>
    <w:rsid w:val="00FC2B2D"/>
    <w:rsid w:val="00FC2CDB"/>
    <w:rsid w:val="00FC3263"/>
    <w:rsid w:val="00FC3633"/>
    <w:rsid w:val="00FC3A48"/>
    <w:rsid w:val="00FC49C1"/>
    <w:rsid w:val="00FC5058"/>
    <w:rsid w:val="00FC54B8"/>
    <w:rsid w:val="00FC735E"/>
    <w:rsid w:val="00FC7F42"/>
    <w:rsid w:val="00FD0883"/>
    <w:rsid w:val="00FD0CEF"/>
    <w:rsid w:val="00FD1263"/>
    <w:rsid w:val="00FD1EA4"/>
    <w:rsid w:val="00FD273B"/>
    <w:rsid w:val="00FD2B18"/>
    <w:rsid w:val="00FD34B2"/>
    <w:rsid w:val="00FD350C"/>
    <w:rsid w:val="00FD4A4B"/>
    <w:rsid w:val="00FD4B1F"/>
    <w:rsid w:val="00FD4ED0"/>
    <w:rsid w:val="00FD5D94"/>
    <w:rsid w:val="00FD65DE"/>
    <w:rsid w:val="00FD6DF2"/>
    <w:rsid w:val="00FE0D70"/>
    <w:rsid w:val="00FE1A06"/>
    <w:rsid w:val="00FE2E8D"/>
    <w:rsid w:val="00FE3738"/>
    <w:rsid w:val="00FE3ACE"/>
    <w:rsid w:val="00FE3DF9"/>
    <w:rsid w:val="00FE4F1F"/>
    <w:rsid w:val="00FE513E"/>
    <w:rsid w:val="00FE531F"/>
    <w:rsid w:val="00FE5F67"/>
    <w:rsid w:val="00FE65F9"/>
    <w:rsid w:val="00FE7764"/>
    <w:rsid w:val="00FE7B08"/>
    <w:rsid w:val="00FF047B"/>
    <w:rsid w:val="00FF0F14"/>
    <w:rsid w:val="00FF177B"/>
    <w:rsid w:val="00FF249C"/>
    <w:rsid w:val="00FF2551"/>
    <w:rsid w:val="00FF2EA1"/>
    <w:rsid w:val="00FF35F6"/>
    <w:rsid w:val="00FF5C39"/>
    <w:rsid w:val="00FF5D32"/>
    <w:rsid w:val="00FF5D67"/>
    <w:rsid w:val="00FF6321"/>
    <w:rsid w:val="00FF7622"/>
    <w:rsid w:val="00FF7C46"/>
    <w:rsid w:val="01E22EEF"/>
    <w:rsid w:val="02094019"/>
    <w:rsid w:val="024876E8"/>
    <w:rsid w:val="025A3D10"/>
    <w:rsid w:val="02E0504F"/>
    <w:rsid w:val="02E97045"/>
    <w:rsid w:val="02FB6E41"/>
    <w:rsid w:val="03FB06D5"/>
    <w:rsid w:val="047A1299"/>
    <w:rsid w:val="048B07CE"/>
    <w:rsid w:val="04D12E16"/>
    <w:rsid w:val="04FD01C0"/>
    <w:rsid w:val="055E0BF4"/>
    <w:rsid w:val="06AB62C8"/>
    <w:rsid w:val="073A04FC"/>
    <w:rsid w:val="0772543B"/>
    <w:rsid w:val="077305E3"/>
    <w:rsid w:val="079F4F94"/>
    <w:rsid w:val="07CD0531"/>
    <w:rsid w:val="08D11764"/>
    <w:rsid w:val="096E10A3"/>
    <w:rsid w:val="0A530C57"/>
    <w:rsid w:val="0B242CDB"/>
    <w:rsid w:val="0B2D534F"/>
    <w:rsid w:val="0BBF6BB4"/>
    <w:rsid w:val="0BF12592"/>
    <w:rsid w:val="0C7809C1"/>
    <w:rsid w:val="0EC05219"/>
    <w:rsid w:val="0F0A73C7"/>
    <w:rsid w:val="10D4508F"/>
    <w:rsid w:val="11402131"/>
    <w:rsid w:val="12274323"/>
    <w:rsid w:val="12792853"/>
    <w:rsid w:val="131979D7"/>
    <w:rsid w:val="13753309"/>
    <w:rsid w:val="1517452C"/>
    <w:rsid w:val="156C4FA6"/>
    <w:rsid w:val="15F0101E"/>
    <w:rsid w:val="15F202E1"/>
    <w:rsid w:val="160216D0"/>
    <w:rsid w:val="1641787C"/>
    <w:rsid w:val="1649653A"/>
    <w:rsid w:val="16AB203A"/>
    <w:rsid w:val="1705389A"/>
    <w:rsid w:val="174940E7"/>
    <w:rsid w:val="17656506"/>
    <w:rsid w:val="17A66650"/>
    <w:rsid w:val="17EA48C1"/>
    <w:rsid w:val="183E69BC"/>
    <w:rsid w:val="18701E4F"/>
    <w:rsid w:val="188F2709"/>
    <w:rsid w:val="18A0023E"/>
    <w:rsid w:val="18A349BF"/>
    <w:rsid w:val="18C76FC8"/>
    <w:rsid w:val="18DE5562"/>
    <w:rsid w:val="19D67B1E"/>
    <w:rsid w:val="1AC55489"/>
    <w:rsid w:val="1B5E62E3"/>
    <w:rsid w:val="1B8A18C6"/>
    <w:rsid w:val="1C620459"/>
    <w:rsid w:val="1C7366B7"/>
    <w:rsid w:val="1C9B1BC8"/>
    <w:rsid w:val="1D7E4261"/>
    <w:rsid w:val="1DBA42CB"/>
    <w:rsid w:val="1DC00253"/>
    <w:rsid w:val="1DE459E0"/>
    <w:rsid w:val="1E8E78CB"/>
    <w:rsid w:val="1F4D283F"/>
    <w:rsid w:val="21D05464"/>
    <w:rsid w:val="23BB3852"/>
    <w:rsid w:val="23E62F23"/>
    <w:rsid w:val="23E67023"/>
    <w:rsid w:val="245C6B98"/>
    <w:rsid w:val="25F00525"/>
    <w:rsid w:val="260236E8"/>
    <w:rsid w:val="2622302C"/>
    <w:rsid w:val="26D24959"/>
    <w:rsid w:val="272B2C33"/>
    <w:rsid w:val="278E1A78"/>
    <w:rsid w:val="291A6927"/>
    <w:rsid w:val="29AC3D11"/>
    <w:rsid w:val="29E178F4"/>
    <w:rsid w:val="2A092AB2"/>
    <w:rsid w:val="2A7E2845"/>
    <w:rsid w:val="2A991300"/>
    <w:rsid w:val="2C37731C"/>
    <w:rsid w:val="2C982A9C"/>
    <w:rsid w:val="2CEC10E5"/>
    <w:rsid w:val="2CF162E8"/>
    <w:rsid w:val="2DF94778"/>
    <w:rsid w:val="2E2547BF"/>
    <w:rsid w:val="2F37683A"/>
    <w:rsid w:val="30305526"/>
    <w:rsid w:val="31EE26C8"/>
    <w:rsid w:val="31FB698F"/>
    <w:rsid w:val="32C7765E"/>
    <w:rsid w:val="32CA2532"/>
    <w:rsid w:val="33EB3CEE"/>
    <w:rsid w:val="34AB4DE7"/>
    <w:rsid w:val="34B0337D"/>
    <w:rsid w:val="34C9605D"/>
    <w:rsid w:val="361E17CD"/>
    <w:rsid w:val="365C4C5D"/>
    <w:rsid w:val="36746E1E"/>
    <w:rsid w:val="36F529A6"/>
    <w:rsid w:val="37F073E0"/>
    <w:rsid w:val="38431C78"/>
    <w:rsid w:val="387E353F"/>
    <w:rsid w:val="39D76AC2"/>
    <w:rsid w:val="3AB73588"/>
    <w:rsid w:val="3ABF338F"/>
    <w:rsid w:val="3AE414BC"/>
    <w:rsid w:val="3B11419E"/>
    <w:rsid w:val="3D5D2570"/>
    <w:rsid w:val="3EFC0D98"/>
    <w:rsid w:val="3F644550"/>
    <w:rsid w:val="401B42B1"/>
    <w:rsid w:val="401D42A1"/>
    <w:rsid w:val="403861BE"/>
    <w:rsid w:val="40565757"/>
    <w:rsid w:val="40DD7C7A"/>
    <w:rsid w:val="41650F9C"/>
    <w:rsid w:val="42004864"/>
    <w:rsid w:val="424860D2"/>
    <w:rsid w:val="424A5077"/>
    <w:rsid w:val="426C0506"/>
    <w:rsid w:val="43232629"/>
    <w:rsid w:val="445115D2"/>
    <w:rsid w:val="45D17A1D"/>
    <w:rsid w:val="46064ACA"/>
    <w:rsid w:val="473B0685"/>
    <w:rsid w:val="47411156"/>
    <w:rsid w:val="47733101"/>
    <w:rsid w:val="478F1D61"/>
    <w:rsid w:val="47B343B5"/>
    <w:rsid w:val="480C5B3E"/>
    <w:rsid w:val="481E0710"/>
    <w:rsid w:val="48EB642B"/>
    <w:rsid w:val="4A621E0C"/>
    <w:rsid w:val="4AA916E7"/>
    <w:rsid w:val="4B5F2195"/>
    <w:rsid w:val="4C051C9C"/>
    <w:rsid w:val="4C0650FC"/>
    <w:rsid w:val="4C2F48E8"/>
    <w:rsid w:val="4C6774D3"/>
    <w:rsid w:val="4DB92B07"/>
    <w:rsid w:val="4EA973E8"/>
    <w:rsid w:val="4EAC070E"/>
    <w:rsid w:val="4EC0153A"/>
    <w:rsid w:val="4EFF0E96"/>
    <w:rsid w:val="4F83650B"/>
    <w:rsid w:val="4F837F80"/>
    <w:rsid w:val="4FE56D34"/>
    <w:rsid w:val="50AE5B33"/>
    <w:rsid w:val="50C529B2"/>
    <w:rsid w:val="51185ECD"/>
    <w:rsid w:val="514D16F8"/>
    <w:rsid w:val="51AE5717"/>
    <w:rsid w:val="52124463"/>
    <w:rsid w:val="52511E01"/>
    <w:rsid w:val="52627DAB"/>
    <w:rsid w:val="53287732"/>
    <w:rsid w:val="541F03AC"/>
    <w:rsid w:val="547406A5"/>
    <w:rsid w:val="54CA0AEC"/>
    <w:rsid w:val="55512FE3"/>
    <w:rsid w:val="56B2378D"/>
    <w:rsid w:val="570E1B7D"/>
    <w:rsid w:val="587D13BE"/>
    <w:rsid w:val="589658F5"/>
    <w:rsid w:val="591612EA"/>
    <w:rsid w:val="594F2A8B"/>
    <w:rsid w:val="59DD2FE2"/>
    <w:rsid w:val="5A0F6842"/>
    <w:rsid w:val="5A7D1893"/>
    <w:rsid w:val="5AD9194A"/>
    <w:rsid w:val="5AF65560"/>
    <w:rsid w:val="5B4E5095"/>
    <w:rsid w:val="5CD478FD"/>
    <w:rsid w:val="5D246E7A"/>
    <w:rsid w:val="5D431218"/>
    <w:rsid w:val="5D4361AE"/>
    <w:rsid w:val="5E520791"/>
    <w:rsid w:val="5E535EE5"/>
    <w:rsid w:val="5EC6593C"/>
    <w:rsid w:val="5FAA1071"/>
    <w:rsid w:val="5FF655F4"/>
    <w:rsid w:val="6105188D"/>
    <w:rsid w:val="61533A4A"/>
    <w:rsid w:val="619E0AB7"/>
    <w:rsid w:val="61DF2C4E"/>
    <w:rsid w:val="62251304"/>
    <w:rsid w:val="625E14D8"/>
    <w:rsid w:val="63767625"/>
    <w:rsid w:val="63B83AD7"/>
    <w:rsid w:val="64AA535B"/>
    <w:rsid w:val="654939E3"/>
    <w:rsid w:val="65A82464"/>
    <w:rsid w:val="65CC201A"/>
    <w:rsid w:val="65D01B96"/>
    <w:rsid w:val="670648FC"/>
    <w:rsid w:val="68A77392"/>
    <w:rsid w:val="69490586"/>
    <w:rsid w:val="6A6A6FEF"/>
    <w:rsid w:val="6AED50CA"/>
    <w:rsid w:val="6D3214C6"/>
    <w:rsid w:val="6E2E04FD"/>
    <w:rsid w:val="6EA02F2B"/>
    <w:rsid w:val="6EB428FB"/>
    <w:rsid w:val="6EFC09F4"/>
    <w:rsid w:val="6F074403"/>
    <w:rsid w:val="6FA678F9"/>
    <w:rsid w:val="6FF758AD"/>
    <w:rsid w:val="715F4A78"/>
    <w:rsid w:val="72DB02EA"/>
    <w:rsid w:val="72DF0017"/>
    <w:rsid w:val="73E2490F"/>
    <w:rsid w:val="74FE30DA"/>
    <w:rsid w:val="757035C8"/>
    <w:rsid w:val="759D68D9"/>
    <w:rsid w:val="77A071CF"/>
    <w:rsid w:val="782177E9"/>
    <w:rsid w:val="78333C51"/>
    <w:rsid w:val="7A9D0F2F"/>
    <w:rsid w:val="7B3F716E"/>
    <w:rsid w:val="7B7F5C9D"/>
    <w:rsid w:val="7E116F41"/>
    <w:rsid w:val="7E4C111D"/>
    <w:rsid w:val="7FC66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90"/>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299"/>
    <w:qFormat/>
    <w:uiPriority w:val="0"/>
    <w:pPr>
      <w:keepNext/>
      <w:keepLines/>
      <w:spacing w:before="260" w:after="260" w:line="416" w:lineRule="auto"/>
      <w:outlineLvl w:val="2"/>
    </w:pPr>
    <w:rPr>
      <w:b/>
      <w:bCs/>
      <w:sz w:val="32"/>
      <w:szCs w:val="32"/>
    </w:rPr>
  </w:style>
  <w:style w:type="paragraph" w:styleId="6">
    <w:name w:val="heading 4"/>
    <w:basedOn w:val="1"/>
    <w:next w:val="1"/>
    <w:link w:val="158"/>
    <w:qFormat/>
    <w:uiPriority w:val="0"/>
    <w:pPr>
      <w:widowControl/>
      <w:spacing w:before="100" w:beforeAutospacing="1" w:after="100" w:afterAutospacing="1"/>
      <w:jc w:val="left"/>
      <w:outlineLvl w:val="3"/>
    </w:pPr>
    <w:rPr>
      <w:rFonts w:ascii="宋体" w:hAnsi="宋体" w:cs="宋体"/>
      <w:b/>
      <w:bCs/>
      <w:kern w:val="0"/>
      <w:sz w:val="24"/>
    </w:rPr>
  </w:style>
  <w:style w:type="paragraph" w:styleId="7">
    <w:name w:val="heading 5"/>
    <w:basedOn w:val="1"/>
    <w:next w:val="1"/>
    <w:link w:val="272"/>
    <w:qFormat/>
    <w:uiPriority w:val="0"/>
    <w:pPr>
      <w:widowControl/>
      <w:spacing w:before="100" w:beforeAutospacing="1" w:after="100" w:afterAutospacing="1"/>
      <w:jc w:val="left"/>
      <w:outlineLvl w:val="4"/>
    </w:pPr>
    <w:rPr>
      <w:rFonts w:ascii="宋体" w:hAnsi="宋体" w:cs="宋体"/>
      <w:b/>
      <w:bCs/>
      <w:kern w:val="0"/>
      <w:sz w:val="20"/>
      <w:szCs w:val="20"/>
    </w:rPr>
  </w:style>
  <w:style w:type="paragraph" w:styleId="8">
    <w:name w:val="heading 6"/>
    <w:basedOn w:val="9"/>
    <w:next w:val="1"/>
    <w:link w:val="228"/>
    <w:qFormat/>
    <w:uiPriority w:val="0"/>
    <w:pPr>
      <w:keepNext/>
      <w:keepLines/>
      <w:ind w:firstLine="200" w:firstLineChars="200"/>
      <w:outlineLvl w:val="5"/>
    </w:pPr>
    <w:rPr>
      <w:rFonts w:hAnsi="Arial"/>
    </w:rPr>
  </w:style>
  <w:style w:type="paragraph" w:styleId="10">
    <w:name w:val="heading 7"/>
    <w:basedOn w:val="1"/>
    <w:next w:val="1"/>
    <w:link w:val="283"/>
    <w:qFormat/>
    <w:uiPriority w:val="0"/>
    <w:pPr>
      <w:keepNext/>
      <w:keepLines/>
      <w:adjustRightInd w:val="0"/>
      <w:spacing w:line="480" w:lineRule="atLeast"/>
      <w:ind w:left="1425" w:leftChars="175" w:hanging="900" w:hangingChars="300"/>
      <w:textAlignment w:val="baseline"/>
      <w:outlineLvl w:val="6"/>
    </w:pPr>
    <w:rPr>
      <w:rFonts w:eastAsia="仿宋_GB2312"/>
      <w:kern w:val="0"/>
      <w:sz w:val="30"/>
      <w:szCs w:val="20"/>
    </w:rPr>
  </w:style>
  <w:style w:type="paragraph" w:styleId="11">
    <w:name w:val="heading 8"/>
    <w:basedOn w:val="1"/>
    <w:next w:val="1"/>
    <w:link w:val="242"/>
    <w:qFormat/>
    <w:uiPriority w:val="0"/>
    <w:pPr>
      <w:adjustRightInd w:val="0"/>
      <w:spacing w:line="480" w:lineRule="atLeast"/>
      <w:ind w:left="2232" w:leftChars="450" w:hanging="882" w:hangingChars="294"/>
      <w:textAlignment w:val="baseline"/>
      <w:outlineLvl w:val="7"/>
    </w:pPr>
    <w:rPr>
      <w:rFonts w:hAnsi="Arial" w:eastAsia="仿宋_GB2312"/>
      <w:kern w:val="0"/>
      <w:sz w:val="30"/>
      <w:szCs w:val="20"/>
    </w:rPr>
  </w:style>
  <w:style w:type="paragraph" w:styleId="12">
    <w:name w:val="heading 9"/>
    <w:basedOn w:val="1"/>
    <w:next w:val="1"/>
    <w:link w:val="241"/>
    <w:qFormat/>
    <w:uiPriority w:val="0"/>
    <w:pPr>
      <w:keepNext/>
      <w:keepLines/>
      <w:adjustRightInd w:val="0"/>
      <w:spacing w:line="480" w:lineRule="atLeast"/>
      <w:ind w:left="2979" w:leftChars="715" w:hanging="834" w:hangingChars="278"/>
      <w:textAlignment w:val="baseline"/>
      <w:outlineLvl w:val="8"/>
    </w:pPr>
    <w:rPr>
      <w:rFonts w:eastAsia="仿宋_GB2312"/>
      <w:kern w:val="0"/>
      <w:sz w:val="30"/>
      <w:szCs w:val="20"/>
    </w:rPr>
  </w:style>
  <w:style w:type="character" w:default="1" w:styleId="47">
    <w:name w:val="Default Paragraph Font"/>
    <w:semiHidden/>
    <w:unhideWhenUsed/>
    <w:qFormat/>
    <w:uiPriority w:val="1"/>
  </w:style>
  <w:style w:type="table" w:default="1" w:styleId="4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25"/>
    <w:qFormat/>
    <w:uiPriority w:val="0"/>
    <w:pPr>
      <w:spacing w:after="120"/>
    </w:pPr>
  </w:style>
  <w:style w:type="paragraph" w:styleId="9">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3">
    <w:name w:val="toc 7"/>
    <w:basedOn w:val="1"/>
    <w:next w:val="1"/>
    <w:qFormat/>
    <w:uiPriority w:val="39"/>
    <w:pPr>
      <w:ind w:left="1260"/>
      <w:jc w:val="left"/>
    </w:pPr>
    <w:rPr>
      <w:sz w:val="18"/>
      <w:szCs w:val="18"/>
    </w:rPr>
  </w:style>
  <w:style w:type="paragraph" w:styleId="14">
    <w:name w:val="caption"/>
    <w:basedOn w:val="1"/>
    <w:next w:val="1"/>
    <w:qFormat/>
    <w:uiPriority w:val="0"/>
    <w:rPr>
      <w:rFonts w:ascii="Cambria" w:hAnsi="Cambria" w:eastAsia="黑体"/>
      <w:sz w:val="20"/>
      <w:szCs w:val="20"/>
    </w:rPr>
  </w:style>
  <w:style w:type="paragraph" w:styleId="15">
    <w:name w:val="Document Map"/>
    <w:basedOn w:val="1"/>
    <w:link w:val="162"/>
    <w:qFormat/>
    <w:uiPriority w:val="0"/>
    <w:pPr>
      <w:shd w:val="clear" w:color="auto" w:fill="000080"/>
    </w:pPr>
  </w:style>
  <w:style w:type="paragraph" w:styleId="16">
    <w:name w:val="annotation text"/>
    <w:basedOn w:val="1"/>
    <w:link w:val="305"/>
    <w:qFormat/>
    <w:uiPriority w:val="99"/>
    <w:pPr>
      <w:jc w:val="left"/>
    </w:pPr>
  </w:style>
  <w:style w:type="paragraph" w:styleId="17">
    <w:name w:val="Body Text 3"/>
    <w:basedOn w:val="1"/>
    <w:link w:val="257"/>
    <w:qFormat/>
    <w:uiPriority w:val="0"/>
    <w:pPr>
      <w:spacing w:after="120"/>
    </w:pPr>
    <w:rPr>
      <w:sz w:val="16"/>
      <w:szCs w:val="16"/>
    </w:rPr>
  </w:style>
  <w:style w:type="paragraph" w:styleId="18">
    <w:name w:val="Body Text Indent"/>
    <w:basedOn w:val="1"/>
    <w:link w:val="240"/>
    <w:qFormat/>
    <w:uiPriority w:val="0"/>
    <w:pPr>
      <w:ind w:firstLine="407" w:firstLineChars="200"/>
    </w:p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index 4"/>
    <w:basedOn w:val="1"/>
    <w:next w:val="1"/>
    <w:qFormat/>
    <w:uiPriority w:val="0"/>
    <w:pPr>
      <w:ind w:left="600" w:leftChars="600"/>
    </w:pPr>
  </w:style>
  <w:style w:type="paragraph" w:styleId="21">
    <w:name w:val="toc 5"/>
    <w:basedOn w:val="1"/>
    <w:next w:val="1"/>
    <w:qFormat/>
    <w:uiPriority w:val="39"/>
    <w:pPr>
      <w:ind w:left="840"/>
      <w:jc w:val="left"/>
    </w:pPr>
    <w:rPr>
      <w:sz w:val="18"/>
      <w:szCs w:val="18"/>
    </w:rPr>
  </w:style>
  <w:style w:type="paragraph" w:styleId="22">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23">
    <w:name w:val="Plain Text"/>
    <w:basedOn w:val="1"/>
    <w:link w:val="202"/>
    <w:qFormat/>
    <w:uiPriority w:val="0"/>
    <w:rPr>
      <w:rFonts w:ascii="宋体" w:hAnsi="Courier New" w:cs="Courier New"/>
      <w:szCs w:val="21"/>
    </w:rPr>
  </w:style>
  <w:style w:type="paragraph" w:styleId="24">
    <w:name w:val="toc 8"/>
    <w:basedOn w:val="1"/>
    <w:next w:val="1"/>
    <w:qFormat/>
    <w:uiPriority w:val="39"/>
    <w:pPr>
      <w:ind w:left="1470"/>
      <w:jc w:val="left"/>
    </w:pPr>
    <w:rPr>
      <w:sz w:val="18"/>
      <w:szCs w:val="18"/>
    </w:rPr>
  </w:style>
  <w:style w:type="paragraph" w:styleId="25">
    <w:name w:val="Date"/>
    <w:basedOn w:val="1"/>
    <w:next w:val="1"/>
    <w:link w:val="166"/>
    <w:qFormat/>
    <w:uiPriority w:val="0"/>
    <w:pPr>
      <w:ind w:left="100" w:leftChars="2500"/>
    </w:pPr>
  </w:style>
  <w:style w:type="paragraph" w:styleId="26">
    <w:name w:val="Body Text Indent 2"/>
    <w:basedOn w:val="1"/>
    <w:link w:val="237"/>
    <w:qFormat/>
    <w:uiPriority w:val="0"/>
    <w:pPr>
      <w:widowControl/>
      <w:spacing w:line="480" w:lineRule="auto"/>
      <w:ind w:firstLine="560"/>
      <w:jc w:val="left"/>
    </w:pPr>
    <w:rPr>
      <w:kern w:val="0"/>
      <w:sz w:val="28"/>
    </w:rPr>
  </w:style>
  <w:style w:type="paragraph" w:styleId="27">
    <w:name w:val="endnote text"/>
    <w:basedOn w:val="1"/>
    <w:link w:val="210"/>
    <w:qFormat/>
    <w:uiPriority w:val="0"/>
    <w:pPr>
      <w:widowControl/>
      <w:snapToGrid w:val="0"/>
      <w:jc w:val="left"/>
    </w:pPr>
    <w:rPr>
      <w:rFonts w:ascii="Arial" w:hAnsi="Arial" w:cs="Arial"/>
      <w:kern w:val="0"/>
      <w:sz w:val="20"/>
      <w:lang w:eastAsia="en-US"/>
    </w:rPr>
  </w:style>
  <w:style w:type="paragraph" w:styleId="28">
    <w:name w:val="Balloon Text"/>
    <w:basedOn w:val="1"/>
    <w:link w:val="205"/>
    <w:qFormat/>
    <w:uiPriority w:val="0"/>
    <w:rPr>
      <w:sz w:val="18"/>
      <w:szCs w:val="18"/>
    </w:rPr>
  </w:style>
  <w:style w:type="paragraph" w:styleId="29">
    <w:name w:val="footer"/>
    <w:basedOn w:val="1"/>
    <w:link w:val="197"/>
    <w:qFormat/>
    <w:uiPriority w:val="0"/>
    <w:pPr>
      <w:tabs>
        <w:tab w:val="center" w:pos="4153"/>
        <w:tab w:val="right" w:pos="8306"/>
      </w:tabs>
      <w:snapToGrid w:val="0"/>
      <w:jc w:val="left"/>
    </w:pPr>
    <w:rPr>
      <w:sz w:val="18"/>
      <w:szCs w:val="18"/>
    </w:rPr>
  </w:style>
  <w:style w:type="paragraph" w:styleId="30">
    <w:name w:val="header"/>
    <w:basedOn w:val="1"/>
    <w:link w:val="291"/>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3"/>
    <w:next w:val="1"/>
    <w:qFormat/>
    <w:uiPriority w:val="39"/>
    <w:pPr>
      <w:keepNext w:val="0"/>
      <w:keepLines w:val="0"/>
      <w:spacing w:before="120" w:after="120" w:line="240" w:lineRule="auto"/>
      <w:jc w:val="left"/>
      <w:outlineLvl w:val="9"/>
    </w:pPr>
    <w:rPr>
      <w:caps/>
      <w:kern w:val="2"/>
      <w:sz w:val="20"/>
      <w:szCs w:val="20"/>
    </w:rPr>
  </w:style>
  <w:style w:type="paragraph" w:styleId="32">
    <w:name w:val="toc 4"/>
    <w:basedOn w:val="6"/>
    <w:next w:val="1"/>
    <w:qFormat/>
    <w:uiPriority w:val="39"/>
    <w:pPr>
      <w:widowControl w:val="0"/>
      <w:spacing w:before="0" w:beforeAutospacing="0" w:after="0" w:afterAutospacing="0"/>
      <w:ind w:left="630"/>
      <w:outlineLvl w:val="9"/>
    </w:pPr>
    <w:rPr>
      <w:rFonts w:ascii="Times New Roman" w:hAnsi="Times New Roman" w:cs="Times New Roman"/>
      <w:b w:val="0"/>
      <w:bCs w:val="0"/>
      <w:kern w:val="2"/>
      <w:sz w:val="18"/>
      <w:szCs w:val="18"/>
    </w:rPr>
  </w:style>
  <w:style w:type="paragraph" w:styleId="33">
    <w:name w:val="Subtitle"/>
    <w:basedOn w:val="1"/>
    <w:link w:val="307"/>
    <w:qFormat/>
    <w:uiPriority w:val="0"/>
    <w:pPr>
      <w:widowControl/>
      <w:jc w:val="center"/>
    </w:pPr>
    <w:rPr>
      <w:kern w:val="0"/>
      <w:sz w:val="20"/>
      <w:u w:val="single"/>
      <w:lang w:eastAsia="en-US"/>
    </w:rPr>
  </w:style>
  <w:style w:type="paragraph" w:styleId="34">
    <w:name w:val="footnote text"/>
    <w:basedOn w:val="1"/>
    <w:link w:val="285"/>
    <w:qFormat/>
    <w:uiPriority w:val="0"/>
    <w:pPr>
      <w:widowControl/>
      <w:snapToGrid w:val="0"/>
      <w:jc w:val="left"/>
    </w:pPr>
    <w:rPr>
      <w:rFonts w:ascii="Arial" w:hAnsi="Arial" w:cs="Arial"/>
      <w:kern w:val="0"/>
      <w:sz w:val="18"/>
      <w:szCs w:val="18"/>
      <w:lang w:eastAsia="en-US"/>
    </w:rPr>
  </w:style>
  <w:style w:type="paragraph" w:styleId="35">
    <w:name w:val="toc 6"/>
    <w:basedOn w:val="1"/>
    <w:next w:val="1"/>
    <w:qFormat/>
    <w:uiPriority w:val="39"/>
    <w:pPr>
      <w:ind w:left="1050"/>
      <w:jc w:val="left"/>
    </w:pPr>
    <w:rPr>
      <w:sz w:val="18"/>
      <w:szCs w:val="18"/>
    </w:rPr>
  </w:style>
  <w:style w:type="paragraph" w:styleId="36">
    <w:name w:val="Body Text Indent 3"/>
    <w:basedOn w:val="1"/>
    <w:link w:val="244"/>
    <w:qFormat/>
    <w:uiPriority w:val="0"/>
    <w:pPr>
      <w:spacing w:line="360" w:lineRule="auto"/>
      <w:ind w:firstLine="280" w:firstLineChars="100"/>
    </w:pPr>
    <w:rPr>
      <w:rFonts w:ascii="宋体" w:hAnsi="宋体"/>
      <w:sz w:val="28"/>
      <w:szCs w:val="28"/>
    </w:rPr>
  </w:style>
  <w:style w:type="paragraph" w:styleId="37">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38">
    <w:name w:val="toc 9"/>
    <w:basedOn w:val="1"/>
    <w:next w:val="1"/>
    <w:qFormat/>
    <w:uiPriority w:val="39"/>
    <w:pPr>
      <w:ind w:left="1680"/>
      <w:jc w:val="left"/>
    </w:pPr>
    <w:rPr>
      <w:sz w:val="18"/>
      <w:szCs w:val="18"/>
    </w:rPr>
  </w:style>
  <w:style w:type="paragraph" w:styleId="39">
    <w:name w:val="Body Text 2"/>
    <w:basedOn w:val="1"/>
    <w:link w:val="231"/>
    <w:qFormat/>
    <w:uiPriority w:val="0"/>
    <w:rPr>
      <w:i/>
      <w:iCs/>
      <w:sz w:val="26"/>
    </w:rPr>
  </w:style>
  <w:style w:type="paragraph" w:styleId="40">
    <w:name w:val="HTML Preformatted"/>
    <w:basedOn w:val="1"/>
    <w:link w:val="161"/>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kern w:val="0"/>
      <w:sz w:val="24"/>
    </w:rPr>
  </w:style>
  <w:style w:type="paragraph" w:styleId="4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2">
    <w:name w:val="index 1"/>
    <w:basedOn w:val="1"/>
    <w:next w:val="1"/>
    <w:qFormat/>
    <w:uiPriority w:val="0"/>
    <w:pPr>
      <w:spacing w:line="220" w:lineRule="exact"/>
      <w:jc w:val="center"/>
    </w:pPr>
    <w:rPr>
      <w:rFonts w:ascii="仿宋_GB2312" w:eastAsia="仿宋_GB2312"/>
      <w:szCs w:val="21"/>
    </w:rPr>
  </w:style>
  <w:style w:type="paragraph" w:styleId="43">
    <w:name w:val="Title"/>
    <w:basedOn w:val="1"/>
    <w:link w:val="236"/>
    <w:qFormat/>
    <w:uiPriority w:val="0"/>
    <w:pPr>
      <w:widowControl/>
      <w:jc w:val="center"/>
    </w:pPr>
    <w:rPr>
      <w:kern w:val="0"/>
      <w:sz w:val="20"/>
      <w:u w:val="single"/>
      <w:lang w:eastAsia="en-US"/>
    </w:rPr>
  </w:style>
  <w:style w:type="paragraph" w:styleId="44">
    <w:name w:val="annotation subject"/>
    <w:basedOn w:val="16"/>
    <w:next w:val="16"/>
    <w:link w:val="280"/>
    <w:qFormat/>
    <w:uiPriority w:val="0"/>
    <w:rPr>
      <w:b/>
      <w:bCs/>
    </w:rPr>
  </w:style>
  <w:style w:type="table" w:styleId="46">
    <w:name w:val="Table Grid"/>
    <w:basedOn w:val="4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8">
    <w:name w:val="Strong"/>
    <w:qFormat/>
    <w:uiPriority w:val="0"/>
    <w:rPr>
      <w:b/>
      <w:bCs/>
    </w:rPr>
  </w:style>
  <w:style w:type="character" w:styleId="49">
    <w:name w:val="endnote reference"/>
    <w:qFormat/>
    <w:uiPriority w:val="0"/>
    <w:rPr>
      <w:vertAlign w:val="superscript"/>
    </w:rPr>
  </w:style>
  <w:style w:type="character" w:styleId="50">
    <w:name w:val="page number"/>
    <w:basedOn w:val="47"/>
    <w:qFormat/>
    <w:uiPriority w:val="0"/>
  </w:style>
  <w:style w:type="character" w:styleId="51">
    <w:name w:val="FollowedHyperlink"/>
    <w:qFormat/>
    <w:uiPriority w:val="0"/>
    <w:rPr>
      <w:color w:val="800080"/>
      <w:u w:val="single"/>
    </w:rPr>
  </w:style>
  <w:style w:type="character" w:styleId="52">
    <w:name w:val="Emphasis"/>
    <w:qFormat/>
    <w:uiPriority w:val="0"/>
    <w:rPr>
      <w:i/>
      <w:iCs/>
    </w:rPr>
  </w:style>
  <w:style w:type="character" w:styleId="53">
    <w:name w:val="Hyperlink"/>
    <w:qFormat/>
    <w:uiPriority w:val="99"/>
    <w:rPr>
      <w:color w:val="0000FF"/>
      <w:u w:val="single"/>
    </w:rPr>
  </w:style>
  <w:style w:type="character" w:styleId="54">
    <w:name w:val="annotation reference"/>
    <w:qFormat/>
    <w:uiPriority w:val="0"/>
    <w:rPr>
      <w:sz w:val="21"/>
      <w:szCs w:val="21"/>
    </w:rPr>
  </w:style>
  <w:style w:type="character" w:styleId="55">
    <w:name w:val="footnote reference"/>
    <w:qFormat/>
    <w:uiPriority w:val="0"/>
    <w:rPr>
      <w:vertAlign w:val="superscript"/>
    </w:rPr>
  </w:style>
  <w:style w:type="paragraph" w:styleId="56">
    <w:name w:val="List Paragraph"/>
    <w:basedOn w:val="1"/>
    <w:qFormat/>
    <w:uiPriority w:val="99"/>
    <w:pPr>
      <w:ind w:firstLine="420" w:firstLineChars="200"/>
    </w:pPr>
    <w:rPr>
      <w:sz w:val="28"/>
      <w:szCs w:val="28"/>
    </w:rPr>
  </w:style>
  <w:style w:type="paragraph" w:customStyle="1" w:styleId="57">
    <w:name w:val="_Style 56"/>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8">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59">
    <w:name w:val="Char Char Char Char Char Char 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0">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61">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62">
    <w:name w:val="1 Char"/>
    <w:basedOn w:val="1"/>
    <w:qFormat/>
    <w:uiPriority w:val="0"/>
    <w:pPr>
      <w:widowControl/>
      <w:spacing w:after="160" w:line="240" w:lineRule="exact"/>
      <w:jc w:val="left"/>
    </w:pPr>
    <w:rPr>
      <w:rFonts w:ascii="Calibri" w:hAnsi="Calibri"/>
      <w:szCs w:val="20"/>
    </w:rPr>
  </w:style>
  <w:style w:type="paragraph" w:customStyle="1" w:styleId="63">
    <w:name w:val="列表段落1"/>
    <w:basedOn w:val="1"/>
    <w:qFormat/>
    <w:uiPriority w:val="34"/>
    <w:pPr>
      <w:ind w:firstLine="420" w:firstLineChars="200"/>
    </w:pPr>
    <w:rPr>
      <w:rFonts w:ascii="Calibri" w:hAnsi="Calibri"/>
    </w:rPr>
  </w:style>
  <w:style w:type="paragraph" w:customStyle="1" w:styleId="64">
    <w:name w:val="Char Char Char Char Char Char Char Char Char Char"/>
    <w:basedOn w:val="15"/>
    <w:qFormat/>
    <w:uiPriority w:val="0"/>
    <w:pPr>
      <w:spacing w:line="360" w:lineRule="auto"/>
      <w:ind w:firstLine="200" w:firstLineChars="200"/>
    </w:pPr>
    <w:rPr>
      <w:rFonts w:ascii="Tahoma" w:hAnsi="Tahoma"/>
      <w:sz w:val="24"/>
    </w:rPr>
  </w:style>
  <w:style w:type="paragraph" w:customStyle="1" w:styleId="65">
    <w:name w:val="样式 标题 3 + (中文) 黑体 小四 非加粗 段前: 7.8 磅 段后: 0 磅 行距: 固定值 20 磅"/>
    <w:basedOn w:val="5"/>
    <w:next w:val="1"/>
    <w:qFormat/>
    <w:uiPriority w:val="0"/>
    <w:pPr>
      <w:spacing w:before="0" w:after="0" w:line="400" w:lineRule="exact"/>
    </w:pPr>
    <w:rPr>
      <w:rFonts w:eastAsia="黑体" w:cs="宋体"/>
      <w:b w:val="0"/>
      <w:bCs w:val="0"/>
      <w:sz w:val="24"/>
      <w:szCs w:val="20"/>
    </w:rPr>
  </w:style>
  <w:style w:type="paragraph" w:customStyle="1" w:styleId="66">
    <w:name w:val="正文 New New New New New New New New New New New New New New New"/>
    <w:qFormat/>
    <w:uiPriority w:val="0"/>
    <w:pPr>
      <w:widowControl w:val="0"/>
      <w:jc w:val="both"/>
    </w:pPr>
    <w:rPr>
      <w:rFonts w:ascii="Calibri" w:hAnsi="Calibri" w:eastAsia="宋体" w:cs="Times New Roman"/>
      <w:kern w:val="2"/>
      <w:sz w:val="21"/>
      <w:lang w:val="en-US" w:eastAsia="zh-CN" w:bidi="ar-SA"/>
    </w:rPr>
  </w:style>
  <w:style w:type="paragraph" w:customStyle="1" w:styleId="67">
    <w:name w:val="TOC 标题2"/>
    <w:basedOn w:val="3"/>
    <w:next w:val="1"/>
    <w:unhideWhenUsed/>
    <w:qFormat/>
    <w:uiPriority w:val="0"/>
    <w:pPr>
      <w:outlineLvl w:val="9"/>
    </w:pPr>
    <w:rPr>
      <w:rFonts w:ascii="Calibri" w:hAnsi="Calibri"/>
    </w:rPr>
  </w:style>
  <w:style w:type="paragraph" w:customStyle="1" w:styleId="68">
    <w:name w:val="样式1"/>
    <w:basedOn w:val="1"/>
    <w:next w:val="6"/>
    <w:qFormat/>
    <w:uiPriority w:val="0"/>
    <w:pPr>
      <w:spacing w:line="360" w:lineRule="auto"/>
      <w:ind w:firstLine="420" w:firstLineChars="200"/>
    </w:pPr>
    <w:rPr>
      <w:rFonts w:ascii="宋体" w:hAnsi="宋体"/>
      <w:szCs w:val="21"/>
    </w:rPr>
  </w:style>
  <w:style w:type="paragraph" w:customStyle="1" w:styleId="69">
    <w:name w:val="列出段落1"/>
    <w:basedOn w:val="1"/>
    <w:qFormat/>
    <w:uiPriority w:val="0"/>
    <w:pPr>
      <w:ind w:firstLine="420" w:firstLineChars="200"/>
    </w:pPr>
    <w:rPr>
      <w:sz w:val="28"/>
      <w:szCs w:val="28"/>
    </w:rPr>
  </w:style>
  <w:style w:type="paragraph" w:customStyle="1" w:styleId="70">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71">
    <w:name w:val="pa-27"/>
    <w:basedOn w:val="1"/>
    <w:qFormat/>
    <w:uiPriority w:val="0"/>
    <w:pPr>
      <w:widowControl/>
      <w:spacing w:line="360" w:lineRule="atLeast"/>
      <w:ind w:firstLine="420"/>
    </w:pPr>
    <w:rPr>
      <w:rFonts w:ascii="宋体" w:hAnsi="宋体" w:cs="宋体"/>
      <w:kern w:val="0"/>
      <w:sz w:val="24"/>
    </w:rPr>
  </w:style>
  <w:style w:type="paragraph" w:customStyle="1" w:styleId="72">
    <w:name w:val="标题1"/>
    <w:basedOn w:val="1"/>
    <w:qFormat/>
    <w:uiPriority w:val="0"/>
    <w:pPr>
      <w:widowControl/>
      <w:spacing w:before="100" w:beforeAutospacing="1" w:after="100" w:afterAutospacing="1"/>
      <w:jc w:val="left"/>
    </w:pPr>
    <w:rPr>
      <w:rFonts w:ascii="宋体" w:hAnsi="宋体" w:cs="宋体"/>
      <w:kern w:val="0"/>
      <w:sz w:val="24"/>
    </w:rPr>
  </w:style>
  <w:style w:type="paragraph" w:customStyle="1" w:styleId="73">
    <w:name w:val="_Style 72"/>
    <w:qFormat/>
    <w:uiPriority w:val="0"/>
    <w:rPr>
      <w:rFonts w:ascii="Times New Roman" w:hAnsi="Times New Roman" w:eastAsia="宋体" w:cs="Times New Roman"/>
      <w:kern w:val="2"/>
      <w:sz w:val="21"/>
      <w:szCs w:val="24"/>
      <w:lang w:val="en-US" w:eastAsia="zh-CN" w:bidi="ar-SA"/>
    </w:rPr>
  </w:style>
  <w:style w:type="paragraph" w:customStyle="1" w:styleId="74">
    <w:name w:val="Char Char1 Char Char Char Char Char Char Char Char Char Char"/>
    <w:basedOn w:val="1"/>
    <w:qFormat/>
    <w:uiPriority w:val="0"/>
    <w:pPr>
      <w:autoSpaceDE w:val="0"/>
      <w:autoSpaceDN w:val="0"/>
      <w:adjustRightInd w:val="0"/>
      <w:ind w:firstLine="482"/>
    </w:pPr>
    <w:rPr>
      <w:rFonts w:ascii="Calibri" w:hAnsi="Calibri"/>
      <w:szCs w:val="20"/>
    </w:rPr>
  </w:style>
  <w:style w:type="paragraph" w:customStyle="1" w:styleId="75">
    <w:name w:val="_Style 3"/>
    <w:qFormat/>
    <w:uiPriority w:val="0"/>
    <w:pPr>
      <w:widowControl w:val="0"/>
      <w:snapToGrid w:val="0"/>
      <w:spacing w:line="360" w:lineRule="auto"/>
    </w:pPr>
    <w:rPr>
      <w:rFonts w:ascii="Calibri" w:hAnsi="Calibri" w:eastAsia="宋体" w:cs="Times New Roman"/>
      <w:snapToGrid w:val="0"/>
      <w:sz w:val="21"/>
      <w:szCs w:val="24"/>
      <w:lang w:val="en-US" w:eastAsia="zh-CN" w:bidi="ar-SA"/>
    </w:rPr>
  </w:style>
  <w:style w:type="paragraph" w:customStyle="1" w:styleId="76">
    <w:name w:val="Char Char Char Char"/>
    <w:basedOn w:val="15"/>
    <w:qFormat/>
    <w:uiPriority w:val="0"/>
    <w:pPr>
      <w:spacing w:line="360" w:lineRule="auto"/>
      <w:ind w:firstLine="200" w:firstLineChars="200"/>
    </w:pPr>
    <w:rPr>
      <w:rFonts w:ascii="Tahoma" w:hAnsi="Tahoma"/>
      <w:sz w:val="24"/>
    </w:rPr>
  </w:style>
  <w:style w:type="paragraph" w:customStyle="1" w:styleId="77">
    <w:name w:val="表格内容"/>
    <w:basedOn w:val="1"/>
    <w:qFormat/>
    <w:uiPriority w:val="0"/>
    <w:pPr>
      <w:suppressLineNumbers/>
      <w:suppressAutoHyphens/>
    </w:pPr>
  </w:style>
  <w:style w:type="paragraph" w:customStyle="1" w:styleId="78">
    <w:name w:val="_Style 90"/>
    <w:next w:val="1"/>
    <w:qFormat/>
    <w:uiPriority w:val="0"/>
    <w:pPr>
      <w:widowControl w:val="0"/>
      <w:jc w:val="both"/>
    </w:pPr>
    <w:rPr>
      <w:rFonts w:ascii="Calibri" w:hAnsi="Calibri" w:eastAsia="宋体" w:cs="Times New Roman"/>
      <w:kern w:val="2"/>
      <w:sz w:val="21"/>
      <w:szCs w:val="24"/>
      <w:lang w:val="en-US" w:eastAsia="zh-CN" w:bidi="ar-SA"/>
    </w:rPr>
  </w:style>
  <w:style w:type="paragraph" w:customStyle="1" w:styleId="79">
    <w:name w:val="标准样式（文件）"/>
    <w:qFormat/>
    <w:uiPriority w:val="0"/>
    <w:pPr>
      <w:widowControl w:val="0"/>
      <w:spacing w:line="600" w:lineRule="exact"/>
      <w:ind w:firstLine="567"/>
    </w:pPr>
    <w:rPr>
      <w:rFonts w:ascii="Calibri" w:hAnsi="Calibri" w:eastAsia="宋体" w:cs="Times New Roman"/>
      <w:sz w:val="28"/>
      <w:lang w:val="en-US" w:eastAsia="zh-CN" w:bidi="ar-SA"/>
    </w:rPr>
  </w:style>
  <w:style w:type="paragraph" w:customStyle="1" w:styleId="80">
    <w:name w:val="_Style 105"/>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81">
    <w:name w:val="Intense Quote"/>
    <w:basedOn w:val="1"/>
    <w:next w:val="1"/>
    <w:link w:val="275"/>
    <w:qFormat/>
    <w:uiPriority w:val="0"/>
    <w:pPr>
      <w:pBdr>
        <w:bottom w:val="single" w:color="4F81BD" w:sz="4" w:space="4"/>
      </w:pBdr>
      <w:spacing w:before="200" w:after="280"/>
      <w:ind w:left="936" w:right="936"/>
    </w:pPr>
    <w:rPr>
      <w:b/>
      <w:bCs/>
      <w:i/>
      <w:iCs/>
      <w:color w:val="4F81BD"/>
      <w:szCs w:val="22"/>
    </w:rPr>
  </w:style>
  <w:style w:type="paragraph" w:customStyle="1" w:styleId="82">
    <w:name w:val="表体"/>
    <w:basedOn w:val="1"/>
    <w:next w:val="1"/>
    <w:qFormat/>
    <w:uiPriority w:val="0"/>
    <w:pPr>
      <w:spacing w:line="0" w:lineRule="atLeast"/>
    </w:pPr>
    <w:rPr>
      <w:rFonts w:ascii="Calibri" w:hAnsi="Calibri"/>
      <w:b/>
      <w:snapToGrid w:val="0"/>
      <w:szCs w:val="20"/>
    </w:rPr>
  </w:style>
  <w:style w:type="paragraph" w:customStyle="1" w:styleId="83">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customStyle="1" w:styleId="84">
    <w:name w:val="pa-34"/>
    <w:basedOn w:val="1"/>
    <w:qFormat/>
    <w:uiPriority w:val="0"/>
    <w:pPr>
      <w:widowControl/>
      <w:spacing w:line="360" w:lineRule="atLeast"/>
      <w:ind w:firstLine="420"/>
      <w:jc w:val="left"/>
    </w:pPr>
    <w:rPr>
      <w:rFonts w:ascii="宋体" w:hAnsi="宋体" w:cs="宋体"/>
      <w:kern w:val="0"/>
      <w:sz w:val="24"/>
    </w:rPr>
  </w:style>
  <w:style w:type="paragraph" w:customStyle="1" w:styleId="85">
    <w:name w:val="g3"/>
    <w:basedOn w:val="1"/>
    <w:qFormat/>
    <w:uiPriority w:val="0"/>
    <w:pPr>
      <w:widowControl/>
      <w:spacing w:before="100" w:beforeAutospacing="1" w:after="100" w:afterAutospacing="1"/>
      <w:jc w:val="left"/>
    </w:pPr>
    <w:rPr>
      <w:rFonts w:ascii="宋体" w:hAnsi="宋体" w:cs="宋体"/>
      <w:kern w:val="0"/>
      <w:sz w:val="24"/>
    </w:rPr>
  </w:style>
  <w:style w:type="paragraph" w:customStyle="1" w:styleId="86">
    <w:name w:val="1"/>
    <w:basedOn w:val="1"/>
    <w:qFormat/>
    <w:uiPriority w:val="0"/>
    <w:pPr>
      <w:widowControl/>
      <w:spacing w:before="100" w:beforeAutospacing="1" w:after="100" w:afterAutospacing="1"/>
      <w:jc w:val="left"/>
    </w:pPr>
    <w:rPr>
      <w:rFonts w:ascii="ˎ̥" w:hAnsi="ˎ̥" w:cs="宋体"/>
      <w:kern w:val="0"/>
      <w:sz w:val="24"/>
    </w:rPr>
  </w:style>
  <w:style w:type="paragraph" w:customStyle="1" w:styleId="87">
    <w:name w:val="p16"/>
    <w:basedOn w:val="1"/>
    <w:qFormat/>
    <w:uiPriority w:val="0"/>
    <w:pPr>
      <w:widowControl/>
    </w:pPr>
    <w:rPr>
      <w:rFonts w:ascii="Calibri" w:hAnsi="Calibri" w:cs="宋体"/>
      <w:kern w:val="0"/>
      <w:szCs w:val="21"/>
    </w:rPr>
  </w:style>
  <w:style w:type="paragraph" w:customStyle="1" w:styleId="88">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89">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9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1">
    <w:name w:val="标题4"/>
    <w:basedOn w:val="4"/>
    <w:next w:val="20"/>
    <w:link w:val="286"/>
    <w:qFormat/>
    <w:uiPriority w:val="0"/>
    <w:pPr>
      <w:spacing w:line="413" w:lineRule="auto"/>
    </w:pPr>
    <w:rPr>
      <w:rFonts w:ascii="Arial" w:hAnsi="Arial"/>
      <w:kern w:val="0"/>
      <w:sz w:val="24"/>
    </w:rPr>
  </w:style>
  <w:style w:type="paragraph" w:customStyle="1" w:styleId="92">
    <w:name w:val="Char Char"/>
    <w:basedOn w:val="1"/>
    <w:qFormat/>
    <w:uiPriority w:val="0"/>
    <w:pPr>
      <w:widowControl/>
      <w:jc w:val="left"/>
    </w:pPr>
    <w:rPr>
      <w:rFonts w:ascii="Verdana" w:hAnsi="Verdana" w:eastAsia="Times New Roman"/>
      <w:kern w:val="0"/>
      <w:sz w:val="16"/>
      <w:szCs w:val="20"/>
      <w:lang w:eastAsia="en-US"/>
    </w:rPr>
  </w:style>
  <w:style w:type="paragraph" w:customStyle="1" w:styleId="9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94">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95">
    <w:name w:val="WW-表格内容"/>
    <w:basedOn w:val="1"/>
    <w:qFormat/>
    <w:uiPriority w:val="0"/>
    <w:pPr>
      <w:suppressLineNumbers/>
      <w:suppressAutoHyphens/>
    </w:pPr>
  </w:style>
  <w:style w:type="paragraph" w:customStyle="1" w:styleId="96">
    <w:name w:val="Char"/>
    <w:basedOn w:val="1"/>
    <w:qFormat/>
    <w:uiPriority w:val="0"/>
  </w:style>
  <w:style w:type="paragraph" w:customStyle="1" w:styleId="97">
    <w:name w:val="明显引用11"/>
    <w:basedOn w:val="1"/>
    <w:next w:val="1"/>
    <w:qFormat/>
    <w:uiPriority w:val="30"/>
    <w:pPr>
      <w:pBdr>
        <w:bottom w:val="single" w:color="4F81BD" w:sz="4" w:space="4"/>
      </w:pBdr>
      <w:spacing w:before="200" w:after="280"/>
      <w:ind w:left="936" w:right="936"/>
    </w:pPr>
    <w:rPr>
      <w:rFonts w:ascii="Calibri" w:hAnsi="Calibri"/>
      <w:b/>
      <w:bCs/>
      <w:i/>
      <w:iCs/>
      <w:color w:val="4F81BD"/>
      <w:szCs w:val="22"/>
    </w:rPr>
  </w:style>
  <w:style w:type="paragraph" w:customStyle="1" w:styleId="98">
    <w:name w:val="Normal_47"/>
    <w:qFormat/>
    <w:uiPriority w:val="0"/>
    <w:pPr>
      <w:spacing w:before="120" w:after="240"/>
      <w:jc w:val="both"/>
    </w:pPr>
    <w:rPr>
      <w:rFonts w:ascii="Calibri" w:hAnsi="Calibri" w:eastAsia="Calibri" w:cs="Times New Roman"/>
      <w:sz w:val="22"/>
      <w:szCs w:val="22"/>
      <w:lang w:val="ru-RU" w:eastAsia="en-US" w:bidi="ar-SA"/>
    </w:rPr>
  </w:style>
  <w:style w:type="paragraph" w:customStyle="1" w:styleId="99">
    <w:name w:val="样式15"/>
    <w:basedOn w:val="5"/>
    <w:qFormat/>
    <w:uiPriority w:val="0"/>
    <w:pPr>
      <w:keepNext w:val="0"/>
      <w:keepLines w:val="0"/>
      <w:tabs>
        <w:tab w:val="left" w:pos="0"/>
        <w:tab w:val="left" w:pos="210"/>
        <w:tab w:val="left" w:pos="420"/>
        <w:tab w:val="left" w:pos="1260"/>
      </w:tabs>
      <w:adjustRightInd w:val="0"/>
      <w:spacing w:before="0" w:after="0" w:line="240" w:lineRule="auto"/>
      <w:jc w:val="left"/>
    </w:pPr>
    <w:rPr>
      <w:rFonts w:ascii="仿宋_GB2312" w:hAnsi="Calibri" w:eastAsia="仿宋_GB2312"/>
      <w:bCs w:val="0"/>
      <w:szCs w:val="24"/>
    </w:rPr>
  </w:style>
  <w:style w:type="paragraph" w:customStyle="1" w:styleId="100">
    <w:name w:val="rr"/>
    <w:basedOn w:val="1"/>
    <w:qFormat/>
    <w:uiPriority w:val="0"/>
    <w:pPr>
      <w:widowControl/>
      <w:spacing w:before="100" w:beforeAutospacing="1" w:after="100" w:afterAutospacing="1"/>
      <w:jc w:val="left"/>
    </w:pPr>
    <w:rPr>
      <w:rFonts w:hint="eastAsia" w:ascii="宋体" w:hAnsi="宋体"/>
      <w:kern w:val="0"/>
      <w:szCs w:val="21"/>
    </w:rPr>
  </w:style>
  <w:style w:type="paragraph" w:customStyle="1" w:styleId="101">
    <w:name w:val="Char9 Char Char Char Char Char Char"/>
    <w:basedOn w:val="15"/>
    <w:qFormat/>
    <w:uiPriority w:val="0"/>
    <w:pPr>
      <w:spacing w:line="360" w:lineRule="auto"/>
      <w:ind w:firstLine="200" w:firstLineChars="200"/>
    </w:pPr>
    <w:rPr>
      <w:rFonts w:ascii="Tahoma" w:hAnsi="Tahoma"/>
      <w:sz w:val="24"/>
    </w:rPr>
  </w:style>
  <w:style w:type="paragraph" w:customStyle="1" w:styleId="102">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03">
    <w:name w:val="Default"/>
    <w:qFormat/>
    <w:uiPriority w:val="99"/>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04">
    <w:name w:val="p15"/>
    <w:basedOn w:val="1"/>
    <w:qFormat/>
    <w:uiPriority w:val="0"/>
    <w:pPr>
      <w:widowControl/>
      <w:spacing w:after="120"/>
    </w:pPr>
    <w:rPr>
      <w:kern w:val="0"/>
      <w:szCs w:val="21"/>
    </w:rPr>
  </w:style>
  <w:style w:type="paragraph" w:customStyle="1" w:styleId="105">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06">
    <w:name w:val="正  文"/>
    <w:basedOn w:val="1"/>
    <w:qFormat/>
    <w:uiPriority w:val="0"/>
    <w:pPr>
      <w:spacing w:line="360" w:lineRule="auto"/>
      <w:ind w:firstLine="200" w:firstLineChars="200"/>
    </w:pPr>
    <w:rPr>
      <w:rFonts w:ascii="宋体" w:hAnsi="Calibri"/>
      <w:sz w:val="24"/>
    </w:rPr>
  </w:style>
  <w:style w:type="paragraph" w:customStyle="1" w:styleId="107">
    <w:name w:val="列出段落11"/>
    <w:basedOn w:val="1"/>
    <w:qFormat/>
    <w:uiPriority w:val="0"/>
    <w:pPr>
      <w:ind w:firstLine="420" w:firstLineChars="200"/>
    </w:pPr>
    <w:rPr>
      <w:sz w:val="28"/>
      <w:szCs w:val="28"/>
    </w:rPr>
  </w:style>
  <w:style w:type="paragraph" w:customStyle="1" w:styleId="10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09">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10">
    <w:name w:val="_Style 96"/>
    <w:semiHidden/>
    <w:qFormat/>
    <w:uiPriority w:val="99"/>
    <w:rPr>
      <w:rFonts w:ascii="Calibri" w:hAnsi="Calibri" w:eastAsia="宋体" w:cs="Times New Roman"/>
      <w:kern w:val="2"/>
      <w:sz w:val="21"/>
      <w:szCs w:val="24"/>
      <w:lang w:val="en-US" w:eastAsia="zh-CN" w:bidi="ar-SA"/>
    </w:rPr>
  </w:style>
  <w:style w:type="paragraph" w:customStyle="1" w:styleId="111">
    <w:name w:val="表格文字"/>
    <w:basedOn w:val="1"/>
    <w:qFormat/>
    <w:uiPriority w:val="0"/>
    <w:pPr>
      <w:adjustRightInd w:val="0"/>
      <w:spacing w:line="420" w:lineRule="atLeast"/>
      <w:jc w:val="left"/>
      <w:textAlignment w:val="baseline"/>
    </w:pPr>
    <w:rPr>
      <w:kern w:val="0"/>
      <w:szCs w:val="20"/>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Char1"/>
    <w:basedOn w:val="1"/>
    <w:qFormat/>
    <w:uiPriority w:val="0"/>
  </w:style>
  <w:style w:type="paragraph" w:customStyle="1" w:styleId="114">
    <w:name w:val="TOC 标题1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15">
    <w:name w:val="引用2"/>
    <w:basedOn w:val="1"/>
    <w:next w:val="1"/>
    <w:link w:val="238"/>
    <w:qFormat/>
    <w:uiPriority w:val="0"/>
    <w:rPr>
      <w:i/>
      <w:iCs/>
      <w:color w:val="000000"/>
    </w:rPr>
  </w:style>
  <w:style w:type="paragraph" w:customStyle="1" w:styleId="116">
    <w:name w:val="链接"/>
    <w:qFormat/>
    <w:uiPriority w:val="0"/>
    <w:pPr>
      <w:widowControl w:val="0"/>
      <w:autoSpaceDE w:val="0"/>
      <w:autoSpaceDN w:val="0"/>
      <w:adjustRightInd w:val="0"/>
      <w:ind w:left="720"/>
    </w:pPr>
    <w:rPr>
      <w:rFonts w:ascii="Calibri" w:hAnsi="Calibri" w:eastAsia="宋体" w:cs="Times New Roman"/>
      <w:color w:val="0000FF"/>
      <w:sz w:val="21"/>
      <w:szCs w:val="21"/>
      <w:u w:val="single"/>
      <w:lang w:val="en-US" w:eastAsia="zh-CN" w:bidi="ar-SA"/>
    </w:rPr>
  </w:style>
  <w:style w:type="paragraph" w:styleId="117">
    <w:name w:val="Quote"/>
    <w:basedOn w:val="1"/>
    <w:next w:val="1"/>
    <w:link w:val="188"/>
    <w:qFormat/>
    <w:uiPriority w:val="0"/>
    <w:rPr>
      <w:i/>
      <w:iCs/>
      <w:color w:val="000000"/>
      <w:szCs w:val="22"/>
    </w:rPr>
  </w:style>
  <w:style w:type="paragraph" w:customStyle="1" w:styleId="118">
    <w:name w:val="修订1"/>
    <w:qFormat/>
    <w:uiPriority w:val="0"/>
    <w:rPr>
      <w:rFonts w:ascii="Times New Roman" w:hAnsi="Times New Roman" w:eastAsia="宋体" w:cs="Times New Roman"/>
      <w:kern w:val="2"/>
      <w:sz w:val="21"/>
      <w:szCs w:val="24"/>
      <w:lang w:val="en-US" w:eastAsia="zh-CN" w:bidi="ar-SA"/>
    </w:rPr>
  </w:style>
  <w:style w:type="paragraph" w:customStyle="1" w:styleId="119">
    <w:name w:val="xl65"/>
    <w:basedOn w:val="1"/>
    <w:qFormat/>
    <w:uiPriority w:val="0"/>
    <w:pPr>
      <w:widowControl/>
      <w:spacing w:before="100" w:beforeAutospacing="1" w:after="100" w:afterAutospacing="1"/>
      <w:jc w:val="center"/>
    </w:pPr>
    <w:rPr>
      <w:rFonts w:ascii="黑体" w:hAnsi="宋体" w:eastAsia="黑体"/>
      <w:b/>
      <w:kern w:val="0"/>
      <w:sz w:val="36"/>
      <w:szCs w:val="20"/>
    </w:rPr>
  </w:style>
  <w:style w:type="paragraph" w:customStyle="1" w:styleId="120">
    <w:name w:val="Char2"/>
    <w:basedOn w:val="1"/>
    <w:qFormat/>
    <w:uiPriority w:val="0"/>
    <w:rPr>
      <w:rFonts w:ascii="Calibri" w:hAnsi="Calibri"/>
    </w:rPr>
  </w:style>
  <w:style w:type="paragraph" w:customStyle="1" w:styleId="121">
    <w:name w:val="标题5"/>
    <w:basedOn w:val="5"/>
    <w:link w:val="284"/>
    <w:qFormat/>
    <w:uiPriority w:val="0"/>
    <w:pPr>
      <w:spacing w:line="413" w:lineRule="auto"/>
    </w:pPr>
    <w:rPr>
      <w:rFonts w:ascii="Arial" w:hAnsi="Arial"/>
      <w:kern w:val="0"/>
      <w:sz w:val="24"/>
    </w:rPr>
  </w:style>
  <w:style w:type="paragraph" w:styleId="122">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3">
    <w:name w:val="TOC 标题1"/>
    <w:basedOn w:val="3"/>
    <w:next w:val="1"/>
    <w:qFormat/>
    <w:uiPriority w:val="0"/>
    <w:pPr>
      <w:widowControl/>
      <w:spacing w:before="480" w:after="0" w:line="276" w:lineRule="auto"/>
      <w:jc w:val="left"/>
      <w:outlineLvl w:val="9"/>
    </w:pPr>
    <w:rPr>
      <w:rFonts w:ascii="Cambria" w:hAnsi="Cambria"/>
      <w:color w:val="365F91"/>
      <w:kern w:val="0"/>
      <w:sz w:val="28"/>
      <w:szCs w:val="28"/>
    </w:rPr>
  </w:style>
  <w:style w:type="paragraph" w:customStyle="1" w:styleId="124">
    <w:name w:val="表格标题"/>
    <w:basedOn w:val="77"/>
    <w:qFormat/>
    <w:uiPriority w:val="0"/>
  </w:style>
  <w:style w:type="paragraph" w:customStyle="1" w:styleId="125">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126">
    <w:name w:val="2"/>
    <w:next w:val="1"/>
    <w:qFormat/>
    <w:uiPriority w:val="99"/>
    <w:pPr>
      <w:widowControl w:val="0"/>
      <w:jc w:val="both"/>
    </w:pPr>
    <w:rPr>
      <w:rFonts w:ascii="Calibri" w:hAnsi="Calibri" w:eastAsia="宋体" w:cs="Times New Roman"/>
      <w:kern w:val="2"/>
      <w:sz w:val="21"/>
      <w:szCs w:val="24"/>
      <w:lang w:val="en-US" w:eastAsia="zh-CN" w:bidi="ar-SA"/>
    </w:rPr>
  </w:style>
  <w:style w:type="paragraph" w:customStyle="1" w:styleId="127">
    <w:name w:val="intel1"/>
    <w:basedOn w:val="1"/>
    <w:qFormat/>
    <w:uiPriority w:val="0"/>
    <w:pPr>
      <w:widowControl/>
      <w:spacing w:before="100" w:beforeAutospacing="1" w:after="100" w:afterAutospacing="1"/>
      <w:jc w:val="left"/>
    </w:pPr>
    <w:rPr>
      <w:rFonts w:ascii="宋体" w:hAnsi="宋体" w:cs="宋体"/>
      <w:kern w:val="0"/>
      <w:sz w:val="24"/>
    </w:rPr>
  </w:style>
  <w:style w:type="paragraph" w:customStyle="1" w:styleId="128">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29">
    <w:name w:val="标题2"/>
    <w:basedOn w:val="1"/>
    <w:qFormat/>
    <w:uiPriority w:val="0"/>
    <w:pPr>
      <w:widowControl/>
      <w:spacing w:before="100" w:beforeAutospacing="1" w:after="100" w:afterAutospacing="1"/>
      <w:jc w:val="left"/>
    </w:pPr>
    <w:rPr>
      <w:rFonts w:ascii="宋体" w:hAnsi="宋体" w:cs="宋体"/>
      <w:kern w:val="0"/>
      <w:sz w:val="24"/>
    </w:rPr>
  </w:style>
  <w:style w:type="paragraph" w:customStyle="1" w:styleId="130">
    <w:name w:val="WW-表格标题"/>
    <w:basedOn w:val="95"/>
    <w:qFormat/>
    <w:uiPriority w:val="0"/>
  </w:style>
  <w:style w:type="paragraph" w:customStyle="1" w:styleId="131">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132">
    <w:name w:val="明显引用1"/>
    <w:basedOn w:val="1"/>
    <w:next w:val="1"/>
    <w:link w:val="248"/>
    <w:qFormat/>
    <w:uiPriority w:val="30"/>
    <w:pPr>
      <w:pBdr>
        <w:bottom w:val="single" w:color="4F81BD" w:sz="4" w:space="4"/>
      </w:pBdr>
      <w:spacing w:before="200" w:after="280"/>
      <w:ind w:left="936" w:right="936"/>
    </w:pPr>
    <w:rPr>
      <w:b/>
      <w:bCs/>
      <w:i/>
      <w:iCs/>
      <w:color w:val="4F81BD"/>
      <w:szCs w:val="20"/>
    </w:rPr>
  </w:style>
  <w:style w:type="paragraph" w:customStyle="1" w:styleId="133">
    <w:name w:val="标准样式1"/>
    <w:basedOn w:val="1"/>
    <w:qFormat/>
    <w:uiPriority w:val="0"/>
    <w:pPr>
      <w:spacing w:line="600" w:lineRule="exact"/>
      <w:ind w:firstLine="567"/>
    </w:pPr>
    <w:rPr>
      <w:rFonts w:ascii="Calibri" w:hAnsi="Calibri"/>
      <w:sz w:val="28"/>
    </w:rPr>
  </w:style>
  <w:style w:type="paragraph" w:customStyle="1" w:styleId="134">
    <w:name w:val="Char3"/>
    <w:basedOn w:val="1"/>
    <w:qFormat/>
    <w:uiPriority w:val="0"/>
  </w:style>
  <w:style w:type="paragraph" w:customStyle="1" w:styleId="135">
    <w:name w:val="p17"/>
    <w:basedOn w:val="1"/>
    <w:qFormat/>
    <w:uiPriority w:val="0"/>
    <w:pPr>
      <w:widowControl/>
      <w:spacing w:before="120" w:after="120"/>
      <w:jc w:val="left"/>
    </w:pPr>
    <w:rPr>
      <w:rFonts w:ascii="Calibri" w:hAnsi="Calibri" w:cs="宋体"/>
      <w:b/>
      <w:bCs/>
      <w:caps/>
      <w:kern w:val="0"/>
      <w:sz w:val="28"/>
      <w:szCs w:val="28"/>
    </w:rPr>
  </w:style>
  <w:style w:type="paragraph" w:customStyle="1" w:styleId="136">
    <w:name w:val="Char Char1 Char Char"/>
    <w:basedOn w:val="15"/>
    <w:qFormat/>
    <w:uiPriority w:val="0"/>
    <w:pPr>
      <w:shd w:val="clear" w:color="auto" w:fill="auto"/>
      <w:tabs>
        <w:tab w:val="left" w:pos="630"/>
      </w:tabs>
      <w:adjustRightInd w:val="0"/>
      <w:spacing w:line="436" w:lineRule="exact"/>
      <w:ind w:left="357"/>
      <w:jc w:val="left"/>
      <w:outlineLvl w:val="3"/>
    </w:pPr>
    <w:rPr>
      <w:rFonts w:ascii="Calibri" w:hAnsi="Calibri" w:eastAsia="Times New Roman"/>
      <w:sz w:val="18"/>
      <w:szCs w:val="20"/>
    </w:rPr>
  </w:style>
  <w:style w:type="paragraph" w:customStyle="1" w:styleId="137">
    <w:name w:val="引用1"/>
    <w:basedOn w:val="1"/>
    <w:next w:val="1"/>
    <w:link w:val="262"/>
    <w:qFormat/>
    <w:uiPriority w:val="29"/>
    <w:rPr>
      <w:i/>
      <w:iCs/>
      <w:color w:val="000000"/>
      <w:szCs w:val="20"/>
    </w:rPr>
  </w:style>
  <w:style w:type="paragraph" w:customStyle="1" w:styleId="138">
    <w:name w:val="_Style 87"/>
    <w:basedOn w:val="1"/>
    <w:qFormat/>
    <w:uiPriority w:val="99"/>
    <w:pPr>
      <w:ind w:firstLine="420" w:firstLineChars="200"/>
    </w:pPr>
    <w:rPr>
      <w:rFonts w:ascii="Calibri" w:hAnsi="Calibri"/>
      <w:sz w:val="28"/>
      <w:szCs w:val="28"/>
    </w:rPr>
  </w:style>
  <w:style w:type="paragraph" w:customStyle="1" w:styleId="139">
    <w:name w:val="自定样式1"/>
    <w:basedOn w:val="1"/>
    <w:qFormat/>
    <w:uiPriority w:val="0"/>
    <w:pPr>
      <w:suppressAutoHyphens/>
      <w:jc w:val="center"/>
    </w:pPr>
    <w:rPr>
      <w:rFonts w:ascii="宋体" w:hAnsi="宋体"/>
      <w:color w:val="000000"/>
      <w:sz w:val="18"/>
    </w:rPr>
  </w:style>
  <w:style w:type="paragraph" w:customStyle="1" w:styleId="140">
    <w:name w:val="p0"/>
    <w:basedOn w:val="1"/>
    <w:qFormat/>
    <w:uiPriority w:val="0"/>
    <w:pPr>
      <w:widowControl/>
      <w:spacing w:before="100" w:beforeAutospacing="1" w:after="100" w:afterAutospacing="1"/>
      <w:jc w:val="left"/>
    </w:pPr>
    <w:rPr>
      <w:rFonts w:ascii="宋体" w:hAnsi="宋体" w:cs="宋体"/>
      <w:kern w:val="0"/>
      <w:sz w:val="24"/>
    </w:rPr>
  </w:style>
  <w:style w:type="paragraph" w:customStyle="1" w:styleId="141">
    <w:name w:val="样式 标题 2 + Times New Roman 四号 非加粗 段前: 5 磅 段后: 0 磅 行距: 固定值 20..."/>
    <w:basedOn w:val="4"/>
    <w:qFormat/>
    <w:uiPriority w:val="0"/>
    <w:pPr>
      <w:spacing w:before="100" w:after="0" w:line="400" w:lineRule="exact"/>
    </w:pPr>
    <w:rPr>
      <w:rFonts w:ascii="Times New Roman" w:hAnsi="Times New Roman" w:eastAsia="黑体" w:cs="宋体"/>
      <w:b w:val="0"/>
      <w:bCs w:val="0"/>
      <w:sz w:val="28"/>
      <w:szCs w:val="20"/>
    </w:rPr>
  </w:style>
  <w:style w:type="character" w:customStyle="1" w:styleId="142">
    <w:name w:val="未处理的提及"/>
    <w:unhideWhenUsed/>
    <w:qFormat/>
    <w:uiPriority w:val="99"/>
    <w:rPr>
      <w:color w:val="808080"/>
      <w:shd w:val="clear" w:color="auto" w:fill="E6E6E6"/>
    </w:rPr>
  </w:style>
  <w:style w:type="character" w:customStyle="1" w:styleId="143">
    <w:name w:val="正文文本 3 Char"/>
    <w:qFormat/>
    <w:uiPriority w:val="0"/>
    <w:rPr>
      <w:kern w:val="2"/>
      <w:sz w:val="16"/>
      <w:szCs w:val="16"/>
    </w:rPr>
  </w:style>
  <w:style w:type="character" w:customStyle="1" w:styleId="144">
    <w:name w:val="正文文本缩进 Char2"/>
    <w:semiHidden/>
    <w:qFormat/>
    <w:uiPriority w:val="99"/>
    <w:rPr>
      <w:rFonts w:ascii="Calibri" w:hAnsi="Calibri" w:eastAsia="宋体" w:cs="Times New Roman"/>
      <w:szCs w:val="24"/>
    </w:rPr>
  </w:style>
  <w:style w:type="character" w:customStyle="1" w:styleId="145">
    <w:name w:val="标题 3 Char"/>
    <w:qFormat/>
    <w:uiPriority w:val="0"/>
    <w:rPr>
      <w:rFonts w:ascii="仿宋_GB2312" w:hAnsi="Calibri" w:eastAsia="仿宋_GB2312" w:cs="Times New Roman"/>
      <w:b/>
      <w:kern w:val="0"/>
      <w:sz w:val="24"/>
      <w:szCs w:val="28"/>
    </w:rPr>
  </w:style>
  <w:style w:type="character" w:customStyle="1" w:styleId="146">
    <w:name w:val="批注框文本 Char2"/>
    <w:qFormat/>
    <w:uiPriority w:val="99"/>
    <w:rPr>
      <w:kern w:val="2"/>
      <w:sz w:val="18"/>
      <w:szCs w:val="18"/>
    </w:rPr>
  </w:style>
  <w:style w:type="character" w:customStyle="1" w:styleId="147">
    <w:name w:val="textcontents"/>
    <w:qFormat/>
    <w:uiPriority w:val="0"/>
    <w:rPr>
      <w:rFonts w:cs="Times New Roman"/>
    </w:rPr>
  </w:style>
  <w:style w:type="character" w:customStyle="1" w:styleId="148">
    <w:name w:val="ht1"/>
    <w:qFormat/>
    <w:uiPriority w:val="0"/>
    <w:rPr>
      <w:rFonts w:ascii="黑体" w:eastAsia="黑体"/>
      <w:b/>
      <w:bCs/>
    </w:rPr>
  </w:style>
  <w:style w:type="character" w:customStyle="1" w:styleId="149">
    <w:name w:val="标题 Char"/>
    <w:qFormat/>
    <w:uiPriority w:val="0"/>
    <w:rPr>
      <w:rFonts w:ascii="Cambria" w:hAnsi="Cambria" w:eastAsia="宋体" w:cs="Times New Roman"/>
      <w:b/>
      <w:bCs/>
      <w:kern w:val="2"/>
      <w:sz w:val="32"/>
      <w:szCs w:val="32"/>
    </w:rPr>
  </w:style>
  <w:style w:type="character" w:customStyle="1" w:styleId="150">
    <w:name w:val="14t1"/>
    <w:qFormat/>
    <w:uiPriority w:val="0"/>
    <w:rPr>
      <w:rFonts w:hint="eastAsia" w:ascii="宋体" w:hAnsi="宋体" w:eastAsia="宋体"/>
      <w:sz w:val="11"/>
      <w:szCs w:val="11"/>
    </w:rPr>
  </w:style>
  <w:style w:type="character" w:customStyle="1" w:styleId="151">
    <w:name w:val="Char Char36"/>
    <w:qFormat/>
    <w:uiPriority w:val="0"/>
    <w:rPr>
      <w:rFonts w:ascii="仿宋_GB2312" w:eastAsia="仿宋_GB2312" w:cs="MingLiU"/>
      <w:b/>
      <w:sz w:val="24"/>
      <w:szCs w:val="28"/>
    </w:rPr>
  </w:style>
  <w:style w:type="character" w:customStyle="1" w:styleId="152">
    <w:name w:val="文档结构图 Char"/>
    <w:qFormat/>
    <w:uiPriority w:val="0"/>
    <w:rPr>
      <w:rFonts w:ascii="宋体"/>
      <w:kern w:val="2"/>
      <w:sz w:val="18"/>
      <w:szCs w:val="18"/>
    </w:rPr>
  </w:style>
  <w:style w:type="character" w:customStyle="1" w:styleId="153">
    <w:name w:val="普通文字 Char Char2"/>
    <w:qFormat/>
    <w:uiPriority w:val="0"/>
    <w:rPr>
      <w:rFonts w:ascii="宋体" w:hAnsi="Courier New"/>
      <w:kern w:val="2"/>
      <w:sz w:val="28"/>
      <w:szCs w:val="28"/>
    </w:rPr>
  </w:style>
  <w:style w:type="character" w:customStyle="1" w:styleId="154">
    <w:name w:val="HTML 预设格式 Char"/>
    <w:qFormat/>
    <w:uiPriority w:val="0"/>
    <w:rPr>
      <w:rFonts w:ascii="宋体" w:hAnsi="宋体" w:eastAsia="宋体" w:cs="宋体"/>
      <w:color w:val="000000"/>
      <w:sz w:val="24"/>
      <w:szCs w:val="24"/>
    </w:rPr>
  </w:style>
  <w:style w:type="character" w:customStyle="1" w:styleId="155">
    <w:name w:val="纯文本 Char"/>
    <w:qFormat/>
    <w:uiPriority w:val="0"/>
    <w:rPr>
      <w:rFonts w:ascii="宋体" w:hAnsi="Courier New"/>
      <w:sz w:val="28"/>
      <w:szCs w:val="28"/>
    </w:rPr>
  </w:style>
  <w:style w:type="character" w:customStyle="1" w:styleId="156">
    <w:name w:val="批注框文本 Char"/>
    <w:qFormat/>
    <w:uiPriority w:val="0"/>
    <w:rPr>
      <w:sz w:val="18"/>
      <w:szCs w:val="18"/>
    </w:rPr>
  </w:style>
  <w:style w:type="character" w:customStyle="1" w:styleId="157">
    <w:name w:val="页脚 Char"/>
    <w:qFormat/>
    <w:uiPriority w:val="0"/>
    <w:rPr>
      <w:sz w:val="18"/>
      <w:szCs w:val="18"/>
    </w:rPr>
  </w:style>
  <w:style w:type="character" w:customStyle="1" w:styleId="158">
    <w:name w:val="标题 4 Char2"/>
    <w:link w:val="6"/>
    <w:qFormat/>
    <w:uiPriority w:val="0"/>
    <w:rPr>
      <w:rFonts w:ascii="宋体" w:hAnsi="宋体" w:eastAsia="宋体" w:cs="宋体"/>
      <w:b/>
      <w:bCs/>
      <w:sz w:val="24"/>
      <w:szCs w:val="24"/>
      <w:lang w:val="en-US" w:eastAsia="zh-CN" w:bidi="ar-SA"/>
    </w:rPr>
  </w:style>
  <w:style w:type="character" w:customStyle="1" w:styleId="159">
    <w:name w:val="正文文本缩进 3 Char"/>
    <w:qFormat/>
    <w:uiPriority w:val="0"/>
    <w:rPr>
      <w:kern w:val="2"/>
      <w:sz w:val="16"/>
      <w:szCs w:val="16"/>
    </w:rPr>
  </w:style>
  <w:style w:type="character" w:customStyle="1" w:styleId="160">
    <w:name w:val="标题 8 Char"/>
    <w:qFormat/>
    <w:uiPriority w:val="0"/>
    <w:rPr>
      <w:rFonts w:ascii="Arial" w:hAnsi="Arial" w:eastAsia="黑体" w:cs="Times New Roman"/>
      <w:sz w:val="24"/>
      <w:szCs w:val="24"/>
    </w:rPr>
  </w:style>
  <w:style w:type="character" w:customStyle="1" w:styleId="161">
    <w:name w:val="HTML 预设格式 Char3"/>
    <w:link w:val="40"/>
    <w:qFormat/>
    <w:uiPriority w:val="0"/>
    <w:rPr>
      <w:rFonts w:ascii="宋体" w:hAnsi="宋体" w:eastAsia="宋体" w:cs="宋体"/>
      <w:color w:val="000000"/>
      <w:sz w:val="24"/>
      <w:szCs w:val="24"/>
      <w:lang w:val="en-US" w:eastAsia="zh-CN" w:bidi="ar-SA"/>
    </w:rPr>
  </w:style>
  <w:style w:type="character" w:customStyle="1" w:styleId="162">
    <w:name w:val="文档结构图 Char4"/>
    <w:link w:val="15"/>
    <w:qFormat/>
    <w:uiPriority w:val="0"/>
    <w:rPr>
      <w:rFonts w:eastAsia="宋体"/>
      <w:kern w:val="2"/>
      <w:sz w:val="21"/>
      <w:szCs w:val="24"/>
      <w:lang w:val="en-US" w:eastAsia="zh-CN" w:bidi="ar-SA"/>
    </w:rPr>
  </w:style>
  <w:style w:type="character" w:customStyle="1" w:styleId="163">
    <w:name w:val="正文文本缩进 2 Char1"/>
    <w:qFormat/>
    <w:uiPriority w:val="0"/>
    <w:rPr>
      <w:sz w:val="28"/>
      <w:szCs w:val="24"/>
    </w:rPr>
  </w:style>
  <w:style w:type="character" w:customStyle="1" w:styleId="164">
    <w:name w:val="标题 5 Char1"/>
    <w:qFormat/>
    <w:uiPriority w:val="0"/>
    <w:rPr>
      <w:rFonts w:ascii="宋体" w:hAnsi="宋体" w:eastAsia="宋体" w:cs="宋体"/>
      <w:b/>
      <w:bCs/>
      <w:sz w:val="20"/>
      <w:szCs w:val="20"/>
    </w:rPr>
  </w:style>
  <w:style w:type="character" w:customStyle="1" w:styleId="165">
    <w:name w:val="批注文字 Char"/>
    <w:qFormat/>
    <w:uiPriority w:val="0"/>
    <w:rPr>
      <w:rFonts w:ascii="Times New Roman" w:hAnsi="Times New Roman" w:eastAsia="宋体" w:cs="Times New Roman"/>
      <w:kern w:val="2"/>
      <w:sz w:val="21"/>
      <w:szCs w:val="24"/>
    </w:rPr>
  </w:style>
  <w:style w:type="character" w:customStyle="1" w:styleId="166">
    <w:name w:val="日期 Char4"/>
    <w:link w:val="25"/>
    <w:qFormat/>
    <w:uiPriority w:val="0"/>
    <w:rPr>
      <w:rFonts w:eastAsia="宋体"/>
      <w:kern w:val="2"/>
      <w:sz w:val="21"/>
      <w:szCs w:val="24"/>
      <w:lang w:val="en-US" w:eastAsia="zh-CN" w:bidi="ar-SA"/>
    </w:rPr>
  </w:style>
  <w:style w:type="character" w:customStyle="1" w:styleId="167">
    <w:name w:val="style121"/>
    <w:qFormat/>
    <w:uiPriority w:val="0"/>
    <w:rPr>
      <w:rFonts w:hint="eastAsia" w:ascii="宋体" w:hAnsi="宋体" w:eastAsia="宋体"/>
      <w:sz w:val="18"/>
      <w:szCs w:val="18"/>
    </w:rPr>
  </w:style>
  <w:style w:type="character" w:customStyle="1" w:styleId="168">
    <w:name w:val="Section Char"/>
    <w:qFormat/>
    <w:uiPriority w:val="0"/>
    <w:rPr>
      <w:rFonts w:ascii="仿宋_GB2312" w:eastAsia="仿宋_GB2312" w:cs="MingLiU"/>
      <w:b/>
      <w:sz w:val="24"/>
      <w:szCs w:val="28"/>
      <w:lang w:val="en-US" w:eastAsia="zh-CN" w:bidi="ar-SA"/>
    </w:rPr>
  </w:style>
  <w:style w:type="character" w:customStyle="1" w:styleId="169">
    <w:name w:val="正文文本 3 Char1"/>
    <w:qFormat/>
    <w:uiPriority w:val="0"/>
    <w:rPr>
      <w:kern w:val="2"/>
      <w:sz w:val="16"/>
      <w:szCs w:val="16"/>
    </w:rPr>
  </w:style>
  <w:style w:type="character" w:customStyle="1" w:styleId="170">
    <w:name w:val="文档结构图 Char1"/>
    <w:qFormat/>
    <w:uiPriority w:val="0"/>
    <w:rPr>
      <w:rFonts w:ascii="宋体"/>
      <w:kern w:val="2"/>
      <w:sz w:val="18"/>
      <w:szCs w:val="18"/>
    </w:rPr>
  </w:style>
  <w:style w:type="character" w:customStyle="1" w:styleId="171">
    <w:name w:val="_Style 170"/>
    <w:qFormat/>
    <w:uiPriority w:val="0"/>
    <w:rPr>
      <w:i/>
      <w:iCs/>
      <w:color w:val="808080"/>
    </w:rPr>
  </w:style>
  <w:style w:type="character" w:customStyle="1" w:styleId="172">
    <w:name w:val="_Style 171"/>
    <w:qFormat/>
    <w:uiPriority w:val="0"/>
    <w:rPr>
      <w:b/>
      <w:bCs/>
      <w:smallCaps/>
      <w:color w:val="C0504D"/>
      <w:spacing w:val="5"/>
      <w:u w:val="single"/>
    </w:rPr>
  </w:style>
  <w:style w:type="character" w:customStyle="1" w:styleId="173">
    <w:name w:val="标题 9 Char"/>
    <w:qFormat/>
    <w:uiPriority w:val="0"/>
    <w:rPr>
      <w:rFonts w:ascii="Arial" w:hAnsi="Arial" w:eastAsia="黑体" w:cs="Times New Roman"/>
      <w:szCs w:val="21"/>
    </w:rPr>
  </w:style>
  <w:style w:type="character" w:customStyle="1" w:styleId="174">
    <w:name w:val="页眉 Char1"/>
    <w:semiHidden/>
    <w:qFormat/>
    <w:uiPriority w:val="99"/>
    <w:rPr>
      <w:kern w:val="2"/>
      <w:sz w:val="18"/>
      <w:szCs w:val="18"/>
    </w:rPr>
  </w:style>
  <w:style w:type="character" w:customStyle="1" w:styleId="175">
    <w:name w:val="_Style 174"/>
    <w:qFormat/>
    <w:uiPriority w:val="0"/>
    <w:rPr>
      <w:b/>
      <w:bCs/>
      <w:i/>
      <w:iCs/>
      <w:color w:val="4F81BD"/>
    </w:rPr>
  </w:style>
  <w:style w:type="character" w:customStyle="1" w:styleId="176">
    <w:name w:val="Char Char35"/>
    <w:qFormat/>
    <w:uiPriority w:val="0"/>
    <w:rPr>
      <w:rFonts w:ascii="仿宋_GB2312" w:eastAsia="仿宋_GB2312" w:cs="MingLiU"/>
      <w:b/>
      <w:sz w:val="24"/>
      <w:szCs w:val="28"/>
    </w:rPr>
  </w:style>
  <w:style w:type="character" w:customStyle="1" w:styleId="177">
    <w:name w:val="日期 Char2"/>
    <w:qFormat/>
    <w:uiPriority w:val="99"/>
    <w:rPr>
      <w:kern w:val="2"/>
      <w:sz w:val="21"/>
      <w:szCs w:val="24"/>
    </w:rPr>
  </w:style>
  <w:style w:type="character" w:customStyle="1" w:styleId="178">
    <w:name w:val="Char Char22"/>
    <w:qFormat/>
    <w:uiPriority w:val="0"/>
    <w:rPr>
      <w:b/>
      <w:bCs/>
      <w:kern w:val="2"/>
      <w:sz w:val="32"/>
      <w:szCs w:val="32"/>
    </w:rPr>
  </w:style>
  <w:style w:type="character" w:customStyle="1" w:styleId="179">
    <w:name w:val="正文文本缩进 2 Char2"/>
    <w:semiHidden/>
    <w:qFormat/>
    <w:uiPriority w:val="99"/>
    <w:rPr>
      <w:rFonts w:ascii="Calibri" w:hAnsi="Calibri" w:eastAsia="宋体" w:cs="Times New Roman"/>
      <w:szCs w:val="24"/>
    </w:rPr>
  </w:style>
  <w:style w:type="character" w:customStyle="1" w:styleId="180">
    <w:name w:val="明显强调1"/>
    <w:qFormat/>
    <w:uiPriority w:val="0"/>
    <w:rPr>
      <w:b/>
      <w:bCs/>
      <w:i/>
      <w:iCs/>
      <w:color w:val="4F81BD"/>
    </w:rPr>
  </w:style>
  <w:style w:type="character" w:customStyle="1" w:styleId="181">
    <w:name w:val="Char Char14"/>
    <w:qFormat/>
    <w:uiPriority w:val="0"/>
    <w:rPr>
      <w:kern w:val="2"/>
      <w:sz w:val="18"/>
      <w:szCs w:val="18"/>
    </w:rPr>
  </w:style>
  <w:style w:type="character" w:customStyle="1" w:styleId="182">
    <w:name w:val="s3"/>
    <w:qFormat/>
    <w:uiPriority w:val="0"/>
  </w:style>
  <w:style w:type="character" w:customStyle="1" w:styleId="183">
    <w:name w:val="标题 1 Char"/>
    <w:qFormat/>
    <w:uiPriority w:val="0"/>
    <w:rPr>
      <w:rFonts w:ascii="Times New Roman" w:hAnsi="Times New Roman" w:eastAsia="宋体" w:cs="Times New Roman"/>
      <w:b/>
      <w:bCs/>
      <w:kern w:val="44"/>
      <w:sz w:val="44"/>
      <w:szCs w:val="44"/>
    </w:rPr>
  </w:style>
  <w:style w:type="character" w:customStyle="1" w:styleId="184">
    <w:name w:val="日期 Char3"/>
    <w:semiHidden/>
    <w:qFormat/>
    <w:uiPriority w:val="99"/>
    <w:rPr>
      <w:rFonts w:ascii="Calibri" w:hAnsi="Calibri" w:eastAsia="宋体" w:cs="Times New Roman"/>
      <w:szCs w:val="24"/>
    </w:rPr>
  </w:style>
  <w:style w:type="character" w:customStyle="1" w:styleId="185">
    <w:name w:val="标题 1 Char2"/>
    <w:link w:val="3"/>
    <w:qFormat/>
    <w:uiPriority w:val="0"/>
    <w:rPr>
      <w:rFonts w:eastAsia="宋体"/>
      <w:b/>
      <w:bCs/>
      <w:kern w:val="44"/>
      <w:sz w:val="44"/>
      <w:szCs w:val="44"/>
      <w:lang w:val="en-US" w:eastAsia="zh-CN" w:bidi="ar-SA"/>
    </w:rPr>
  </w:style>
  <w:style w:type="character" w:customStyle="1" w:styleId="186">
    <w:name w:val="title11"/>
    <w:qFormat/>
    <w:uiPriority w:val="0"/>
    <w:rPr>
      <w:b/>
      <w:bCs/>
      <w:color w:val="FFFFFF"/>
      <w:sz w:val="11"/>
      <w:szCs w:val="11"/>
    </w:rPr>
  </w:style>
  <w:style w:type="character" w:customStyle="1" w:styleId="187">
    <w:name w:val="明显引用 Char2"/>
    <w:qFormat/>
    <w:uiPriority w:val="99"/>
    <w:rPr>
      <w:b/>
      <w:bCs/>
      <w:i/>
      <w:iCs/>
      <w:color w:val="4F81BD"/>
      <w:kern w:val="2"/>
      <w:sz w:val="21"/>
      <w:szCs w:val="24"/>
    </w:rPr>
  </w:style>
  <w:style w:type="character" w:customStyle="1" w:styleId="188">
    <w:name w:val="引用 Char4"/>
    <w:link w:val="117"/>
    <w:qFormat/>
    <w:uiPriority w:val="0"/>
    <w:rPr>
      <w:i/>
      <w:iCs/>
      <w:color w:val="000000"/>
      <w:kern w:val="2"/>
      <w:sz w:val="21"/>
      <w:szCs w:val="22"/>
      <w:lang w:bidi="ar-SA"/>
    </w:rPr>
  </w:style>
  <w:style w:type="character" w:customStyle="1" w:styleId="189">
    <w:name w:val="批注框文本 Char3"/>
    <w:semiHidden/>
    <w:qFormat/>
    <w:uiPriority w:val="99"/>
    <w:rPr>
      <w:rFonts w:ascii="Calibri" w:hAnsi="Calibri" w:eastAsia="宋体" w:cs="Times New Roman"/>
      <w:sz w:val="18"/>
      <w:szCs w:val="18"/>
    </w:rPr>
  </w:style>
  <w:style w:type="character" w:customStyle="1" w:styleId="190">
    <w:name w:val="标题 2 Char2"/>
    <w:link w:val="4"/>
    <w:qFormat/>
    <w:uiPriority w:val="0"/>
    <w:rPr>
      <w:rFonts w:ascii="Cambria" w:hAnsi="Cambria" w:eastAsia="宋体"/>
      <w:b/>
      <w:bCs/>
      <w:kern w:val="2"/>
      <w:sz w:val="32"/>
      <w:szCs w:val="32"/>
      <w:lang w:val="en-US" w:eastAsia="zh-CN" w:bidi="ar-SA"/>
    </w:rPr>
  </w:style>
  <w:style w:type="character" w:customStyle="1" w:styleId="191">
    <w:name w:val="Char Char33"/>
    <w:qFormat/>
    <w:uiPriority w:val="0"/>
    <w:rPr>
      <w:rFonts w:ascii="仿宋_GB2312" w:eastAsia="仿宋_GB2312" w:cs="MingLiU"/>
      <w:b/>
      <w:sz w:val="24"/>
      <w:szCs w:val="28"/>
    </w:rPr>
  </w:style>
  <w:style w:type="character" w:customStyle="1" w:styleId="192">
    <w:name w:val="标题 2 Char"/>
    <w:qFormat/>
    <w:uiPriority w:val="0"/>
    <w:rPr>
      <w:rFonts w:ascii="仿宋_GB2312" w:hAnsi="Calibri" w:eastAsia="仿宋_GB2312" w:cs="Times New Roman"/>
      <w:b/>
      <w:spacing w:val="1"/>
      <w:w w:val="99"/>
      <w:kern w:val="0"/>
      <w:sz w:val="28"/>
      <w:szCs w:val="32"/>
    </w:rPr>
  </w:style>
  <w:style w:type="character" w:customStyle="1" w:styleId="193">
    <w:name w:val="l1"/>
    <w:basedOn w:val="47"/>
    <w:qFormat/>
    <w:uiPriority w:val="0"/>
  </w:style>
  <w:style w:type="character" w:customStyle="1" w:styleId="194">
    <w:name w:val="手改 Char Char"/>
    <w:qFormat/>
    <w:uiPriority w:val="0"/>
    <w:rPr>
      <w:kern w:val="2"/>
      <w:sz w:val="21"/>
      <w:szCs w:val="24"/>
    </w:rPr>
  </w:style>
  <w:style w:type="character" w:customStyle="1" w:styleId="195">
    <w:name w:val="style21"/>
    <w:qFormat/>
    <w:uiPriority w:val="0"/>
    <w:rPr>
      <w:b/>
      <w:bCs/>
      <w:sz w:val="28"/>
      <w:szCs w:val="28"/>
    </w:rPr>
  </w:style>
  <w:style w:type="character" w:customStyle="1" w:styleId="196">
    <w:name w:val="Char Char24"/>
    <w:qFormat/>
    <w:uiPriority w:val="0"/>
    <w:rPr>
      <w:b/>
      <w:bCs/>
      <w:kern w:val="44"/>
      <w:sz w:val="44"/>
      <w:szCs w:val="44"/>
    </w:rPr>
  </w:style>
  <w:style w:type="character" w:customStyle="1" w:styleId="197">
    <w:name w:val="页脚 Char2"/>
    <w:link w:val="29"/>
    <w:qFormat/>
    <w:uiPriority w:val="0"/>
    <w:rPr>
      <w:rFonts w:eastAsia="宋体"/>
      <w:kern w:val="2"/>
      <w:sz w:val="18"/>
      <w:szCs w:val="18"/>
      <w:lang w:val="en-US" w:eastAsia="zh-CN" w:bidi="ar-SA"/>
    </w:rPr>
  </w:style>
  <w:style w:type="character" w:customStyle="1" w:styleId="198">
    <w:name w:val="_Style 197"/>
    <w:qFormat/>
    <w:uiPriority w:val="0"/>
    <w:rPr>
      <w:b/>
      <w:bCs/>
      <w:smallCaps/>
      <w:spacing w:val="5"/>
    </w:rPr>
  </w:style>
  <w:style w:type="character" w:customStyle="1" w:styleId="199">
    <w:name w:val="纯文本 Char1"/>
    <w:qFormat/>
    <w:uiPriority w:val="0"/>
    <w:rPr>
      <w:rFonts w:ascii="宋体" w:hAnsi="Courier New" w:cs="Courier New"/>
      <w:kern w:val="2"/>
      <w:sz w:val="21"/>
      <w:szCs w:val="21"/>
    </w:rPr>
  </w:style>
  <w:style w:type="character" w:customStyle="1" w:styleId="200">
    <w:name w:val="尾注文本 Char"/>
    <w:qFormat/>
    <w:uiPriority w:val="0"/>
    <w:rPr>
      <w:kern w:val="2"/>
      <w:sz w:val="21"/>
      <w:szCs w:val="24"/>
    </w:rPr>
  </w:style>
  <w:style w:type="character" w:customStyle="1" w:styleId="201">
    <w:name w:val="日期 Char1"/>
    <w:qFormat/>
    <w:uiPriority w:val="0"/>
    <w:rPr>
      <w:kern w:val="2"/>
      <w:sz w:val="21"/>
      <w:szCs w:val="22"/>
    </w:rPr>
  </w:style>
  <w:style w:type="character" w:customStyle="1" w:styleId="202">
    <w:name w:val="纯文本 Char3"/>
    <w:link w:val="23"/>
    <w:qFormat/>
    <w:uiPriority w:val="0"/>
    <w:rPr>
      <w:rFonts w:ascii="宋体" w:hAnsi="Courier New" w:eastAsia="宋体" w:cs="Courier New"/>
      <w:kern w:val="2"/>
      <w:sz w:val="21"/>
      <w:szCs w:val="21"/>
      <w:lang w:val="en-US" w:eastAsia="zh-CN" w:bidi="ar-SA"/>
    </w:rPr>
  </w:style>
  <w:style w:type="character" w:customStyle="1" w:styleId="203">
    <w:name w:val="正文文本 Char1"/>
    <w:qFormat/>
    <w:uiPriority w:val="0"/>
    <w:rPr>
      <w:kern w:val="2"/>
      <w:sz w:val="21"/>
      <w:szCs w:val="22"/>
    </w:rPr>
  </w:style>
  <w:style w:type="character" w:customStyle="1" w:styleId="204">
    <w:name w:val="标题 9 Char1"/>
    <w:qFormat/>
    <w:uiPriority w:val="0"/>
    <w:rPr>
      <w:rFonts w:ascii="Times New Roman" w:hAnsi="Times New Roman" w:eastAsia="仿宋_GB2312" w:cs="Times New Roman"/>
      <w:sz w:val="30"/>
      <w:szCs w:val="20"/>
    </w:rPr>
  </w:style>
  <w:style w:type="character" w:customStyle="1" w:styleId="205">
    <w:name w:val="批注框文本 Char4"/>
    <w:link w:val="28"/>
    <w:qFormat/>
    <w:uiPriority w:val="0"/>
    <w:rPr>
      <w:rFonts w:eastAsia="宋体"/>
      <w:kern w:val="2"/>
      <w:sz w:val="18"/>
      <w:szCs w:val="18"/>
      <w:lang w:val="en-US" w:eastAsia="zh-CN" w:bidi="ar-SA"/>
    </w:rPr>
  </w:style>
  <w:style w:type="character" w:customStyle="1" w:styleId="206">
    <w:name w:val="脚注文本 Char1"/>
    <w:qFormat/>
    <w:uiPriority w:val="0"/>
    <w:rPr>
      <w:rFonts w:ascii="Arial" w:hAnsi="Arial" w:cs="Arial"/>
      <w:sz w:val="18"/>
      <w:szCs w:val="18"/>
      <w:lang w:eastAsia="en-US"/>
    </w:rPr>
  </w:style>
  <w:style w:type="character" w:customStyle="1" w:styleId="207">
    <w:name w:val="正文文本缩进 Char"/>
    <w:qFormat/>
    <w:uiPriority w:val="0"/>
    <w:rPr>
      <w:rFonts w:ascii="黑体" w:hAnsi="宋体" w:eastAsia="黑体"/>
      <w:color w:val="000000"/>
      <w:sz w:val="28"/>
      <w:szCs w:val="32"/>
    </w:rPr>
  </w:style>
  <w:style w:type="character" w:customStyle="1" w:styleId="208">
    <w:name w:val="HTML 预设格式 Char1"/>
    <w:qFormat/>
    <w:uiPriority w:val="0"/>
    <w:rPr>
      <w:rFonts w:ascii="宋体" w:hAnsi="宋体" w:cs="宋体"/>
      <w:color w:val="000000"/>
      <w:sz w:val="24"/>
      <w:szCs w:val="24"/>
    </w:rPr>
  </w:style>
  <w:style w:type="character" w:customStyle="1" w:styleId="209">
    <w:name w:val="引用 Char3"/>
    <w:qFormat/>
    <w:uiPriority w:val="29"/>
    <w:rPr>
      <w:rFonts w:ascii="Calibri" w:hAnsi="Calibri" w:eastAsia="宋体" w:cs="Times New Roman"/>
      <w:i/>
      <w:iCs/>
      <w:color w:val="000000"/>
      <w:szCs w:val="24"/>
    </w:rPr>
  </w:style>
  <w:style w:type="character" w:customStyle="1" w:styleId="210">
    <w:name w:val="尾注文本 Char3"/>
    <w:link w:val="27"/>
    <w:qFormat/>
    <w:uiPriority w:val="0"/>
    <w:rPr>
      <w:rFonts w:ascii="Arial" w:hAnsi="Arial" w:eastAsia="宋体" w:cs="Arial"/>
      <w:szCs w:val="24"/>
      <w:lang w:val="en-US" w:eastAsia="en-US" w:bidi="ar-SA"/>
    </w:rPr>
  </w:style>
  <w:style w:type="character" w:customStyle="1" w:styleId="211">
    <w:name w:val="标题 7 Char1"/>
    <w:qFormat/>
    <w:uiPriority w:val="0"/>
    <w:rPr>
      <w:rFonts w:ascii="Times New Roman" w:hAnsi="Times New Roman" w:eastAsia="仿宋_GB2312" w:cs="Times New Roman"/>
      <w:sz w:val="30"/>
      <w:szCs w:val="20"/>
    </w:rPr>
  </w:style>
  <w:style w:type="character" w:customStyle="1" w:styleId="212">
    <w:name w:val="普通文字 Char Char1"/>
    <w:qFormat/>
    <w:uiPriority w:val="0"/>
    <w:rPr>
      <w:rFonts w:ascii="宋体" w:hAnsi="Courier New"/>
      <w:kern w:val="2"/>
      <w:sz w:val="28"/>
      <w:szCs w:val="28"/>
    </w:rPr>
  </w:style>
  <w:style w:type="character" w:customStyle="1" w:styleId="213">
    <w:name w:val="明显参考1"/>
    <w:qFormat/>
    <w:uiPriority w:val="0"/>
    <w:rPr>
      <w:b/>
      <w:bCs/>
      <w:smallCaps/>
      <w:color w:val="C0504D"/>
      <w:spacing w:val="5"/>
      <w:u w:val="single"/>
    </w:rPr>
  </w:style>
  <w:style w:type="character" w:customStyle="1" w:styleId="214">
    <w:name w:val="正文文本缩进 Char1"/>
    <w:qFormat/>
    <w:uiPriority w:val="0"/>
    <w:rPr>
      <w:kern w:val="2"/>
      <w:sz w:val="21"/>
      <w:szCs w:val="24"/>
    </w:rPr>
  </w:style>
  <w:style w:type="character" w:customStyle="1" w:styleId="215">
    <w:name w:val="页眉 Char"/>
    <w:qFormat/>
    <w:uiPriority w:val="0"/>
    <w:rPr>
      <w:sz w:val="18"/>
      <w:szCs w:val="18"/>
    </w:rPr>
  </w:style>
  <w:style w:type="character" w:customStyle="1" w:styleId="216">
    <w:name w:val="style31"/>
    <w:qFormat/>
    <w:uiPriority w:val="0"/>
    <w:rPr>
      <w:sz w:val="10"/>
      <w:szCs w:val="10"/>
    </w:rPr>
  </w:style>
  <w:style w:type="character" w:customStyle="1" w:styleId="217">
    <w:name w:val="日期 Char"/>
    <w:qFormat/>
    <w:uiPriority w:val="0"/>
    <w:rPr>
      <w:rFonts w:eastAsia="宋体"/>
      <w:szCs w:val="24"/>
    </w:rPr>
  </w:style>
  <w:style w:type="character" w:customStyle="1" w:styleId="218">
    <w:name w:val="标题 1 Char1"/>
    <w:qFormat/>
    <w:uiPriority w:val="0"/>
    <w:rPr>
      <w:rFonts w:ascii="Times New Roman" w:hAnsi="Times New Roman" w:eastAsia="宋体" w:cs="Times New Roman"/>
      <w:b/>
      <w:bCs/>
      <w:kern w:val="44"/>
      <w:sz w:val="44"/>
      <w:szCs w:val="44"/>
    </w:rPr>
  </w:style>
  <w:style w:type="character" w:customStyle="1" w:styleId="219">
    <w:name w:val="main_tdbg_7601"/>
    <w:qFormat/>
    <w:uiPriority w:val="0"/>
    <w:rPr>
      <w:sz w:val="14"/>
      <w:szCs w:val="14"/>
    </w:rPr>
  </w:style>
  <w:style w:type="character" w:customStyle="1" w:styleId="220">
    <w:name w:val="尾注文本 Char1"/>
    <w:qFormat/>
    <w:uiPriority w:val="0"/>
    <w:rPr>
      <w:rFonts w:ascii="Arial" w:hAnsi="Arial" w:cs="Arial"/>
      <w:szCs w:val="24"/>
      <w:lang w:eastAsia="en-US"/>
    </w:rPr>
  </w:style>
  <w:style w:type="character" w:customStyle="1" w:styleId="221">
    <w:name w:val="副标题 Char2"/>
    <w:qFormat/>
    <w:uiPriority w:val="11"/>
    <w:rPr>
      <w:rFonts w:ascii="Cambria" w:hAnsi="Cambria" w:eastAsia="宋体" w:cs="Times New Roman"/>
      <w:b/>
      <w:bCs/>
      <w:kern w:val="28"/>
      <w:sz w:val="32"/>
      <w:szCs w:val="32"/>
    </w:rPr>
  </w:style>
  <w:style w:type="character" w:customStyle="1" w:styleId="222">
    <w:name w:val="正文文本缩进 3 Char2"/>
    <w:semiHidden/>
    <w:qFormat/>
    <w:uiPriority w:val="99"/>
    <w:rPr>
      <w:rFonts w:ascii="Calibri" w:hAnsi="Calibri" w:eastAsia="宋体" w:cs="Times New Roman"/>
      <w:sz w:val="16"/>
      <w:szCs w:val="16"/>
    </w:rPr>
  </w:style>
  <w:style w:type="character" w:customStyle="1" w:styleId="223">
    <w:name w:val="Char Char34"/>
    <w:qFormat/>
    <w:uiPriority w:val="0"/>
    <w:rPr>
      <w:rFonts w:ascii="仿宋_GB2312" w:eastAsia="仿宋_GB2312" w:cs="MingLiU"/>
      <w:b/>
      <w:spacing w:val="1"/>
      <w:w w:val="99"/>
      <w:sz w:val="28"/>
      <w:szCs w:val="32"/>
    </w:rPr>
  </w:style>
  <w:style w:type="character" w:customStyle="1" w:styleId="224">
    <w:name w:val="docpro"/>
    <w:basedOn w:val="47"/>
    <w:qFormat/>
    <w:uiPriority w:val="0"/>
  </w:style>
  <w:style w:type="character" w:customStyle="1" w:styleId="225">
    <w:name w:val="正文文本 Char4"/>
    <w:link w:val="2"/>
    <w:qFormat/>
    <w:uiPriority w:val="0"/>
    <w:rPr>
      <w:rFonts w:eastAsia="宋体"/>
      <w:kern w:val="2"/>
      <w:sz w:val="21"/>
      <w:szCs w:val="24"/>
      <w:lang w:val="en-US" w:eastAsia="zh-CN" w:bidi="ar-SA"/>
    </w:rPr>
  </w:style>
  <w:style w:type="character" w:customStyle="1" w:styleId="226">
    <w:name w:val="ITTHEADER1 Char"/>
    <w:qFormat/>
    <w:uiPriority w:val="0"/>
    <w:rPr>
      <w:rFonts w:eastAsia="黑体"/>
      <w:kern w:val="2"/>
      <w:sz w:val="44"/>
      <w:szCs w:val="44"/>
      <w:lang w:val="en-US" w:eastAsia="zh-CN" w:bidi="ar-SA"/>
    </w:rPr>
  </w:style>
  <w:style w:type="character" w:customStyle="1" w:styleId="227">
    <w:name w:val="副标题 Char"/>
    <w:qFormat/>
    <w:uiPriority w:val="0"/>
    <w:rPr>
      <w:rFonts w:ascii="Cambria" w:hAnsi="Cambria" w:eastAsia="宋体" w:cs="Times New Roman"/>
      <w:b/>
      <w:bCs/>
      <w:kern w:val="28"/>
      <w:sz w:val="32"/>
      <w:szCs w:val="32"/>
    </w:rPr>
  </w:style>
  <w:style w:type="character" w:customStyle="1" w:styleId="228">
    <w:name w:val="标题 6 Char2"/>
    <w:link w:val="8"/>
    <w:qFormat/>
    <w:uiPriority w:val="0"/>
    <w:rPr>
      <w:rFonts w:hAnsi="Arial" w:eastAsia="仿宋_GB2312"/>
      <w:sz w:val="30"/>
      <w:lang w:val="en-US" w:eastAsia="zh-CN" w:bidi="ar-SA"/>
    </w:rPr>
  </w:style>
  <w:style w:type="character" w:customStyle="1" w:styleId="229">
    <w:name w:val="标题 Char2"/>
    <w:qFormat/>
    <w:uiPriority w:val="10"/>
    <w:rPr>
      <w:rFonts w:ascii="Cambria" w:hAnsi="Cambria" w:eastAsia="宋体" w:cs="Times New Roman"/>
      <w:b/>
      <w:bCs/>
      <w:sz w:val="32"/>
      <w:szCs w:val="32"/>
    </w:rPr>
  </w:style>
  <w:style w:type="character" w:customStyle="1" w:styleId="230">
    <w:name w:val="正文文本 Char2"/>
    <w:qFormat/>
    <w:uiPriority w:val="99"/>
    <w:rPr>
      <w:kern w:val="2"/>
      <w:sz w:val="21"/>
      <w:szCs w:val="24"/>
    </w:rPr>
  </w:style>
  <w:style w:type="character" w:customStyle="1" w:styleId="231">
    <w:name w:val="正文文本 2 Char"/>
    <w:link w:val="39"/>
    <w:qFormat/>
    <w:uiPriority w:val="0"/>
    <w:rPr>
      <w:i/>
      <w:iCs/>
      <w:kern w:val="2"/>
      <w:sz w:val="26"/>
      <w:szCs w:val="24"/>
    </w:rPr>
  </w:style>
  <w:style w:type="character" w:customStyle="1" w:styleId="232">
    <w:name w:val="0d1471"/>
    <w:qFormat/>
    <w:uiPriority w:val="0"/>
    <w:rPr>
      <w:color w:val="000000"/>
      <w:sz w:val="11"/>
      <w:szCs w:val="11"/>
      <w:u w:val="none"/>
    </w:rPr>
  </w:style>
  <w:style w:type="character" w:customStyle="1" w:styleId="233">
    <w:name w:val="批注主题 Char"/>
    <w:qFormat/>
    <w:uiPriority w:val="0"/>
    <w:rPr>
      <w:rFonts w:ascii="宋体" w:hAnsi="宋体" w:eastAsia="宋体"/>
      <w:kern w:val="2"/>
      <w:sz w:val="24"/>
      <w:szCs w:val="28"/>
      <w:lang w:val="en-US" w:eastAsia="zh-CN" w:bidi="ar-SA"/>
    </w:rPr>
  </w:style>
  <w:style w:type="character" w:customStyle="1" w:styleId="234">
    <w:name w:val="正文文本 2 Char1"/>
    <w:semiHidden/>
    <w:qFormat/>
    <w:uiPriority w:val="99"/>
    <w:rPr>
      <w:rFonts w:ascii="Calibri" w:hAnsi="Calibri" w:eastAsia="宋体" w:cs="Times New Roman"/>
      <w:szCs w:val="24"/>
    </w:rPr>
  </w:style>
  <w:style w:type="character" w:customStyle="1" w:styleId="235">
    <w:name w:val="批注框文本 Char1"/>
    <w:qFormat/>
    <w:uiPriority w:val="0"/>
    <w:rPr>
      <w:kern w:val="2"/>
      <w:sz w:val="18"/>
      <w:szCs w:val="18"/>
    </w:rPr>
  </w:style>
  <w:style w:type="character" w:customStyle="1" w:styleId="236">
    <w:name w:val="标题 Char3"/>
    <w:link w:val="43"/>
    <w:qFormat/>
    <w:uiPriority w:val="0"/>
    <w:rPr>
      <w:rFonts w:eastAsia="宋体"/>
      <w:szCs w:val="24"/>
      <w:u w:val="single"/>
      <w:lang w:val="en-US" w:eastAsia="en-US" w:bidi="ar-SA"/>
    </w:rPr>
  </w:style>
  <w:style w:type="character" w:customStyle="1" w:styleId="237">
    <w:name w:val="正文文本缩进 2 Char3"/>
    <w:link w:val="26"/>
    <w:qFormat/>
    <w:uiPriority w:val="0"/>
    <w:rPr>
      <w:rFonts w:eastAsia="宋体"/>
      <w:sz w:val="28"/>
      <w:szCs w:val="24"/>
      <w:lang w:val="en-US" w:eastAsia="zh-CN" w:bidi="ar-SA"/>
    </w:rPr>
  </w:style>
  <w:style w:type="character" w:customStyle="1" w:styleId="238">
    <w:name w:val="引用 Char"/>
    <w:link w:val="115"/>
    <w:qFormat/>
    <w:uiPriority w:val="0"/>
    <w:rPr>
      <w:rFonts w:ascii="Times New Roman" w:hAnsi="Times New Roman" w:eastAsia="宋体" w:cs="Times New Roman"/>
      <w:i/>
      <w:iCs/>
      <w:color w:val="000000"/>
      <w:kern w:val="2"/>
      <w:sz w:val="21"/>
      <w:szCs w:val="24"/>
    </w:rPr>
  </w:style>
  <w:style w:type="character" w:customStyle="1" w:styleId="239">
    <w:name w:val="font161"/>
    <w:qFormat/>
    <w:uiPriority w:val="0"/>
    <w:rPr>
      <w:b/>
      <w:bCs/>
      <w:sz w:val="32"/>
      <w:szCs w:val="32"/>
    </w:rPr>
  </w:style>
  <w:style w:type="character" w:customStyle="1" w:styleId="240">
    <w:name w:val="正文文本缩进 Char3"/>
    <w:link w:val="18"/>
    <w:qFormat/>
    <w:uiPriority w:val="0"/>
    <w:rPr>
      <w:rFonts w:eastAsia="宋体"/>
      <w:kern w:val="2"/>
      <w:sz w:val="21"/>
      <w:szCs w:val="24"/>
      <w:lang w:val="en-US" w:eastAsia="zh-CN" w:bidi="ar-SA"/>
    </w:rPr>
  </w:style>
  <w:style w:type="character" w:customStyle="1" w:styleId="241">
    <w:name w:val="标题 9 Char2"/>
    <w:link w:val="12"/>
    <w:qFormat/>
    <w:uiPriority w:val="0"/>
    <w:rPr>
      <w:rFonts w:eastAsia="仿宋_GB2312"/>
      <w:sz w:val="30"/>
      <w:lang w:val="en-US" w:eastAsia="zh-CN" w:bidi="ar-SA"/>
    </w:rPr>
  </w:style>
  <w:style w:type="character" w:customStyle="1" w:styleId="242">
    <w:name w:val="标题 8 Char2"/>
    <w:link w:val="11"/>
    <w:qFormat/>
    <w:uiPriority w:val="0"/>
    <w:rPr>
      <w:rFonts w:hAnsi="Arial" w:eastAsia="仿宋_GB2312"/>
      <w:sz w:val="30"/>
      <w:lang w:val="en-US" w:eastAsia="zh-CN" w:bidi="ar-SA"/>
    </w:rPr>
  </w:style>
  <w:style w:type="character" w:customStyle="1" w:styleId="243">
    <w:name w:val="Char Char32"/>
    <w:qFormat/>
    <w:uiPriority w:val="0"/>
    <w:rPr>
      <w:rFonts w:ascii="仿宋_GB2312" w:eastAsia="仿宋_GB2312" w:cs="MingLiU"/>
      <w:b/>
      <w:spacing w:val="1"/>
      <w:w w:val="99"/>
      <w:sz w:val="28"/>
      <w:szCs w:val="32"/>
    </w:rPr>
  </w:style>
  <w:style w:type="character" w:customStyle="1" w:styleId="244">
    <w:name w:val="正文文本缩进 3 Char3"/>
    <w:link w:val="36"/>
    <w:qFormat/>
    <w:uiPriority w:val="0"/>
    <w:rPr>
      <w:rFonts w:ascii="宋体" w:hAnsi="宋体" w:eastAsia="宋体"/>
      <w:kern w:val="2"/>
      <w:sz w:val="28"/>
      <w:szCs w:val="28"/>
      <w:lang w:val="en-US" w:eastAsia="zh-CN" w:bidi="ar-SA"/>
    </w:rPr>
  </w:style>
  <w:style w:type="character" w:customStyle="1" w:styleId="245">
    <w:name w:val="标题 2 Char1"/>
    <w:qFormat/>
    <w:uiPriority w:val="0"/>
    <w:rPr>
      <w:rFonts w:ascii="Cambria" w:hAnsi="Cambria" w:eastAsia="宋体" w:cs="Times New Roman"/>
      <w:b/>
      <w:bCs/>
      <w:kern w:val="2"/>
      <w:sz w:val="32"/>
      <w:szCs w:val="32"/>
    </w:rPr>
  </w:style>
  <w:style w:type="character" w:customStyle="1" w:styleId="246">
    <w:name w:val="ss16"/>
    <w:qFormat/>
    <w:uiPriority w:val="0"/>
    <w:rPr>
      <w:rFonts w:hint="eastAsia" w:ascii="宋体" w:hAnsi="宋体" w:eastAsia="宋体"/>
      <w:color w:val="000000"/>
      <w:sz w:val="9"/>
      <w:szCs w:val="9"/>
    </w:rPr>
  </w:style>
  <w:style w:type="character" w:customStyle="1" w:styleId="247">
    <w:name w:val="批注主题 Char3"/>
    <w:semiHidden/>
    <w:qFormat/>
    <w:uiPriority w:val="99"/>
    <w:rPr>
      <w:rFonts w:ascii="Calibri" w:hAnsi="Calibri" w:eastAsia="宋体" w:cs="Times New Roman"/>
      <w:b/>
      <w:bCs/>
      <w:szCs w:val="24"/>
    </w:rPr>
  </w:style>
  <w:style w:type="character" w:customStyle="1" w:styleId="248">
    <w:name w:val="明显引用 Char1"/>
    <w:link w:val="132"/>
    <w:qFormat/>
    <w:uiPriority w:val="30"/>
    <w:rPr>
      <w:b/>
      <w:bCs/>
      <w:i/>
      <w:iCs/>
      <w:color w:val="4F81BD"/>
      <w:kern w:val="2"/>
      <w:sz w:val="21"/>
    </w:rPr>
  </w:style>
  <w:style w:type="character" w:customStyle="1" w:styleId="249">
    <w:name w:val="HTML 预设格式 Char2"/>
    <w:semiHidden/>
    <w:qFormat/>
    <w:uiPriority w:val="99"/>
    <w:rPr>
      <w:rFonts w:ascii="Courier New" w:hAnsi="Courier New" w:eastAsia="宋体" w:cs="Courier New"/>
      <w:sz w:val="20"/>
      <w:szCs w:val="20"/>
    </w:rPr>
  </w:style>
  <w:style w:type="character" w:customStyle="1" w:styleId="250">
    <w:name w:val="Char Char17"/>
    <w:qFormat/>
    <w:uiPriority w:val="0"/>
    <w:rPr>
      <w:kern w:val="2"/>
      <w:sz w:val="26"/>
      <w:szCs w:val="24"/>
    </w:rPr>
  </w:style>
  <w:style w:type="character" w:customStyle="1" w:styleId="251">
    <w:name w:val="标题 3 Char1"/>
    <w:qFormat/>
    <w:uiPriority w:val="0"/>
    <w:rPr>
      <w:rFonts w:ascii="Times New Roman" w:hAnsi="Times New Roman" w:eastAsia="宋体" w:cs="Times New Roman"/>
      <w:b/>
      <w:bCs/>
      <w:kern w:val="2"/>
      <w:sz w:val="32"/>
      <w:szCs w:val="32"/>
    </w:rPr>
  </w:style>
  <w:style w:type="character" w:customStyle="1" w:styleId="252">
    <w:name w:val="标题 5 Char"/>
    <w:qFormat/>
    <w:uiPriority w:val="0"/>
    <w:rPr>
      <w:rFonts w:ascii="Calibri" w:hAnsi="Calibri" w:eastAsia="宋体" w:cs="Times New Roman"/>
      <w:b/>
      <w:bCs/>
      <w:sz w:val="28"/>
      <w:szCs w:val="28"/>
    </w:rPr>
  </w:style>
  <w:style w:type="character" w:customStyle="1" w:styleId="253">
    <w:name w:val="页脚 Char1"/>
    <w:semiHidden/>
    <w:qFormat/>
    <w:uiPriority w:val="99"/>
    <w:rPr>
      <w:kern w:val="2"/>
      <w:sz w:val="18"/>
      <w:szCs w:val="18"/>
    </w:rPr>
  </w:style>
  <w:style w:type="character" w:customStyle="1" w:styleId="254">
    <w:name w:val="unnamed1"/>
    <w:basedOn w:val="47"/>
    <w:qFormat/>
    <w:uiPriority w:val="0"/>
  </w:style>
  <w:style w:type="character" w:customStyle="1" w:styleId="255">
    <w:name w:val="Char Char9"/>
    <w:qFormat/>
    <w:locked/>
    <w:uiPriority w:val="0"/>
    <w:rPr>
      <w:rFonts w:ascii="仿宋_GB2312" w:eastAsia="仿宋_GB2312" w:cs="MingLiU"/>
      <w:b/>
      <w:sz w:val="24"/>
      <w:szCs w:val="28"/>
      <w:lang w:val="en-US" w:eastAsia="zh-CN" w:bidi="ar-SA"/>
    </w:rPr>
  </w:style>
  <w:style w:type="character" w:customStyle="1" w:styleId="256">
    <w:name w:val="批注主题 Char1"/>
    <w:qFormat/>
    <w:uiPriority w:val="0"/>
    <w:rPr>
      <w:b/>
      <w:bCs/>
      <w:kern w:val="2"/>
      <w:sz w:val="21"/>
      <w:szCs w:val="22"/>
    </w:rPr>
  </w:style>
  <w:style w:type="character" w:customStyle="1" w:styleId="257">
    <w:name w:val="正文文本 3 Char3"/>
    <w:link w:val="17"/>
    <w:qFormat/>
    <w:uiPriority w:val="0"/>
    <w:rPr>
      <w:rFonts w:eastAsia="宋体"/>
      <w:kern w:val="2"/>
      <w:sz w:val="16"/>
      <w:szCs w:val="16"/>
      <w:lang w:val="en-US" w:eastAsia="zh-CN" w:bidi="ar-SA"/>
    </w:rPr>
  </w:style>
  <w:style w:type="character" w:customStyle="1" w:styleId="258">
    <w:name w:val="纯文本 Char2"/>
    <w:semiHidden/>
    <w:qFormat/>
    <w:uiPriority w:val="99"/>
    <w:rPr>
      <w:rFonts w:ascii="宋体" w:hAnsi="Courier New" w:eastAsia="宋体" w:cs="Courier New"/>
      <w:szCs w:val="21"/>
    </w:rPr>
  </w:style>
  <w:style w:type="character" w:customStyle="1" w:styleId="259">
    <w:name w:val="intel3"/>
    <w:basedOn w:val="47"/>
    <w:qFormat/>
    <w:uiPriority w:val="0"/>
  </w:style>
  <w:style w:type="character" w:customStyle="1" w:styleId="260">
    <w:name w:val="subhead1"/>
    <w:qFormat/>
    <w:uiPriority w:val="0"/>
    <w:rPr>
      <w:rFonts w:hint="default" w:ascii="Tahoma" w:hAnsi="Tahoma" w:cs="Tahoma"/>
      <w:color w:val="000000"/>
      <w:sz w:val="18"/>
      <w:szCs w:val="18"/>
      <w:u w:val="none"/>
      <w:shd w:val="clear" w:color="auto" w:fill="FFFFFF"/>
    </w:rPr>
  </w:style>
  <w:style w:type="character" w:customStyle="1" w:styleId="261">
    <w:name w:val="脚注文本 Char"/>
    <w:qFormat/>
    <w:uiPriority w:val="0"/>
    <w:rPr>
      <w:rFonts w:ascii="Arial" w:hAnsi="Arial" w:eastAsia="宋体" w:cs="Arial"/>
      <w:sz w:val="18"/>
      <w:szCs w:val="18"/>
      <w:lang w:eastAsia="en-US"/>
    </w:rPr>
  </w:style>
  <w:style w:type="character" w:customStyle="1" w:styleId="262">
    <w:name w:val="引用 Char1"/>
    <w:link w:val="137"/>
    <w:qFormat/>
    <w:uiPriority w:val="29"/>
    <w:rPr>
      <w:i/>
      <w:iCs/>
      <w:color w:val="000000"/>
      <w:kern w:val="2"/>
      <w:sz w:val="21"/>
    </w:rPr>
  </w:style>
  <w:style w:type="character" w:customStyle="1" w:styleId="263">
    <w:name w:val="正文文本缩进 2 Char"/>
    <w:qFormat/>
    <w:uiPriority w:val="0"/>
    <w:rPr>
      <w:kern w:val="2"/>
      <w:sz w:val="21"/>
      <w:szCs w:val="24"/>
    </w:rPr>
  </w:style>
  <w:style w:type="character" w:customStyle="1" w:styleId="264">
    <w:name w:val="脚注文本 Char2"/>
    <w:semiHidden/>
    <w:qFormat/>
    <w:uiPriority w:val="99"/>
    <w:rPr>
      <w:rFonts w:ascii="Calibri" w:hAnsi="Calibri" w:eastAsia="宋体" w:cs="Times New Roman"/>
      <w:sz w:val="18"/>
      <w:szCs w:val="18"/>
    </w:rPr>
  </w:style>
  <w:style w:type="character" w:customStyle="1" w:styleId="265">
    <w:name w:val="ca-141"/>
    <w:qFormat/>
    <w:uiPriority w:val="0"/>
    <w:rPr>
      <w:rFonts w:hint="eastAsia" w:ascii="仿宋_GB2312" w:eastAsia="仿宋_GB2312"/>
      <w:sz w:val="21"/>
      <w:szCs w:val="21"/>
    </w:rPr>
  </w:style>
  <w:style w:type="character" w:customStyle="1" w:styleId="266">
    <w:name w:val="标题 Char1"/>
    <w:qFormat/>
    <w:uiPriority w:val="10"/>
    <w:rPr>
      <w:szCs w:val="24"/>
      <w:u w:val="single"/>
      <w:lang w:eastAsia="en-US"/>
    </w:rPr>
  </w:style>
  <w:style w:type="character" w:customStyle="1" w:styleId="267">
    <w:name w:val="style161"/>
    <w:qFormat/>
    <w:uiPriority w:val="0"/>
    <w:rPr>
      <w:b/>
      <w:bCs/>
      <w:color w:val="333333"/>
    </w:rPr>
  </w:style>
  <w:style w:type="character" w:customStyle="1" w:styleId="268">
    <w:name w:val="Char Char11"/>
    <w:qFormat/>
    <w:locked/>
    <w:uiPriority w:val="0"/>
    <w:rPr>
      <w:rFonts w:eastAsia="黑体"/>
      <w:kern w:val="2"/>
      <w:sz w:val="44"/>
      <w:szCs w:val="44"/>
      <w:lang w:val="en-US" w:eastAsia="zh-CN" w:bidi="ar-SA"/>
    </w:rPr>
  </w:style>
  <w:style w:type="character" w:customStyle="1" w:styleId="269">
    <w:name w:val="标题 7 Char"/>
    <w:qFormat/>
    <w:uiPriority w:val="0"/>
    <w:rPr>
      <w:rFonts w:ascii="Calibri" w:hAnsi="Calibri" w:eastAsia="宋体" w:cs="Times New Roman"/>
      <w:b/>
      <w:bCs/>
      <w:sz w:val="24"/>
      <w:szCs w:val="24"/>
    </w:rPr>
  </w:style>
  <w:style w:type="character" w:customStyle="1" w:styleId="270">
    <w:name w:val="批注文字 Char1"/>
    <w:qFormat/>
    <w:uiPriority w:val="99"/>
    <w:rPr>
      <w:rFonts w:ascii="Times New Roman" w:hAnsi="Times New Roman" w:eastAsia="宋体" w:cs="Times New Roman"/>
      <w:szCs w:val="24"/>
    </w:rPr>
  </w:style>
  <w:style w:type="character" w:customStyle="1" w:styleId="271">
    <w:name w:val="明显引用 Char"/>
    <w:qFormat/>
    <w:uiPriority w:val="0"/>
    <w:rPr>
      <w:rFonts w:ascii="Times New Roman" w:hAnsi="Times New Roman" w:eastAsia="宋体" w:cs="Times New Roman"/>
      <w:b/>
      <w:bCs/>
      <w:i/>
      <w:iCs/>
      <w:color w:val="4F81BD"/>
      <w:kern w:val="2"/>
      <w:sz w:val="21"/>
      <w:szCs w:val="24"/>
    </w:rPr>
  </w:style>
  <w:style w:type="character" w:customStyle="1" w:styleId="272">
    <w:name w:val="标题 5 Char2"/>
    <w:link w:val="7"/>
    <w:qFormat/>
    <w:uiPriority w:val="0"/>
    <w:rPr>
      <w:rFonts w:ascii="宋体" w:hAnsi="宋体" w:eastAsia="宋体" w:cs="宋体"/>
      <w:b/>
      <w:bCs/>
      <w:lang w:val="en-US" w:eastAsia="zh-CN" w:bidi="ar-SA"/>
    </w:rPr>
  </w:style>
  <w:style w:type="character" w:customStyle="1" w:styleId="273">
    <w:name w:val="正文文本缩进 3 Char1"/>
    <w:qFormat/>
    <w:uiPriority w:val="0"/>
    <w:rPr>
      <w:rFonts w:ascii="宋体" w:hAnsi="宋体"/>
      <w:kern w:val="2"/>
      <w:sz w:val="28"/>
      <w:szCs w:val="28"/>
    </w:rPr>
  </w:style>
  <w:style w:type="character" w:customStyle="1" w:styleId="274">
    <w:name w:val="正文文本 Char"/>
    <w:qFormat/>
    <w:uiPriority w:val="0"/>
    <w:rPr>
      <w:sz w:val="26"/>
      <w:szCs w:val="24"/>
    </w:rPr>
  </w:style>
  <w:style w:type="character" w:customStyle="1" w:styleId="275">
    <w:name w:val="明显引用 Char4"/>
    <w:link w:val="81"/>
    <w:qFormat/>
    <w:uiPriority w:val="0"/>
    <w:rPr>
      <w:b/>
      <w:bCs/>
      <w:i/>
      <w:iCs/>
      <w:color w:val="4F81BD"/>
      <w:kern w:val="2"/>
      <w:sz w:val="21"/>
      <w:szCs w:val="22"/>
      <w:lang w:bidi="ar-SA"/>
    </w:rPr>
  </w:style>
  <w:style w:type="character" w:customStyle="1" w:styleId="276">
    <w:name w:val="Char Char12"/>
    <w:qFormat/>
    <w:uiPriority w:val="0"/>
    <w:rPr>
      <w:rFonts w:eastAsia="黑体"/>
      <w:kern w:val="2"/>
      <w:sz w:val="44"/>
      <w:szCs w:val="44"/>
      <w:lang w:val="en-US" w:eastAsia="zh-CN" w:bidi="ar-SA"/>
    </w:rPr>
  </w:style>
  <w:style w:type="character" w:customStyle="1" w:styleId="277">
    <w:name w:val="标题 4 Char"/>
    <w:qFormat/>
    <w:uiPriority w:val="0"/>
    <w:rPr>
      <w:rFonts w:ascii="仿宋_GB2312" w:hAnsi="Calibri" w:eastAsia="仿宋_GB2312" w:cs="Times New Roman"/>
      <w:b/>
      <w:kern w:val="0"/>
      <w:sz w:val="24"/>
      <w:szCs w:val="28"/>
    </w:rPr>
  </w:style>
  <w:style w:type="character" w:customStyle="1" w:styleId="278">
    <w:name w:val="明显引用 Char3"/>
    <w:qFormat/>
    <w:uiPriority w:val="30"/>
    <w:rPr>
      <w:rFonts w:ascii="Calibri" w:hAnsi="Calibri" w:eastAsia="宋体" w:cs="Times New Roman"/>
      <w:b/>
      <w:bCs/>
      <w:i/>
      <w:iCs/>
      <w:color w:val="4F81BD"/>
      <w:szCs w:val="24"/>
    </w:rPr>
  </w:style>
  <w:style w:type="character" w:customStyle="1" w:styleId="279">
    <w:name w:val="引用 Char2"/>
    <w:qFormat/>
    <w:uiPriority w:val="99"/>
    <w:rPr>
      <w:i/>
      <w:iCs/>
      <w:color w:val="000000"/>
      <w:kern w:val="2"/>
      <w:sz w:val="21"/>
      <w:szCs w:val="24"/>
    </w:rPr>
  </w:style>
  <w:style w:type="character" w:customStyle="1" w:styleId="280">
    <w:name w:val="批注主题 Char4"/>
    <w:link w:val="44"/>
    <w:qFormat/>
    <w:uiPriority w:val="0"/>
    <w:rPr>
      <w:rFonts w:eastAsia="宋体"/>
      <w:b/>
      <w:bCs/>
      <w:kern w:val="2"/>
      <w:sz w:val="21"/>
      <w:szCs w:val="24"/>
      <w:lang w:val="en-US" w:eastAsia="zh-CN" w:bidi="ar-SA"/>
    </w:rPr>
  </w:style>
  <w:style w:type="character" w:customStyle="1" w:styleId="281">
    <w:name w:val="不明显强调1"/>
    <w:qFormat/>
    <w:uiPriority w:val="0"/>
    <w:rPr>
      <w:i/>
      <w:iCs/>
      <w:color w:val="808080"/>
    </w:rPr>
  </w:style>
  <w:style w:type="character" w:customStyle="1" w:styleId="282">
    <w:name w:val="color_red1"/>
    <w:qFormat/>
    <w:uiPriority w:val="0"/>
    <w:rPr>
      <w:color w:val="FA0004"/>
    </w:rPr>
  </w:style>
  <w:style w:type="character" w:customStyle="1" w:styleId="283">
    <w:name w:val="标题 7 Char2"/>
    <w:link w:val="10"/>
    <w:qFormat/>
    <w:uiPriority w:val="0"/>
    <w:rPr>
      <w:rFonts w:eastAsia="仿宋_GB2312"/>
      <w:sz w:val="30"/>
      <w:lang w:val="en-US" w:eastAsia="zh-CN" w:bidi="ar-SA"/>
    </w:rPr>
  </w:style>
  <w:style w:type="character" w:customStyle="1" w:styleId="284">
    <w:name w:val="标题5 Char Char"/>
    <w:link w:val="121"/>
    <w:qFormat/>
    <w:uiPriority w:val="0"/>
    <w:rPr>
      <w:rFonts w:ascii="Arial" w:hAnsi="Arial"/>
      <w:b/>
      <w:bCs/>
      <w:sz w:val="24"/>
      <w:szCs w:val="32"/>
      <w:lang w:bidi="ar-SA"/>
    </w:rPr>
  </w:style>
  <w:style w:type="character" w:customStyle="1" w:styleId="285">
    <w:name w:val="脚注文本 Char3"/>
    <w:link w:val="34"/>
    <w:qFormat/>
    <w:uiPriority w:val="0"/>
    <w:rPr>
      <w:rFonts w:ascii="Arial" w:hAnsi="Arial" w:eastAsia="宋体" w:cs="Arial"/>
      <w:sz w:val="18"/>
      <w:szCs w:val="18"/>
      <w:lang w:val="en-US" w:eastAsia="en-US" w:bidi="ar-SA"/>
    </w:rPr>
  </w:style>
  <w:style w:type="character" w:customStyle="1" w:styleId="286">
    <w:name w:val="标题4 Char Char"/>
    <w:link w:val="91"/>
    <w:qFormat/>
    <w:uiPriority w:val="0"/>
    <w:rPr>
      <w:rFonts w:ascii="Arial" w:hAnsi="Arial"/>
      <w:b/>
      <w:bCs/>
      <w:sz w:val="24"/>
      <w:szCs w:val="32"/>
      <w:lang w:bidi="ar-SA"/>
    </w:rPr>
  </w:style>
  <w:style w:type="character" w:customStyle="1" w:styleId="287">
    <w:name w:val="Char Char13"/>
    <w:qFormat/>
    <w:uiPriority w:val="0"/>
    <w:rPr>
      <w:kern w:val="2"/>
      <w:sz w:val="18"/>
      <w:szCs w:val="18"/>
    </w:rPr>
  </w:style>
  <w:style w:type="character" w:customStyle="1" w:styleId="288">
    <w:name w:val="文档结构图 Char2"/>
    <w:qFormat/>
    <w:uiPriority w:val="99"/>
    <w:rPr>
      <w:kern w:val="2"/>
      <w:sz w:val="21"/>
      <w:szCs w:val="24"/>
      <w:shd w:val="clear" w:color="auto" w:fill="000080"/>
    </w:rPr>
  </w:style>
  <w:style w:type="character" w:customStyle="1" w:styleId="289">
    <w:name w:val="批注文字 Char2"/>
    <w:qFormat/>
    <w:uiPriority w:val="0"/>
    <w:rPr>
      <w:rFonts w:ascii="Calibri" w:hAnsi="Calibri" w:eastAsia="宋体" w:cs="Times New Roman"/>
      <w:szCs w:val="24"/>
    </w:rPr>
  </w:style>
  <w:style w:type="character" w:customStyle="1" w:styleId="290">
    <w:name w:val="标题 8 Char1"/>
    <w:qFormat/>
    <w:uiPriority w:val="0"/>
    <w:rPr>
      <w:rFonts w:ascii="Times New Roman" w:hAnsi="Arial" w:eastAsia="仿宋_GB2312" w:cs="Times New Roman"/>
      <w:sz w:val="30"/>
      <w:szCs w:val="20"/>
    </w:rPr>
  </w:style>
  <w:style w:type="character" w:customStyle="1" w:styleId="291">
    <w:name w:val="页眉 Char2"/>
    <w:link w:val="30"/>
    <w:qFormat/>
    <w:uiPriority w:val="0"/>
    <w:rPr>
      <w:rFonts w:eastAsia="宋体"/>
      <w:kern w:val="2"/>
      <w:sz w:val="18"/>
      <w:szCs w:val="18"/>
      <w:lang w:val="en-US" w:eastAsia="zh-CN" w:bidi="ar-SA"/>
    </w:rPr>
  </w:style>
  <w:style w:type="character" w:customStyle="1" w:styleId="292">
    <w:name w:val="Char Char21"/>
    <w:qFormat/>
    <w:uiPriority w:val="0"/>
    <w:rPr>
      <w:rFonts w:ascii="宋体" w:hAnsi="宋体" w:cs="宋体"/>
      <w:b/>
      <w:bCs/>
      <w:sz w:val="24"/>
      <w:szCs w:val="24"/>
    </w:rPr>
  </w:style>
  <w:style w:type="character" w:customStyle="1" w:styleId="293">
    <w:name w:val="标题 6 Char1"/>
    <w:qFormat/>
    <w:uiPriority w:val="0"/>
    <w:rPr>
      <w:rFonts w:ascii="Times New Roman" w:hAnsi="Arial" w:eastAsia="仿宋_GB2312" w:cs="Times New Roman"/>
      <w:sz w:val="30"/>
      <w:szCs w:val="20"/>
    </w:rPr>
  </w:style>
  <w:style w:type="character" w:customStyle="1" w:styleId="294">
    <w:name w:val="_Style 293"/>
    <w:qFormat/>
    <w:uiPriority w:val="0"/>
    <w:rPr>
      <w:smallCaps/>
      <w:color w:val="C0504D"/>
      <w:u w:val="single"/>
    </w:rPr>
  </w:style>
  <w:style w:type="character" w:customStyle="1" w:styleId="295">
    <w:name w:val="副标题 Char1"/>
    <w:qFormat/>
    <w:uiPriority w:val="0"/>
    <w:rPr>
      <w:szCs w:val="24"/>
      <w:u w:val="single"/>
      <w:lang w:eastAsia="en-US"/>
    </w:rPr>
  </w:style>
  <w:style w:type="character" w:customStyle="1" w:styleId="296">
    <w:name w:val="正文文本 Char3"/>
    <w:semiHidden/>
    <w:qFormat/>
    <w:uiPriority w:val="99"/>
    <w:rPr>
      <w:rFonts w:ascii="Calibri" w:hAnsi="Calibri" w:eastAsia="宋体" w:cs="Times New Roman"/>
      <w:szCs w:val="24"/>
    </w:rPr>
  </w:style>
  <w:style w:type="character" w:customStyle="1" w:styleId="297">
    <w:name w:val="标题 4 Char1"/>
    <w:qFormat/>
    <w:uiPriority w:val="0"/>
    <w:rPr>
      <w:rFonts w:ascii="宋体" w:hAnsi="宋体" w:eastAsia="宋体" w:cs="宋体"/>
      <w:b/>
      <w:bCs/>
      <w:sz w:val="24"/>
      <w:szCs w:val="24"/>
    </w:rPr>
  </w:style>
  <w:style w:type="character" w:customStyle="1" w:styleId="298">
    <w:name w:val="文档结构图 Char3"/>
    <w:semiHidden/>
    <w:qFormat/>
    <w:uiPriority w:val="99"/>
    <w:rPr>
      <w:rFonts w:ascii="宋体" w:hAnsi="Calibri" w:eastAsia="宋体" w:cs="Times New Roman"/>
      <w:sz w:val="18"/>
      <w:szCs w:val="18"/>
    </w:rPr>
  </w:style>
  <w:style w:type="character" w:customStyle="1" w:styleId="299">
    <w:name w:val="标题 3 Char2"/>
    <w:link w:val="5"/>
    <w:qFormat/>
    <w:uiPriority w:val="0"/>
    <w:rPr>
      <w:rFonts w:eastAsia="宋体"/>
      <w:b/>
      <w:bCs/>
      <w:kern w:val="2"/>
      <w:sz w:val="32"/>
      <w:szCs w:val="32"/>
      <w:lang w:val="en-US" w:eastAsia="zh-CN" w:bidi="ar-SA"/>
    </w:rPr>
  </w:style>
  <w:style w:type="character" w:customStyle="1" w:styleId="300">
    <w:name w:val="正文文本 3 Char2"/>
    <w:semiHidden/>
    <w:qFormat/>
    <w:uiPriority w:val="99"/>
    <w:rPr>
      <w:rFonts w:ascii="Calibri" w:hAnsi="Calibri" w:eastAsia="宋体" w:cs="Times New Roman"/>
      <w:sz w:val="16"/>
      <w:szCs w:val="16"/>
    </w:rPr>
  </w:style>
  <w:style w:type="character" w:customStyle="1" w:styleId="301">
    <w:name w:val="Char Char23"/>
    <w:qFormat/>
    <w:uiPriority w:val="0"/>
    <w:rPr>
      <w:rFonts w:ascii="Cambria" w:hAnsi="Cambria" w:eastAsia="宋体" w:cs="Times New Roman"/>
      <w:b/>
      <w:bCs/>
      <w:kern w:val="2"/>
      <w:sz w:val="32"/>
      <w:szCs w:val="32"/>
    </w:rPr>
  </w:style>
  <w:style w:type="character" w:customStyle="1" w:styleId="302">
    <w:name w:val="尾注文本 Char2"/>
    <w:semiHidden/>
    <w:qFormat/>
    <w:uiPriority w:val="99"/>
    <w:rPr>
      <w:rFonts w:ascii="Calibri" w:hAnsi="Calibri" w:eastAsia="宋体" w:cs="Times New Roman"/>
      <w:szCs w:val="24"/>
    </w:rPr>
  </w:style>
  <w:style w:type="character" w:customStyle="1" w:styleId="303">
    <w:name w:val="书籍标题1"/>
    <w:qFormat/>
    <w:uiPriority w:val="0"/>
    <w:rPr>
      <w:b/>
      <w:bCs/>
      <w:smallCaps/>
      <w:spacing w:val="5"/>
    </w:rPr>
  </w:style>
  <w:style w:type="character" w:customStyle="1" w:styleId="304">
    <w:name w:val="ITTHEADER2 Char"/>
    <w:qFormat/>
    <w:uiPriority w:val="0"/>
    <w:rPr>
      <w:rFonts w:ascii="仿宋_GB2312" w:eastAsia="仿宋_GB2312" w:cs="MingLiU"/>
      <w:b/>
      <w:spacing w:val="1"/>
      <w:w w:val="99"/>
      <w:sz w:val="28"/>
      <w:szCs w:val="32"/>
      <w:lang w:val="en-US" w:eastAsia="zh-CN" w:bidi="ar-SA"/>
    </w:rPr>
  </w:style>
  <w:style w:type="character" w:customStyle="1" w:styleId="305">
    <w:name w:val="批注文字 Char3"/>
    <w:link w:val="16"/>
    <w:qFormat/>
    <w:uiPriority w:val="99"/>
    <w:rPr>
      <w:rFonts w:eastAsia="宋体"/>
      <w:kern w:val="2"/>
      <w:sz w:val="21"/>
      <w:szCs w:val="24"/>
      <w:lang w:val="en-US" w:eastAsia="zh-CN" w:bidi="ar-SA"/>
    </w:rPr>
  </w:style>
  <w:style w:type="character" w:customStyle="1" w:styleId="306">
    <w:name w:val="批注文字 Char Char"/>
    <w:qFormat/>
    <w:uiPriority w:val="0"/>
    <w:rPr>
      <w:rFonts w:ascii="宋体" w:hAnsi="Times New Roman" w:eastAsia="宋体" w:cs="Times New Roman"/>
      <w:sz w:val="28"/>
      <w:szCs w:val="20"/>
    </w:rPr>
  </w:style>
  <w:style w:type="character" w:customStyle="1" w:styleId="307">
    <w:name w:val="副标题 Char3"/>
    <w:link w:val="33"/>
    <w:qFormat/>
    <w:uiPriority w:val="0"/>
    <w:rPr>
      <w:rFonts w:eastAsia="宋体"/>
      <w:szCs w:val="24"/>
      <w:u w:val="single"/>
      <w:lang w:val="en-US" w:eastAsia="en-US" w:bidi="ar-SA"/>
    </w:rPr>
  </w:style>
  <w:style w:type="character" w:customStyle="1" w:styleId="308">
    <w:name w:val="批注主题 Char2"/>
    <w:qFormat/>
    <w:uiPriority w:val="99"/>
    <w:rPr>
      <w:b/>
      <w:bCs/>
      <w:kern w:val="2"/>
      <w:sz w:val="21"/>
      <w:szCs w:val="24"/>
    </w:rPr>
  </w:style>
  <w:style w:type="character" w:customStyle="1" w:styleId="309">
    <w:name w:val="normaltext1"/>
    <w:qFormat/>
    <w:uiPriority w:val="0"/>
    <w:rPr>
      <w:rFonts w:hint="default" w:ascii="ˎ̥" w:hAnsi="ˎ̥"/>
      <w:sz w:val="9"/>
      <w:szCs w:val="9"/>
    </w:rPr>
  </w:style>
  <w:style w:type="character" w:customStyle="1" w:styleId="310">
    <w:name w:val="不明显参考1"/>
    <w:qFormat/>
    <w:uiPriority w:val="0"/>
    <w:rPr>
      <w:smallCaps/>
      <w:color w:val="C0504D"/>
      <w:u w:val="single"/>
    </w:rPr>
  </w:style>
  <w:style w:type="character" w:customStyle="1" w:styleId="311">
    <w:name w:val="标题 6 Char"/>
    <w:qFormat/>
    <w:uiPriority w:val="0"/>
    <w:rPr>
      <w:rFonts w:ascii="Arial" w:hAnsi="Arial" w:eastAsia="黑体" w:cs="Times New Roman"/>
      <w:b/>
      <w:bCs/>
      <w:sz w:val="24"/>
      <w:szCs w:val="24"/>
    </w:rPr>
  </w:style>
  <w:style w:type="paragraph" w:customStyle="1" w:styleId="312">
    <w:name w:val="Table Paragraph"/>
    <w:basedOn w:val="1"/>
    <w:qFormat/>
    <w:uiPriority w:val="1"/>
    <w:pPr>
      <w:autoSpaceDE w:val="0"/>
      <w:autoSpaceDN w:val="0"/>
      <w:jc w:val="left"/>
    </w:pPr>
    <w:rPr>
      <w:rFonts w:ascii="宋体" w:hAnsi="宋体" w:cs="宋体"/>
      <w:kern w:val="0"/>
      <w:sz w:val="22"/>
      <w:szCs w:val="22"/>
    </w:rPr>
  </w:style>
  <w:style w:type="character" w:customStyle="1" w:styleId="313">
    <w:name w:val="fontstyle01"/>
    <w:basedOn w:val="47"/>
    <w:qFormat/>
    <w:uiPriority w:val="0"/>
    <w:rPr>
      <w:rFonts w:hint="eastAsia" w:ascii="宋体" w:hAnsi="宋体" w:eastAsia="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NSF</Company>
  <Pages>201</Pages>
  <Words>15554</Words>
  <Characters>16674</Characters>
  <Lines>996</Lines>
  <Paragraphs>280</Paragraphs>
  <TotalTime>5</TotalTime>
  <ScaleCrop>false</ScaleCrop>
  <LinksUpToDate>false</LinksUpToDate>
  <CharactersWithSpaces>17299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2022-08-10T03:17:00Z</dcterms:created>
  <dc:creator>USER</dc:creator>
  <cp:lastModifiedBy>彭小芮</cp:lastModifiedBy>
  <cp:lastPrinted>2022-10-02T02:26:00Z</cp:lastPrinted>
  <dcterms:modified xsi:type="dcterms:W3CDTF">2025-05-22T04:15:22Z</dcterms:modified>
  <dc:title>第一卷</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061301CE8696413A93A88D2EC464BA64_13</vt:lpwstr>
  </property>
  <property fmtid="{D5CDD505-2E9C-101B-9397-08002B2CF9AE}" pid="4" name="KSOTemplateDocerSaveRecord">
    <vt:lpwstr>eyJoZGlkIjoiMTBmZDRmMzQyOTc1NDBlZGMyNDA3YTlmZWIyYmQzOWIiLCJ1c2VySWQiOiIzNTA5MTM3NTUifQ==</vt:lpwstr>
  </property>
</Properties>
</file>